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82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Техническое задание на выполнение работ</w:t>
      </w:r>
    </w:p>
    <w:p>
      <w:pPr>
        <w:pStyle w:val="Standard"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(Требования к продукции)</w:t>
      </w:r>
    </w:p>
    <w:p>
      <w:pPr>
        <w:pStyle w:val="Standard"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Standard"/>
        <w:keepNext w:val="true"/>
        <w:keepLines/>
        <w:jc w:val="center"/>
        <w:rPr>
          <w:rFonts w:eastAsia="Calibri"/>
          <w:b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ListParagraph"/>
        <w:shd w:val="clear" w:color="auto" w:fill="FFFFFF"/>
        <w:tabs>
          <w:tab w:val="clear" w:pos="708"/>
          <w:tab w:val="left" w:pos="1134" w:leader="none"/>
        </w:tabs>
        <w:ind w:left="0" w:firstLine="708"/>
        <w:jc w:val="both"/>
        <w:rPr>
          <w:b/>
          <w:b/>
        </w:rPr>
      </w:pPr>
      <w:r>
        <w:rPr>
          <w:b/>
        </w:rPr>
        <w:t>ОКДП2 42.22.12.120. Выполнение работ по оснащению ПС 35-110 кВ дуговыми защитами с разработкой рабочей документации для филиала АО «ДРСК» «Приморские электрические сети»</w:t>
      </w:r>
    </w:p>
    <w:p>
      <w:pPr>
        <w:pStyle w:val="ListParagraph"/>
        <w:shd w:val="clear" w:color="auto" w:fill="FFFFFF"/>
        <w:tabs>
          <w:tab w:val="clear" w:pos="708"/>
          <w:tab w:val="left" w:pos="1134" w:leader="none"/>
        </w:tabs>
        <w:ind w:left="0" w:firstLine="708"/>
        <w:jc w:val="both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Standard"/>
        <w:keepNext w:val="true"/>
        <w:keepLines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Лот 84501-ТПИР ОБСЛ-2027-ДРСК-ПЭС</w:t>
      </w:r>
    </w:p>
    <w:p>
      <w:pPr>
        <w:pStyle w:val="Standard"/>
        <w:keepNext w:val="true"/>
        <w:keepLines/>
        <w:jc w:val="both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Standard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15"/>
            <w:tabs>
              <w:tab w:val="clear" w:pos="708"/>
              <w:tab w:val="left" w:pos="426" w:leader="none"/>
              <w:tab w:val="right" w:pos="9911" w:leader="dot"/>
            </w:tabs>
            <w:rPr>
              <w:rFonts w:eastAsia="" w:eastAsiaTheme="minorEastAsia"/>
              <w:sz w:val="24"/>
              <w:szCs w:val="24"/>
            </w:rPr>
          </w:pPr>
          <w:r>
            <w:fldChar w:fldCharType="begin"/>
          </w:r>
          <w:r>
            <w:rPr>
              <w:sz w:val="24"/>
              <w:b/>
              <w:szCs w:val="24"/>
              <w:rFonts w:eastAsia="Calibri"/>
            </w:rPr>
            <w:instrText> TOC \o "1-4" \u \h</w:instrText>
          </w:r>
          <w:r>
            <w:rPr>
              <w:sz w:val="24"/>
              <w:b/>
              <w:szCs w:val="24"/>
              <w:rFonts w:eastAsia="Calibri"/>
            </w:rPr>
            <w:fldChar w:fldCharType="separate"/>
          </w:r>
          <w:hyperlink w:anchor="_Toc223358307">
            <w:r>
              <w:rPr>
                <w:rFonts w:eastAsia="Calibri"/>
                <w:b/>
                <w:sz w:val="24"/>
                <w:szCs w:val="24"/>
              </w:rPr>
              <w:t>1.</w:t>
            </w:r>
            <w:r>
              <w:rPr>
                <w:rFonts w:eastAsia="" w:eastAsiaTheme="minorEastAsia"/>
                <w:b/>
                <w:sz w:val="24"/>
                <w:szCs w:val="24"/>
              </w:rPr>
              <w:tab/>
            </w:r>
            <w:r>
              <w:rPr>
                <w:rFonts w:eastAsia="Calibri"/>
                <w:b/>
                <w:sz w:val="24"/>
                <w:szCs w:val="2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_Toc223358307 \h</w:instrText>
            </w:r>
            <w:r>
              <w:rPr>
                <w:webHidden/>
              </w:rPr>
              <w:fldChar w:fldCharType="separate"/>
            </w:r>
            <w:r>
              <w:rPr>
                <w:b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08">
            <w:r>
              <w:rPr>
                <w:rFonts w:eastAsia="Calibri"/>
                <w:sz w:val="24"/>
                <w:szCs w:val="24"/>
              </w:rPr>
              <w:t>1.1.  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_Toc223358308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09">
            <w:r>
              <w:rPr>
                <w:rFonts w:eastAsia="Calibri"/>
                <w:sz w:val="24"/>
                <w:szCs w:val="24"/>
              </w:rPr>
              <w:t>1.2. 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_Toc223358309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10">
            <w:r>
              <w:rPr>
                <w:rFonts w:eastAsia="Calibri"/>
                <w:sz w:val="24"/>
                <w:szCs w:val="24"/>
              </w:rPr>
              <w:t>1.3. 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_Toc223358310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12">
            <w:r>
              <w:rPr>
                <w:rFonts w:eastAsia="Calibri"/>
                <w:sz w:val="24"/>
                <w:szCs w:val="24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_Toc223358312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13">
            <w:r>
              <w:rPr>
                <w:rFonts w:eastAsia="Calibri"/>
                <w:sz w:val="24"/>
                <w:szCs w:val="24"/>
              </w:rPr>
              <w:t>1.5. 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_Toc223358313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tabs>
              <w:tab w:val="clear" w:pos="709"/>
              <w:tab w:val="left" w:pos="426" w:leader="none"/>
              <w:tab w:val="right" w:pos="9911" w:leader="dot"/>
            </w:tabs>
            <w:rPr>
              <w:rFonts w:eastAsia="" w:eastAsiaTheme="minorEastAsia"/>
              <w:b/>
              <w:b/>
              <w:sz w:val="24"/>
              <w:szCs w:val="24"/>
            </w:rPr>
          </w:pPr>
          <w:hyperlink w:anchor="_Toc223358315">
            <w:r>
              <w:rPr>
                <w:rFonts w:eastAsia="Calibri"/>
                <w:b/>
                <w:sz w:val="24"/>
                <w:szCs w:val="24"/>
              </w:rPr>
              <w:t>2.</w:t>
            </w:r>
            <w:r>
              <w:rPr>
                <w:rFonts w:eastAsia="" w:eastAsiaTheme="minorEastAsia"/>
                <w:b/>
                <w:sz w:val="24"/>
                <w:szCs w:val="24"/>
              </w:rPr>
              <w:tab/>
            </w:r>
            <w:r>
              <w:rPr>
                <w:rFonts w:eastAsia="Calibri"/>
                <w:b/>
                <w:sz w:val="24"/>
                <w:szCs w:val="2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_Toc223358315 \h</w:instrText>
            </w:r>
            <w:r>
              <w:rPr>
                <w:webHidden/>
              </w:rPr>
              <w:fldChar w:fldCharType="separate"/>
            </w:r>
            <w:r>
              <w:rPr>
                <w:b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eastAsia="" w:eastAsiaTheme="minorEastAsia"/>
              <w:sz w:val="24"/>
              <w:szCs w:val="24"/>
            </w:rPr>
          </w:pPr>
          <w:hyperlink w:anchor="_Toc223358316">
            <w:r>
              <w:rPr>
                <w:rFonts w:eastAsia="Calibri"/>
                <w:iCs/>
                <w:sz w:val="24"/>
                <w:szCs w:val="24"/>
              </w:rPr>
              <w:t>2.1.</w:t>
            </w:r>
            <w:r>
              <w:rPr>
                <w:rFonts w:eastAsia="" w:eastAsiaTheme="minorEastAsia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_Toc223358316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17">
            <w:r>
              <w:rPr>
                <w:rFonts w:eastAsia="Calibri"/>
                <w:sz w:val="24"/>
                <w:szCs w:val="24"/>
              </w:rPr>
              <w:t>2.1.1. 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_Toc223358317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rPr>
              <w:rFonts w:eastAsia="" w:eastAsiaTheme="minorEastAsia"/>
              <w:sz w:val="24"/>
              <w:szCs w:val="24"/>
            </w:rPr>
          </w:pPr>
          <w:hyperlink w:anchor="_Toc223358319">
            <w:r>
              <w:rPr>
                <w:rFonts w:eastAsia="Calibri"/>
                <w:sz w:val="24"/>
                <w:szCs w:val="24"/>
              </w:rPr>
              <w:t>2.1.2.Требования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_Toc223358319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eastAsia="" w:eastAsiaTheme="minorEastAsia"/>
              <w:sz w:val="24"/>
              <w:szCs w:val="24"/>
            </w:rPr>
          </w:pPr>
          <w:hyperlink w:anchor="_Toc223358321">
            <w:r>
              <w:rPr>
                <w:rFonts w:eastAsia="Calibri"/>
                <w:iCs/>
                <w:sz w:val="24"/>
                <w:szCs w:val="24"/>
              </w:rPr>
              <w:t>2.2.</w:t>
            </w:r>
            <w:r>
              <w:rPr>
                <w:rFonts w:eastAsia="" w:eastAsiaTheme="minorEastAsia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>Требования к качеству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_Toc223358321 \h</w:instrText>
            </w:r>
            <w:r>
              <w:rPr>
                <w:webHidden/>
              </w:rPr>
              <w:fldChar w:fldCharType="separate"/>
            </w:r>
            <w:r>
              <w:rPr>
                <w:sz w:val="24"/>
                <w:szCs w:val="24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tabs>
              <w:tab w:val="clear" w:pos="709"/>
              <w:tab w:val="left" w:pos="426" w:leader="none"/>
              <w:tab w:val="right" w:pos="9911" w:leader="dot"/>
            </w:tabs>
            <w:rPr>
              <w:rFonts w:eastAsia="" w:eastAsiaTheme="minorEastAsia"/>
              <w:b/>
              <w:b/>
              <w:sz w:val="24"/>
              <w:szCs w:val="24"/>
            </w:rPr>
          </w:pPr>
          <w:hyperlink w:anchor="_Toc223358323">
            <w:r>
              <w:rPr>
                <w:rFonts w:eastAsia="Calibri"/>
                <w:b/>
                <w:sz w:val="24"/>
                <w:szCs w:val="24"/>
              </w:rPr>
              <w:t>3.</w:t>
            </w:r>
            <w:r>
              <w:rPr>
                <w:rFonts w:eastAsia="" w:eastAsiaTheme="minorEastAsia"/>
                <w:b/>
                <w:sz w:val="24"/>
                <w:szCs w:val="24"/>
              </w:rPr>
              <w:tab/>
            </w:r>
            <w:r>
              <w:rPr>
                <w:rFonts w:eastAsia="Calibri"/>
                <w:b/>
                <w:sz w:val="24"/>
                <w:szCs w:val="2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_Toc223358323 \h</w:instrText>
            </w:r>
            <w:r>
              <w:rPr>
                <w:webHidden/>
              </w:rPr>
              <w:fldChar w:fldCharType="separate"/>
            </w:r>
            <w:r>
              <w:rPr>
                <w:b/>
                <w:sz w:val="24"/>
                <w:szCs w:val="24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tabs>
              <w:tab w:val="clear" w:pos="709"/>
              <w:tab w:val="left" w:pos="426" w:leader="none"/>
              <w:tab w:val="right" w:pos="9911" w:leader="dot"/>
            </w:tabs>
            <w:rPr>
              <w:rFonts w:eastAsia="" w:eastAsiaTheme="minorEastAsia"/>
              <w:b/>
              <w:b/>
              <w:sz w:val="24"/>
              <w:szCs w:val="24"/>
            </w:rPr>
          </w:pPr>
          <w:hyperlink w:anchor="_Toc223358324">
            <w:r>
              <w:rPr>
                <w:rFonts w:eastAsia="Calibri"/>
                <w:b/>
                <w:sz w:val="24"/>
                <w:szCs w:val="24"/>
              </w:rPr>
              <w:t>4.</w:t>
            </w:r>
            <w:r>
              <w:rPr>
                <w:rFonts w:eastAsia="" w:eastAsiaTheme="minorEastAsia"/>
                <w:b/>
                <w:sz w:val="24"/>
                <w:szCs w:val="24"/>
              </w:rPr>
              <w:tab/>
            </w:r>
            <w:r>
              <w:rPr>
                <w:rFonts w:eastAsia="Calibri"/>
                <w:b/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_Toc223358324 \h</w:instrText>
            </w:r>
            <w:r>
              <w:rPr>
                <w:webHidden/>
              </w:rPr>
              <w:fldChar w:fldCharType="separate"/>
            </w:r>
            <w:r>
              <w:rPr>
                <w:b/>
                <w:sz w:val="24"/>
                <w:szCs w:val="24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8"/>
            <w:tabs>
              <w:tab w:val="clear" w:pos="709"/>
              <w:tab w:val="left" w:pos="426" w:leader="none"/>
              <w:tab w:val="right" w:pos="9911" w:leader="dot"/>
            </w:tabs>
            <w:rPr>
              <w:rFonts w:eastAsia="" w:eastAsiaTheme="minorEastAsia"/>
              <w:b/>
              <w:b/>
              <w:sz w:val="24"/>
              <w:szCs w:val="24"/>
            </w:rPr>
          </w:pPr>
          <w:hyperlink w:anchor="_Toc223358325">
            <w:r>
              <w:rPr>
                <w:rFonts w:eastAsia="Calibri"/>
                <w:b/>
                <w:sz w:val="24"/>
                <w:szCs w:val="24"/>
              </w:rPr>
              <w:t>5.</w:t>
            </w:r>
            <w:r>
              <w:rPr>
                <w:rFonts w:eastAsia="" w:eastAsiaTheme="minorEastAsia"/>
                <w:b/>
                <w:sz w:val="24"/>
                <w:szCs w:val="24"/>
              </w:rPr>
              <w:tab/>
            </w:r>
            <w:r>
              <w:rPr>
                <w:rFonts w:eastAsia="Calibri"/>
                <w:b/>
                <w:sz w:val="24"/>
                <w:szCs w:val="2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_Toc223358325 \h</w:instrText>
            </w:r>
            <w:r>
              <w:rPr>
                <w:webHidden/>
              </w:rPr>
              <w:fldChar w:fldCharType="separate"/>
            </w:r>
            <w:r>
              <w:rPr>
                <w:b/>
                <w:sz w:val="24"/>
                <w:szCs w:val="24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  <w:r>
            <w:rPr>
              <w:sz w:val="24"/>
              <w:b/>
              <w:szCs w:val="24"/>
            </w:rPr>
            <w:fldChar w:fldCharType="end"/>
          </w:r>
        </w:p>
      </w:sdtContent>
    </w:sdt>
    <w:p>
      <w:pPr>
        <w:pStyle w:val="Contents1"/>
        <w:tabs>
          <w:tab w:val="clear" w:pos="708"/>
          <w:tab w:val="right" w:pos="560" w:leader="dot"/>
          <w:tab w:val="left" w:pos="709" w:leader="none"/>
          <w:tab w:val="right" w:pos="9911" w:leader="dot"/>
        </w:tabs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3"/>
        <w:numPr>
          <w:ilvl w:val="0"/>
          <w:numId w:val="3"/>
        </w:numPr>
        <w:rPr/>
      </w:pPr>
      <w:r>
        <w:rPr/>
      </w:r>
      <w:r>
        <w:br w:type="page"/>
      </w:r>
    </w:p>
    <w:p>
      <w:pPr>
        <w:pStyle w:val="1"/>
        <w:numPr>
          <w:ilvl w:val="0"/>
          <w:numId w:val="5"/>
        </w:numPr>
        <w:tabs>
          <w:tab w:val="clear" w:pos="708"/>
          <w:tab w:val="left" w:pos="993" w:leader="none"/>
        </w:tabs>
        <w:ind w:left="0" w:firstLine="709"/>
        <w:rPr>
          <w:sz w:val="24"/>
          <w:szCs w:val="24"/>
        </w:rPr>
      </w:pPr>
      <w:bookmarkStart w:id="0" w:name="_Toc223358307"/>
      <w:bookmarkStart w:id="1" w:name="_Toc51339692"/>
      <w:r>
        <w:rPr>
          <w:sz w:val="24"/>
          <w:szCs w:val="24"/>
        </w:rPr>
        <w:t>Общие сведени</w:t>
      </w:r>
      <w:bookmarkEnd w:id="1"/>
      <w:r>
        <w:rPr>
          <w:sz w:val="24"/>
          <w:szCs w:val="24"/>
        </w:rPr>
        <w:t>я</w:t>
      </w:r>
      <w:bookmarkEnd w:id="0"/>
    </w:p>
    <w:p>
      <w:pPr>
        <w:pStyle w:val="3"/>
        <w:rPr/>
      </w:pPr>
      <w:r>
        <w:rPr/>
      </w:r>
    </w:p>
    <w:p>
      <w:pPr>
        <w:pStyle w:val="3"/>
        <w:rPr/>
      </w:pPr>
      <w:bookmarkStart w:id="2" w:name="_Toc223358308"/>
      <w:r>
        <w:rPr/>
        <w:t>1.1.  Обозначения и сокращения</w:t>
      </w:r>
      <w:bookmarkEnd w:id="2"/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ЗРУ - закрытое распределительное устройство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ЗУ - заземляющее устройство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ЗДЗ -  защита от дуговых замыканий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ИД — Исполнительная документация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КРУ - комплектное распределительное устройство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ЛСР — локальный сметный расчет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НТД - Нормативно-техническая документация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ОЗЗ - однофазное замыкание на землю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ОРУ - открытое распределительное устройство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ПА - противоаварийная автоматика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ПИР - Проектно-изыскательные работы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ПНР - Пусконаладочные работы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ПС - подстанция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ПТК - программно-технический комплекс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ПСД - Проектно-сметная документация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</w:p>
    <w:p>
      <w:pPr>
        <w:pStyle w:val="Standard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РЗАиА — релейная защита и автоматика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РД — рабочая документация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РЩ - релейный щит / распределительный щит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РЭС - район электрических сетей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СП — структурное подразделение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СД — сметная документация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СМ-1  - смета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СМР - Строительно-монтажные работы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СТО - стандарт организации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СУОТ - система управления охраной труда</w:t>
      </w:r>
    </w:p>
    <w:p>
      <w:pPr>
        <w:pStyle w:val="Standard"/>
        <w:widowControl w:val="false"/>
        <w:tabs>
          <w:tab w:val="clear" w:pos="708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СРЗА — служба релейной защиты и автоматики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ТАПВ - трехфазное автоматическое повторное включение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ТЗ - технологические защиты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ТН - трансформатор напряжения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ТП - трансформаторная подстанция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ТСН - трансформатор собственных нужд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ТТ - трансформатор тока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Ш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ШМ – шинный мост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ШРОТ - шкаф распределительный оперативного постоянного тока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Щ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ЩР щит распределительный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ЩПТ - щит постоянного тока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ЩСН - щит собственных нужд</w:t>
      </w:r>
    </w:p>
    <w:p>
      <w:pPr>
        <w:pStyle w:val="3"/>
        <w:rPr/>
      </w:pPr>
      <w:bookmarkStart w:id="3" w:name="_Toc46743506"/>
      <w:bookmarkStart w:id="4" w:name="_Toc223358309"/>
      <w:r>
        <w:rPr/>
        <w:t>1.2. Наименование закупаемой продукции</w:t>
      </w:r>
      <w:bookmarkEnd w:id="3"/>
      <w:bookmarkEnd w:id="4"/>
    </w:p>
    <w:p>
      <w:pPr>
        <w:pStyle w:val="ListParagraph"/>
        <w:keepNext w:val="true"/>
        <w:keepLines/>
        <w:shd w:val="clear" w:color="auto" w:fill="FFFFFF"/>
        <w:tabs>
          <w:tab w:val="clear" w:pos="708"/>
          <w:tab w:val="left" w:pos="1134" w:leader="none"/>
        </w:tabs>
        <w:ind w:left="0" w:hanging="0"/>
        <w:jc w:val="both"/>
        <w:rPr/>
      </w:pPr>
      <w:r>
        <w:rPr/>
        <w:t xml:space="preserve">«ОКДП2 42.22.12.120. </w:t>
      </w:r>
      <w:r>
        <w:rPr>
          <w:b w:val="false"/>
          <w:bCs w:val="false"/>
        </w:rPr>
        <w:t>Выполнение работ по оснащению ПС 35-110 кВ дуговыми защитами с разработкой рабочей документации для филиала АО «ДРСК» «Приморские электрические сети».</w:t>
      </w:r>
    </w:p>
    <w:p>
      <w:pPr>
        <w:pStyle w:val="3"/>
        <w:rPr/>
      </w:pPr>
      <w:bookmarkStart w:id="5" w:name="_Toc223358310"/>
      <w:r>
        <w:rPr/>
        <w:t xml:space="preserve">1.3. </w:t>
      </w:r>
      <w:bookmarkStart w:id="6" w:name="_Toc46743507"/>
      <w:r>
        <w:rPr/>
        <w:t xml:space="preserve">Цель </w:t>
      </w:r>
      <w:bookmarkEnd w:id="6"/>
      <w:r>
        <w:rPr/>
        <w:t>использования закупаемой продукции</w:t>
      </w:r>
      <w:bookmarkEnd w:id="5"/>
    </w:p>
    <w:p>
      <w:pPr>
        <w:pStyle w:val="Standard"/>
        <w:jc w:val="both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Целью выполняемых работ является </w:t>
      </w:r>
      <w:r>
        <w:rPr>
          <w:rFonts w:eastAsia="Calibri"/>
          <w:i/>
          <w:iCs/>
          <w:color w:val="000000"/>
          <w:sz w:val="24"/>
          <w:szCs w:val="24"/>
        </w:rPr>
        <w:t>оснащение 20-ти</w:t>
      </w:r>
      <w:r>
        <w:rPr>
          <w:rFonts w:eastAsia="Calibri"/>
          <w:i/>
          <w:sz w:val="24"/>
          <w:szCs w:val="24"/>
        </w:rPr>
        <w:t xml:space="preserve"> ПС 35-110 кВ филиала ПЭС дуговыми защитами в рамках инвестиционного проекта М_25-ПЭС-1245.</w:t>
      </w:r>
    </w:p>
    <w:p>
      <w:pPr>
        <w:pStyle w:val="Standard"/>
        <w:tabs>
          <w:tab w:val="clear" w:pos="708"/>
          <w:tab w:val="left" w:pos="1050" w:leader="none"/>
        </w:tabs>
        <w:spacing w:before="0" w:after="198"/>
        <w:jc w:val="both"/>
        <w:rPr>
          <w:sz w:val="24"/>
          <w:szCs w:val="24"/>
        </w:rPr>
      </w:pPr>
      <w:r>
        <w:rPr>
          <w:rStyle w:val="Strong"/>
          <w:rFonts w:eastAsia="Calibri"/>
          <w:i/>
          <w:iCs/>
          <w:color w:val="000000"/>
          <w:sz w:val="24"/>
          <w:szCs w:val="24"/>
        </w:rPr>
        <w:t>Заказчик</w:t>
      </w:r>
      <w:r>
        <w:rPr>
          <w:rStyle w:val="Strong"/>
          <w:rFonts w:eastAsia="Calibri"/>
          <w:b w:val="false"/>
          <w:bCs w:val="false"/>
          <w:color w:val="000000"/>
          <w:sz w:val="24"/>
          <w:szCs w:val="24"/>
        </w:rPr>
        <w:t xml:space="preserve"> (подразделение Заказчика): </w:t>
      </w:r>
      <w:r>
        <w:rPr>
          <w:rFonts w:eastAsia="Calibri"/>
          <w:b/>
          <w:bCs/>
          <w:i/>
          <w:iCs/>
          <w:color w:val="000000"/>
          <w:sz w:val="24"/>
          <w:szCs w:val="24"/>
        </w:rPr>
        <w:t xml:space="preserve">филиал АО «ДРСК» Приморские электрические сети.  </w:t>
      </w:r>
    </w:p>
    <w:p>
      <w:pPr>
        <w:pStyle w:val="Standard"/>
        <w:tabs>
          <w:tab w:val="clear" w:pos="708"/>
          <w:tab w:val="left" w:pos="1050" w:leader="none"/>
        </w:tabs>
        <w:spacing w:before="0" w:after="198"/>
        <w:jc w:val="both"/>
        <w:rPr>
          <w:i/>
          <w:i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>Адрес филиала: г</w:t>
      </w:r>
      <w:r>
        <w:rPr>
          <w:rFonts w:eastAsia="Calibri"/>
          <w:b/>
          <w:bCs/>
          <w:i/>
          <w:iCs/>
          <w:color w:val="000000"/>
          <w:sz w:val="24"/>
          <w:szCs w:val="24"/>
        </w:rPr>
        <w:t>. Владивосток, ул. Командорская, 13А.</w:t>
      </w:r>
    </w:p>
    <w:p>
      <w:pPr>
        <w:pStyle w:val="3"/>
        <w:jc w:val="right"/>
        <w:rPr/>
      </w:pPr>
      <w:bookmarkStart w:id="7" w:name="_Toc54646400"/>
      <w:bookmarkStart w:id="8" w:name="_Toc223358311"/>
      <w:r>
        <w:rPr/>
        <w:t>Таблица 1. Перечень объектов заказчика</w:t>
      </w:r>
      <w:bookmarkEnd w:id="7"/>
      <w:bookmarkEnd w:id="8"/>
    </w:p>
    <w:tbl>
      <w:tblPr>
        <w:tblW w:w="100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0"/>
        <w:gridCol w:w="1770"/>
        <w:gridCol w:w="2797"/>
        <w:gridCol w:w="3029"/>
        <w:gridCol w:w="850"/>
        <w:gridCol w:w="968"/>
      </w:tblGrid>
      <w:tr>
        <w:trPr>
          <w:trHeight w:val="53" w:hRule="atLeast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2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Расположение объекта (ПС)</w:t>
            </w:r>
          </w:p>
        </w:tc>
        <w:tc>
          <w:tcPr>
            <w:tcW w:w="3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Оборудование, подлежащее оснащению устройствами ЗДЗ</w:t>
            </w:r>
          </w:p>
        </w:tc>
        <w:tc>
          <w:tcPr>
            <w:tcW w:w="1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Примечания</w:t>
            </w:r>
          </w:p>
        </w:tc>
      </w:tr>
      <w:tr>
        <w:trPr>
          <w:trHeight w:val="109" w:hRule="atLeast"/>
        </w:trPr>
        <w:tc>
          <w:tcPr>
            <w:tcW w:w="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ЗДЗ, шт.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Код инвестпроекта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162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35 кВ Шмаковка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Кировский район, пос. Горные ключи, ул. Юбилейная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10 кВ, 2 секции, 24 ячейки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35 кВ Рыбный Порт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г.Владивосток, ул Ольховая, 17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28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62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110 кВ Реттиховка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Черниговский район, пос. Реттиховка, ул. Центральная, 45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21 ячейка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62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Раздольное-1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Надеждинский район, пос. Раздольное (Радиоцентр)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10 кВ, 2 секции, 22 ячейки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Раздольное-2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Надеждинский район, пос. Раздольное (Радиоцентр)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10 кВ, 1 секция, 10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110 кВ Волчанец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Партизанский район, пос. Волчанец, ул. Шоссейная</w:t>
            </w:r>
          </w:p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20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62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110 кВ ЖБФ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Находка, с. Екатериновка, ул. Кооперативная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26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35 кВ Барано-Оренбургская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Пограничный район, с. Барано-Оренбургское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10 кВ, 2 секции, 24 ячейки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35 кВ Известковая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Уссурийск, ул. Т. Тихого, 20А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1 секция, 12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35 кВ ЛДК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Дальнереченск, пос. ЛДК,  переулок Рабочий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18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на ПС 35 кВ УМЗ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Уссурийск, ул. Теремецкого, 22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21 ячейка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53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ЖБИ-130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Михайловский район, с. Михайловка, ул. Привокзальная, 28А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17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Спутник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Владивосток, ул. Минеральная, 6А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2 секции, 28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Улисс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Владивосток, ул. Вязовая, 10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ЗРУ 6 кВ, 4 секции, 53 ячейки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Екатериновка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Находка, с. Екатериновка, ул. Кооперативная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26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Южная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Партизанск, пос. Лозовый, ул. Энергетическая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16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Славянка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Хасанский район, пос. Славянка, ул. Ленинская, 66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36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Чайка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Владивосток, ул. Айвазовского, 77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16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Ипподром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Владивосток, ул. Аренского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6 кВ, 2 секции, 14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  <w:tr>
        <w:trPr>
          <w:trHeight w:val="109" w:hRule="atLeast"/>
        </w:trPr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 ЗДЗ  на ПС 110 кВ Пластун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Тернейский район, пос. Пластун, ул. Энергетиков, 1</w:t>
            </w:r>
          </w:p>
        </w:tc>
        <w:tc>
          <w:tcPr>
            <w:tcW w:w="3029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КРУН 10 кВ, 2 секции, 17 ячеек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Calibri"/>
                <w:i/>
                <w:color w:val="000000"/>
                <w:sz w:val="24"/>
                <w:szCs w:val="24"/>
              </w:rPr>
              <w:t>М_25 - ПЭС- 1245</w:t>
            </w:r>
          </w:p>
        </w:tc>
      </w:tr>
    </w:tbl>
    <w:p>
      <w:pPr>
        <w:pStyle w:val="3"/>
        <w:rPr/>
      </w:pPr>
      <w:r>
        <w:rPr/>
      </w:r>
    </w:p>
    <w:p>
      <w:pPr>
        <w:pStyle w:val="3"/>
        <w:rPr/>
      </w:pPr>
      <w:bookmarkStart w:id="9" w:name="_Toc223358312"/>
      <w:r>
        <w:rPr/>
        <w:t xml:space="preserve">1.4. </w:t>
      </w:r>
      <w:bookmarkStart w:id="10" w:name="_Hlk49857604"/>
      <w:bookmarkStart w:id="11" w:name="_Toc46743509"/>
      <w:r>
        <w:rPr/>
        <w:t xml:space="preserve">Информация в отношении исполнения договора, </w:t>
      </w:r>
      <w:bookmarkStart w:id="12" w:name="_Hlk46492347"/>
      <w:r>
        <w:rPr/>
        <w:t xml:space="preserve">которая должна быть учтена при подготовке заявки </w:t>
      </w:r>
      <w:bookmarkEnd w:id="12"/>
      <w:r>
        <w:rPr/>
        <w:t>(в том числе перечень ресурсов, услуг и документов, предоставляемых заказчиком на этапе исполнения договора)</w:t>
      </w:r>
      <w:bookmarkEnd w:id="10"/>
      <w:bookmarkEnd w:id="11"/>
      <w:r>
        <w:rPr/>
        <w:t>:</w:t>
      </w:r>
      <w:bookmarkEnd w:id="9"/>
    </w:p>
    <w:p>
      <w:pPr>
        <w:pStyle w:val="Standard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1.4.1. Устройства ЗДЗ применить согласно РД Заказчика по титулу «Оснащение ПС 35-110 кВ филиала ПЭС дуговыми защитами. Рабочая документация. ЮНИТЕЛ-22-1742», разработанной ООО «Юнител Инжиниринг», (Приложение 2 к настоящему Техническому заданию);</w:t>
      </w:r>
    </w:p>
    <w:p>
      <w:pPr>
        <w:pStyle w:val="Standard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1.4.2. СМР и ПНР выполняются на основании рабочей документации Заказчика по титулу «Оснащение ПС 35-110 кВ филиала ПЭС дуговыми защитами. Рабочая документация. ЮНИТЕЛ-22-1742», разработанной ООО «Юнител Инжиниринг» (Приложение 2 к настоящему Техническому заданию).</w:t>
      </w:r>
    </w:p>
    <w:p>
      <w:pPr>
        <w:pStyle w:val="3"/>
        <w:rPr/>
      </w:pPr>
      <w:r>
        <w:rPr/>
      </w:r>
      <w:bookmarkStart w:id="13" w:name="_Hlk48209761"/>
      <w:bookmarkStart w:id="14" w:name="_Hlk48209761"/>
      <w:bookmarkEnd w:id="14"/>
    </w:p>
    <w:p>
      <w:pPr>
        <w:pStyle w:val="3"/>
        <w:rPr/>
      </w:pPr>
      <w:bookmarkStart w:id="15" w:name="_Toc223358313"/>
      <w:r>
        <w:rPr/>
        <w:t xml:space="preserve">1.5. </w:t>
      </w:r>
      <w:bookmarkStart w:id="16" w:name="_Toc50125126"/>
      <w:r>
        <w:rPr/>
        <w:t>Иные требования и сведения общего характера</w:t>
      </w:r>
      <w:bookmarkEnd w:id="15"/>
    </w:p>
    <w:p>
      <w:pPr>
        <w:pStyle w:val="3"/>
        <w:jc w:val="left"/>
        <w:rPr>
          <w:b w:val="false"/>
          <w:b w:val="false"/>
        </w:rPr>
      </w:pPr>
      <w:bookmarkStart w:id="17" w:name="_Toc223358314"/>
      <w:r>
        <w:rPr>
          <w:b w:val="false"/>
        </w:rPr>
        <w:t>Подрядчик обязан во всех выпускаемых документах (локальные сметные расчёты, техническая документация, акты выполненных работ, сохранять единое наименование выполняемых работ (стройки) в соответствии с п.1.2. и объектов в соответствии с гр.2 таблицы 1.</w:t>
      </w:r>
      <w:bookmarkEnd w:id="17"/>
    </w:p>
    <w:p>
      <w:pPr>
        <w:pStyle w:val="Standard"/>
        <w:ind w:firstLine="426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3"/>
        <w:numPr>
          <w:ilvl w:val="0"/>
          <w:numId w:val="3"/>
        </w:numPr>
        <w:ind w:left="0" w:hanging="360"/>
        <w:rPr/>
      </w:pPr>
      <w:bookmarkStart w:id="18" w:name="_Toc51339693"/>
      <w:bookmarkStart w:id="19" w:name="_Toc223358315"/>
      <w:r>
        <w:rPr/>
        <w:t>Требования к продукции</w:t>
      </w:r>
      <w:bookmarkEnd w:id="18"/>
      <w:bookmarkEnd w:id="19"/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4"/>
        <w:numPr>
          <w:ilvl w:val="1"/>
          <w:numId w:val="3"/>
        </w:numPr>
        <w:rPr/>
      </w:pPr>
      <w:bookmarkStart w:id="20" w:name="_Toc223358316"/>
      <w:r>
        <w:rPr/>
        <w:t>Требования к объемам и срокам выполнения работ</w:t>
      </w:r>
      <w:bookmarkEnd w:id="20"/>
    </w:p>
    <w:p>
      <w:pPr>
        <w:pStyle w:val="Standard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3"/>
        <w:numPr>
          <w:ilvl w:val="2"/>
          <w:numId w:val="3"/>
        </w:numPr>
        <w:rPr/>
      </w:pPr>
      <w:bookmarkStart w:id="21" w:name="_Toc223358317"/>
      <w:r>
        <w:rPr/>
        <w:t>Требования к видам и объемам работ</w:t>
      </w:r>
      <w:bookmarkEnd w:id="21"/>
    </w:p>
    <w:p>
      <w:pPr>
        <w:pStyle w:val="Standard"/>
        <w:ind w:left="180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3"/>
        <w:jc w:val="right"/>
        <w:rPr/>
      </w:pPr>
      <w:bookmarkStart w:id="22" w:name="_Toc223358318"/>
      <w:bookmarkStart w:id="23" w:name="_Toc51339695"/>
      <w:r>
        <w:rPr/>
        <w:t xml:space="preserve">Таблица 2. Перечень </w:t>
      </w:r>
      <w:bookmarkEnd w:id="23"/>
      <w:r>
        <w:rPr/>
        <w:t>и объем выполняемых работ</w:t>
      </w:r>
      <w:bookmarkEnd w:id="22"/>
    </w:p>
    <w:tbl>
      <w:tblPr>
        <w:tblW w:w="9526" w:type="dxa"/>
        <w:jc w:val="left"/>
        <w:tblInd w:w="38" w:type="dxa"/>
        <w:tblLayout w:type="fixed"/>
        <w:tblCellMar>
          <w:top w:w="0" w:type="dxa"/>
          <w:left w:w="2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5"/>
        <w:gridCol w:w="5193"/>
        <w:gridCol w:w="2271"/>
        <w:gridCol w:w="1386"/>
      </w:tblGrid>
      <w:tr>
        <w:trPr/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2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97" w:hRule="atLeast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8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Выполнение строительно-монтажных работ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с заказчиком ППР</w:t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монтажных работ на 20-ти подстанциях ПЭС по монтажу оборудования дуговой защиты КРУ (ЗРУ)-6 (10) кВ  в соответствии с РД  (</w:t>
            </w:r>
            <w:r>
              <w:rPr>
                <w:rFonts w:eastAsia="Calibri"/>
                <w:sz w:val="24"/>
                <w:szCs w:val="24"/>
              </w:rPr>
              <w:t xml:space="preserve">(Приложение 2 к настоящему Техническому заданию) </w:t>
            </w:r>
            <w:r>
              <w:rPr>
                <w:sz w:val="24"/>
                <w:szCs w:val="24"/>
              </w:rPr>
              <w:t>и ППР</w:t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единица, шт.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>
          <w:trHeight w:val="412" w:hRule="atLeast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8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Выполнение ПНР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ПНР в соответствии с РД </w:t>
            </w:r>
            <w:r>
              <w:rPr>
                <w:rFonts w:eastAsia="Calibri"/>
                <w:sz w:val="24"/>
                <w:szCs w:val="24"/>
              </w:rPr>
              <w:t>(Приложение 2 к настоящему Техническому заданию)</w:t>
            </w:r>
            <w:r>
              <w:rPr>
                <w:sz w:val="24"/>
                <w:szCs w:val="24"/>
              </w:rPr>
              <w:t xml:space="preserve"> п. 1.3 Табл.4.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и представление заказчику исполнительной документации (Оформление протоколов пусконаладочных работ, протоколов проф.испытаний электрооборудования, скорректированного пакета РД </w:t>
            </w:r>
            <w:r>
              <w:rPr>
                <w:rFonts w:eastAsia="Calibri"/>
                <w:sz w:val="24"/>
                <w:szCs w:val="24"/>
              </w:rPr>
              <w:t xml:space="preserve">(Приложение 2 к настоящему Техническому заданию) </w:t>
            </w:r>
            <w:r>
              <w:rPr>
                <w:sz w:val="24"/>
                <w:szCs w:val="24"/>
              </w:rPr>
              <w:t>по результатам ПНР)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 ИД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опробования устройств ЗДЗ, подготовка и ввод по комплексной программе.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ЗДЗ, шт.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  <w:tr>
        <w:trPr>
          <w:trHeight w:val="429" w:hRule="atLeast"/>
        </w:trPr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Корректировка РД</w:t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51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РД по результатам ПНР.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Альбом</w:t>
            </w:r>
          </w:p>
        </w:tc>
        <w:tc>
          <w:tcPr>
            <w:tcW w:w="13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>
      <w:pPr>
        <w:pStyle w:val="3"/>
        <w:rPr/>
      </w:pPr>
      <w:r>
        <w:rPr/>
      </w:r>
    </w:p>
    <w:p>
      <w:pPr>
        <w:pStyle w:val="3"/>
        <w:numPr>
          <w:ilvl w:val="2"/>
          <w:numId w:val="3"/>
        </w:numPr>
        <w:rPr/>
      </w:pPr>
      <w:bookmarkStart w:id="24" w:name="_Toc223358319"/>
      <w:bookmarkStart w:id="25" w:name="_Toc51339696"/>
      <w:r>
        <w:rPr/>
        <w:t xml:space="preserve">Требования </w:t>
      </w:r>
      <w:bookmarkEnd w:id="25"/>
      <w:r>
        <w:rPr/>
        <w:t>к срокам выполнения работ</w:t>
      </w:r>
      <w:bookmarkEnd w:id="24"/>
    </w:p>
    <w:p>
      <w:pPr>
        <w:pStyle w:val="3"/>
        <w:jc w:val="right"/>
        <w:rPr/>
      </w:pPr>
      <w:bookmarkStart w:id="26" w:name="_Toc223358320"/>
      <w:bookmarkStart w:id="27" w:name="_Toc50125127"/>
      <w:bookmarkStart w:id="28" w:name="_Toc51339697"/>
      <w:bookmarkEnd w:id="16"/>
      <w:r>
        <w:rPr/>
        <w:t xml:space="preserve">Таблица 3. </w:t>
      </w:r>
      <w:bookmarkStart w:id="29" w:name="_Hlk50465284"/>
      <w:r>
        <w:rPr/>
        <w:t xml:space="preserve">Требования по срокам </w:t>
      </w:r>
      <w:bookmarkEnd w:id="27"/>
      <w:bookmarkEnd w:id="28"/>
      <w:bookmarkEnd w:id="29"/>
      <w:r>
        <w:rPr/>
        <w:t>выполнения работ</w:t>
      </w:r>
      <w:bookmarkEnd w:id="26"/>
    </w:p>
    <w:tbl>
      <w:tblPr>
        <w:tblW w:w="10059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5"/>
        <w:gridCol w:w="4719"/>
        <w:gridCol w:w="2505"/>
        <w:gridCol w:w="2169"/>
      </w:tblGrid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>
          <w:trHeight w:val="218" w:hRule="atLeast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41"/>
              <w:keepNext w:val="false"/>
              <w:widowControl w:val="false"/>
              <w:spacing w:before="40" w:after="4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Style41"/>
              <w:keepNext w:val="false"/>
              <w:widowControl w:val="false"/>
              <w:spacing w:before="40" w:after="4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Выполнение строительно-монтажных работ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с заказчиком ППР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30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1.2.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монтажных работ на 20-ти подстанциях ПЭС по монтажу оборудования дуговой защиты КРУ (ЗРУ)-6 (10) кВ  в соответствии с РД  (</w:t>
            </w:r>
            <w:r>
              <w:rPr>
                <w:rFonts w:eastAsia="Calibri"/>
                <w:sz w:val="24"/>
                <w:szCs w:val="24"/>
              </w:rPr>
              <w:t xml:space="preserve">(Приложение 2 к настоящему Техническому заданию) </w:t>
            </w:r>
            <w:r>
              <w:rPr>
                <w:sz w:val="24"/>
                <w:szCs w:val="24"/>
              </w:rPr>
              <w:t>и ППР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275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3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Выполнение ПНР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ПНР в соответствии с РД </w:t>
            </w:r>
            <w:r>
              <w:rPr>
                <w:rFonts w:eastAsia="Calibri"/>
                <w:sz w:val="24"/>
                <w:szCs w:val="24"/>
              </w:rPr>
              <w:t>(Приложение 2 к настоящим настоящему Техническому заданию)</w:t>
            </w:r>
            <w:r>
              <w:rPr>
                <w:sz w:val="24"/>
                <w:szCs w:val="24"/>
              </w:rPr>
              <w:t xml:space="preserve"> п. 1.3 Табл.4.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275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</w:tc>
      </w:tr>
      <w:tr>
        <w:trPr>
          <w:trHeight w:val="906" w:hRule="atLeast"/>
        </w:trPr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и представление заказчику исполнительной документации (Оформление протоколов пусконаладочных работ, протоколов проф.испытаний электрооборудования, скорректированного пакета РД </w:t>
            </w:r>
            <w:r>
              <w:rPr>
                <w:rFonts w:eastAsia="Calibri"/>
                <w:sz w:val="24"/>
                <w:szCs w:val="24"/>
              </w:rPr>
              <w:t>(Приложение 2 к настоящему Техническому заданию)</w:t>
            </w:r>
            <w:r>
              <w:rPr>
                <w:sz w:val="24"/>
                <w:szCs w:val="24"/>
              </w:rPr>
              <w:t>по результатам ПНР)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275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2.3.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опробования устройств ЗДЗ, подготовка и ввод по комплексной программе.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275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Корректировка РД</w:t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РД по результатам ПНР.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 подряда</w:t>
            </w:r>
          </w:p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В течение 275 календарных дней </w:t>
            </w:r>
            <w:r>
              <w:rPr>
                <w:i/>
                <w:iCs/>
                <w:sz w:val="24"/>
                <w:szCs w:val="24"/>
                <w:lang w:val="en-US"/>
              </w:rPr>
              <w:t>c</w:t>
            </w:r>
            <w:r>
              <w:rPr>
                <w:i/>
                <w:iCs/>
                <w:sz w:val="24"/>
                <w:szCs w:val="24"/>
              </w:rPr>
              <w:t xml:space="preserve"> момента заключения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100" w:charSpace="49152"/>
        </w:sectPr>
      </w:pPr>
    </w:p>
    <w:p>
      <w:pPr>
        <w:pStyle w:val="4"/>
        <w:numPr>
          <w:ilvl w:val="1"/>
          <w:numId w:val="3"/>
        </w:numPr>
        <w:rPr>
          <w:sz w:val="24"/>
          <w:szCs w:val="24"/>
        </w:rPr>
      </w:pPr>
      <w:bookmarkStart w:id="30" w:name="_Toc223358321"/>
      <w:r>
        <w:rPr/>
        <w:t>Требования к качеству работ</w:t>
      </w:r>
      <w:bookmarkEnd w:id="30"/>
    </w:p>
    <w:p>
      <w:pPr>
        <w:pStyle w:val="3"/>
        <w:rPr>
          <w:sz w:val="24"/>
          <w:szCs w:val="24"/>
        </w:rPr>
      </w:pPr>
      <w:bookmarkStart w:id="31" w:name="_Toc223358322"/>
      <w:bookmarkStart w:id="32" w:name="_Toc51339698"/>
      <w:r>
        <w:rPr/>
        <w:t xml:space="preserve">Таблица 4. Требования к </w:t>
      </w:r>
      <w:bookmarkEnd w:id="32"/>
      <w:r>
        <w:rPr/>
        <w:t>качеству работ</w:t>
      </w:r>
      <w:bookmarkEnd w:id="31"/>
    </w:p>
    <w:p>
      <w:pPr>
        <w:pStyle w:val="Standard"/>
        <w:snapToGrid w:val="false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работ/этапа работ: </w:t>
      </w:r>
      <w:r>
        <w:rPr>
          <w:b/>
          <w:bCs/>
          <w:i/>
          <w:sz w:val="24"/>
          <w:szCs w:val="24"/>
        </w:rPr>
        <w:t>ОКДП2 42.22.12.120. Выполнение работ по оснащению ПС 35-110 кВ дуговыми защитами с разработкой рабочей документации для филиала АО «ДРСК» «Приморские электрические сети».</w:t>
      </w:r>
    </w:p>
    <w:tbl>
      <w:tblPr>
        <w:tblW w:w="1540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993"/>
        <w:gridCol w:w="2921"/>
        <w:gridCol w:w="9465"/>
        <w:gridCol w:w="2025"/>
      </w:tblGrid>
      <w:tr>
        <w:trPr>
          <w:trHeight w:val="1245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>
        <w:trPr>
          <w:trHeight w:val="7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Standard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заявке согласие выполнить работы, полностью соответствующие настоящему техническому задания, по форме Технического предложения, установленной в Документации о закупке</w:t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выполнению технических регламентов и НТД при выполнении СМР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Работы по Объекту подлежат выполнению в строгом соответствии с указаниями представителей технического надзора требованиями технической и эксплуатационной документации заводов-изготовителей поставляемой продукции и требованиями Применимого права, разграниченного обязательными к исполнению нормативными правовыми актами органов государственной власти Российской Федерации и местного самоуправления, а также строительными нормами и правилами (СНиП), методической документацией в строительстве (МДС), руководящими документами (РД), сводами правил по проектированию и строительству (СП), техническими регламентами, национальными стандартами (ГОСТ Р), а также другими действующими правилами и инструкциями, в том числе: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ПРАВИЛА УСТРОЙСТВА ЭЛЕКТРОУСТАНОВОК ПУЭ шестое и седьмое издание в действующей редакции на 2026 год;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Правила технической эксплуатации электрических станций и сетей ПТЭЭСиС в действующей редакции Приказа Минэнерго Росстт от 09.12.2024 №2398;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Приказ от 13.07.2020 года № 555 Минэнерго России «Об утверждении Правил технического обслуживания устройств и комплексов релейной защиты и автоматики, и внесение изменений в требования к обеспечению надежности электроэнергетических систем, надежности и безопасности объектов электроэнергетики и энергопринимающих установок «Правила организации технического обслуживания и ремонта объектов электроэнергетики», утвержденные приказом Минэнерго России от 25 октября 2017 г. №1013.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 68.13330.2017 Приемка в эксплуатацию законченных строительством объектов. Основные положения. Актуализированная редакция СНиП 3.01.04-87;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 76.13330.2016 «Электротехнические устройства»;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- Приказ Минстроя России от 16.05.2023 № 344/пр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Приказ Минстроя России от 02.12.2022 № 1026/пр «Об утверждении формы и порядка ведения общего журнала, в котором ведется учет выполнения работ по строительству, реконструкции, капитальному ремонту объекта капитального строительства» 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 1.13-07 «Инструкция по оформлению приемо-сдаточной документации по электромонтажным работам»;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Постановление Правительства Российской Федерации от 21 июня 2010 г.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Правила по охране труда при эксплуатации электроустановок, утвержденных приказом Министерства труда и социальной защиты РФ от 15 декабря 2020 № 903 н;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СНиП 12-03-2001 «Безопасность труда в строительстве», часть 1 «Общие требования»;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ГОСТ 12.3.032-84 ССБТ «Работы электромонтажные. Общие требования безопасности»;</w:t>
            </w:r>
          </w:p>
          <w:p>
            <w:pPr>
              <w:pStyle w:val="Standard"/>
              <w:widowControl w:val="false"/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Правила пожарной безопасности;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466" w:leader="none"/>
              </w:tabs>
              <w:spacing w:before="0" w:after="60"/>
              <w:ind w:firstLine="567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- Иные действующие законодательные и нормативно-технические документы   в области строительства и электромонтажных работ, регулирующие вопросы обеспечения безопасности и качества работ, обязательные к применению на территории Российской Федерации и Приморского края и содержащие экологические нормы, санитарно-гигиенические правила, требования промышленной и противопожарной безопасности, производства работ и охраны труда персонала, относящиеся к Работам и Объекту.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785" w:leader="none"/>
              </w:tabs>
              <w:spacing w:before="0" w:after="200"/>
              <w:ind w:left="0" w:firstLine="324"/>
              <w:jc w:val="both"/>
              <w:rPr>
                <w:spacing w:val="-1"/>
              </w:rPr>
            </w:pPr>
            <w:r>
              <w:rPr>
                <w:spacing w:val="-1"/>
              </w:rPr>
              <w:t>В случае если какой-либо из указанных ГОСТ или нормативных документов был отменен в связи с выпуском новой редакции стандарта, то необходимо применять ГОСТ или нормативный документ, принятый в его развитие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организации  и выполнению СМР и ПНР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Строительно-монтажные и пусконаладочные работы выполняются согласно ППР (проекта производства работ) и графика производства работ. ППР и график производства работ разрабатываются Подрядчиком и до предполагаемого начала работ предоставляются для согласования Заказчику. Режим выполнения работ – по согласованному с Заказчиком не менее чем за 10 дней до начала работ графику.</w:t>
            </w:r>
          </w:p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начала работ оформить двусторонний Акт готовности объекта к выполнению работ и предоставить его на утверждение Заказчику. Заблаговременно представить Заказчику списки персонала (транспорта и строительной техники) для оформления пропусков на проход (проезд) на территорию объекта. Обеспечить в установленном у Заказчика порядке оформление наряд-допуска на производство работ. Работы выполнять при наличии уведомления о начале производства работ.</w:t>
            </w:r>
          </w:p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bCs/>
                <w:sz w:val="24"/>
                <w:szCs w:val="24"/>
              </w:rPr>
              <w:t xml:space="preserve">Перед началом производства строительно-монтажных работ необходимо выполнение организационно - технических мероприятий, обеспечивающих безопасное производство работ: </w:t>
            </w:r>
            <w:r>
              <w:rPr>
                <w:sz w:val="24"/>
                <w:szCs w:val="24"/>
              </w:rPr>
              <w:t xml:space="preserve"> назначение приказом подрядчика ответственного лица на объекте реконструкции за соблюдением требований техники безопасности, пожарной безопасности и охраны окружающей среды;</w:t>
            </w:r>
          </w:p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Всю необходимую исходно-разрешительную документацию для выполнения строительно-монтажных работ Подрядчик получает самостоятельно. Для выполнения работ и оформления соответствующих документов Подрядчику оформляется доверенность для предоставления интересов от лица Заказчика (При необходимости).</w:t>
            </w:r>
          </w:p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Подрядчик самостоятельно получает от лица Заказчика все необходимые согласования для возможности производства работ.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rPr>
                <w:b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используемым материалам  и оборудованию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rPr>
                <w:sz w:val="24"/>
                <w:szCs w:val="24"/>
                <w:shd w:fill="FFFF00" w:val="clear"/>
              </w:rPr>
            </w:pPr>
            <w:r>
              <w:rPr>
                <w:rFonts w:eastAsia="Batang"/>
                <w:sz w:val="24"/>
                <w:szCs w:val="24"/>
              </w:rPr>
              <w:t>1.</w:t>
            </w:r>
            <w:r>
              <w:rPr>
                <w:rFonts w:eastAsia="Batang"/>
                <w:b/>
                <w:sz w:val="24"/>
                <w:szCs w:val="24"/>
              </w:rPr>
              <w:t xml:space="preserve"> </w:t>
            </w:r>
            <w:r>
              <w:rPr>
                <w:rFonts w:eastAsia="Batang"/>
                <w:sz w:val="24"/>
                <w:szCs w:val="24"/>
              </w:rPr>
              <w:t>Закупка материалов и</w:t>
            </w:r>
            <w:r>
              <w:rPr>
                <w:color w:val="000000"/>
                <w:sz w:val="24"/>
                <w:szCs w:val="24"/>
              </w:rPr>
              <w:t xml:space="preserve"> оборудования , необходимых для выполнения Работ  (устройств ЗДЗ, кабелей, оптических ВОД и пр.) осуществляется Подрядчиком в соответствии со  спецификациями, разработанными и согласованными заказчиком в составе рабочей документации (Приложение 2 </w:t>
            </w:r>
            <w:r>
              <w:rPr>
                <w:rFonts w:eastAsia="Calibri"/>
                <w:sz w:val="24"/>
                <w:szCs w:val="24"/>
              </w:rPr>
              <w:t>к настоящему Техническому заданию</w:t>
            </w:r>
            <w:r>
              <w:rPr>
                <w:color w:val="000000"/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включая указания производителя продукции. 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2. Подрядчик в обязательном порядке письменно согласовывает с Заказчиком поставщика (производителя) оборудования и материалов.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Тип и состав какого-либо оборудования или материалов, закупаемых Подрядчиком, может быть изменен только в случае предварительного согласования с Заказчиком. Возможно применение эквивалентов оборудованию на этапе выполнения работ при согласовании с Заказчиком и корректировки РД (при необходимости) за счёт Подрядчика в срок не более 30 календарных дней с момента заключения Договора.</w:t>
            </w:r>
          </w:p>
          <w:p>
            <w:pPr>
              <w:pStyle w:val="Standard"/>
              <w:widowControl w:val="false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Доставку материалов и оборудования на объект, разгрузку и хранение материалов и конструкций осуществляет Подрядчик.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607" w:leader="none"/>
              </w:tabs>
              <w:ind w:left="0" w:hanging="0"/>
              <w:jc w:val="both"/>
              <w:rPr>
                <w:shd w:fill="FFFF00" w:val="clear"/>
              </w:rPr>
            </w:pPr>
            <w:r>
              <w:rPr/>
              <w:t>5. Продукция должна быть новой и ранее не использованной. Все оборудование и материалы должны иметь заводскую гарантию производителя;;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bookmarkStart w:id="33" w:name="_GoBack_Копия_1"/>
            <w:bookmarkEnd w:id="33"/>
            <w:r>
              <w:rPr>
                <w:sz w:val="24"/>
                <w:szCs w:val="24"/>
              </w:rPr>
              <w:t>1.2.2.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сертификации поставляемой продукции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ListParagraph"/>
              <w:widowControl w:val="false"/>
              <w:shd w:val="clear" w:color="auto" w:fill="FFFFFF"/>
              <w:ind w:left="0" w:firstLine="567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</w:rPr>
              <w:t>Поставляемая продукция должна соответствовать требованиям действующих на территории Российской федерации стандартов, ГОСТов и ТУ.</w:t>
            </w:r>
          </w:p>
          <w:p>
            <w:pPr>
              <w:pStyle w:val="ListParagraph"/>
              <w:widowControl w:val="false"/>
              <w:shd w:val="clear" w:color="auto" w:fill="FFFFFF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bCs/>
              </w:rPr>
              <w:t xml:space="preserve">    </w:t>
            </w:r>
            <w:r>
              <w:rPr/>
              <w:t>- Для оборудования российских производителей требуется выполнение ТУ или иных документов, подтверждающих соответствие техническим требованиям;</w:t>
            </w:r>
          </w:p>
          <w:p>
            <w:pPr>
              <w:pStyle w:val="Standard"/>
              <w:widowControl w:val="false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- Для оборудования импортного производства требуются сертификаты соответствия функциональных и технических показателей оборудования условиям эксплуатации и действующим отраслевым требованиям. Сертификация должна быть проведена в соответствии с  Постановлением Правительства РФ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(с изменениями и дополнениями);;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607" w:leader="none"/>
              </w:tabs>
              <w:ind w:left="0" w:firstLine="360"/>
              <w:jc w:val="both"/>
              <w:rPr>
                <w:shd w:fill="FFFF00" w:val="clear"/>
              </w:rPr>
            </w:pPr>
            <w:r>
              <w:rPr/>
              <w:t xml:space="preserve">- При комплектации оборудования, кабельной продукции и материалов импортного производства, вся техническая документации должна быть представлена на русском языке и языке страны завода-изготовителя (инструкции по монтажу и </w:t>
            </w:r>
            <w:r>
              <w:rPr>
                <w:spacing w:val="-1"/>
              </w:rPr>
              <w:t>эксплуатации).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Требования к доставке материалов и оборудования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к месту производства работ  необходимых материалов и оборудования для производства работ осуществляется Подрядчиком самостоятельно.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1.3.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ПНР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Выполнить пусконаладочные работы установленного оборудования, дополнительного оборудования и всех вторичных соединений в рамках данного титула </w:t>
            </w:r>
            <w:r>
              <w:rPr>
                <w:b/>
                <w:bCs/>
                <w:i/>
                <w:iCs/>
                <w:sz w:val="24"/>
                <w:szCs w:val="24"/>
              </w:rPr>
              <w:t>Выполнение работ по оснащению ПС 35-110 кВ дуговыми защитами с разработкой рабочей документации для филиала АО «ДРСК» «Приморские электрические сети»</w:t>
            </w:r>
            <w:r>
              <w:rPr>
                <w:b/>
                <w:bCs/>
                <w:i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  соответствии с рабочей документацией и с оформлением протоколов ПНР.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1.3.2.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работы выполнить в один этап согласно разработанному подрядчиком и согласованному заказчиком проекту производства работ и графику выполнения работ.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Откорректировать РД по результатам проведения ПНР.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исполнительной документации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1.4.1.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Выполнить корректировку рабочей документации с учетом изменения расположения оборудования.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567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Откорректированные альбомы РД вместе с исполнительной документацией представить в СРЗА СП ПЭС с оформлением актов приема-передачи.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11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форматов при передаче исполнительной документации в электронном виде: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ind w:firstLine="6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tbl>
            <w:tblPr>
              <w:tblW w:w="9973" w:type="dxa"/>
              <w:jc w:val="left"/>
              <w:tblInd w:w="41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190"/>
              <w:gridCol w:w="4606"/>
              <w:gridCol w:w="2177"/>
            </w:tblGrid>
            <w:tr>
              <w:trPr>
                <w:trHeight w:val="522" w:hRule="atLeast"/>
              </w:trPr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Вид документа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Используемое приложение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Формат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Текстовая часть, описания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MS Word   </w:t>
                  </w:r>
                  <w:r>
                    <w:rPr>
                      <w:sz w:val="24"/>
                      <w:szCs w:val="24"/>
                    </w:rPr>
                    <w:t>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Adobe Acrobat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.doc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.pdf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Таблицы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MS Excel    </w:t>
                  </w:r>
                  <w:r>
                    <w:rPr>
                      <w:sz w:val="24"/>
                      <w:szCs w:val="24"/>
                    </w:rPr>
                    <w:t>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Adobe Acrobat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.xls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.pdf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Базы данных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MS Excel   </w:t>
                  </w:r>
                  <w:r>
                    <w:rPr>
                      <w:sz w:val="24"/>
                      <w:szCs w:val="24"/>
                    </w:rPr>
                    <w:t>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Adobe Acrobat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.xls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.pdf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Планы, графики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MS Project    </w:t>
                  </w:r>
                  <w:r>
                    <w:rPr>
                      <w:sz w:val="24"/>
                      <w:szCs w:val="24"/>
                    </w:rPr>
                    <w:t>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MS Excel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.mpp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.xls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Чертежи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AutoCAD</w:t>
                  </w:r>
                  <w:r>
                    <w:rPr>
                      <w:sz w:val="24"/>
                      <w:szCs w:val="24"/>
                    </w:rPr>
                    <w:t xml:space="preserve">    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Adobe Acrobat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.dwg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.pdf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Графический материал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MS Photo Editor    </w:t>
                  </w:r>
                  <w:r>
                    <w:rPr>
                      <w:sz w:val="24"/>
                      <w:szCs w:val="24"/>
                    </w:rPr>
                    <w:t>и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Adobe Acrobat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.jpg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.pdf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Электронный архив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WinRar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.rar</w:t>
                  </w:r>
                  <w:r>
                    <w:rPr>
                      <w:sz w:val="24"/>
                      <w:szCs w:val="24"/>
                    </w:rPr>
                    <w:t xml:space="preserve"> *</w:t>
                  </w:r>
                </w:p>
              </w:tc>
            </w:tr>
            <w:tr>
              <w:trPr/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Сметная документация</w:t>
                  </w:r>
                </w:p>
              </w:tc>
              <w:tc>
                <w:tcPr>
                  <w:tcW w:w="46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MS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en-US"/>
                    </w:rPr>
                    <w:t>Excel</w:t>
                  </w:r>
                  <w:r>
                    <w:rPr>
                      <w:sz w:val="24"/>
                      <w:szCs w:val="24"/>
                    </w:rPr>
                    <w:t xml:space="preserve"> и в формате программы «ГРАНД СМЕТА», позволяющем вести накопительные ведомости по локальным сметам.</w:t>
                  </w:r>
                </w:p>
              </w:tc>
              <w:tc>
                <w:tcPr>
                  <w:tcW w:w="21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  <w:lang w:val="en-US"/>
                    </w:rPr>
                    <w:t>xls</w:t>
                  </w:r>
                </w:p>
                <w:p>
                  <w:pPr>
                    <w:pStyle w:val="Standard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  <w:lang w:val="en-US"/>
                    </w:rPr>
                    <w:t>gsf</w:t>
                  </w:r>
                </w:p>
              </w:tc>
            </w:tr>
          </w:tbl>
          <w:p>
            <w:pPr>
              <w:pStyle w:val="Standard"/>
              <w:widowControl w:val="false"/>
              <w:tabs>
                <w:tab w:val="clear" w:pos="708"/>
                <w:tab w:val="left" w:pos="993" w:leader="none"/>
              </w:tabs>
              <w:ind w:firstLine="6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1.5.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ind w:firstLine="312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Работы,  производимые в действующих электроустановках, необходимо проводить с согласованными действиями и мероприятиями по охране труда согласно требованиям главы XLVI "</w:t>
            </w:r>
            <w:r>
              <w:rPr>
                <w:sz w:val="24"/>
                <w:szCs w:val="24"/>
              </w:rPr>
              <w:t>Охрана труда при организации работ командированного персонала», Правила по охране труда при эксплуатации электроустановок, утвержденных приказом Министерства труда и социальной защиты РФ от 15 декабря 2020 г. № 903н (ред. от 29.04.2022).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123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ind w:firstLine="3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 до начала производства работ  на территориях и объектах Общества обязан в соответствии с требованиями статьи 214 Трудового кодекса РФ согласовать с Заказчиком мероприятия по предотвращению случаев повреждения здоровья работников.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85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2.1.</w:t>
            </w:r>
          </w:p>
        </w:tc>
        <w:tc>
          <w:tcPr>
            <w:tcW w:w="12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Приемка выполненных работ осуществляется Заказчиком в соответствии с условиями заключенного договора подряда.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85" w:hRule="atLeast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2.2.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>
              <w:rPr>
                <w:bCs/>
                <w:i/>
                <w:sz w:val="24"/>
                <w:szCs w:val="24"/>
              </w:rPr>
              <w:t>Требования к передаваемой документации при приемке выполненных работ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Подрядчик в день завершения работ, указанный в календарном плане, направляет в АО «ДРСК» Акт сдачи-приемки выполненных работ, оформленный по форме КС-2 с приложением исполнительной документации, оформленной в соответствии с п.1.4. настоящей таблицы, в т.ч. :</w:t>
            </w:r>
          </w:p>
          <w:p>
            <w:pPr>
              <w:pStyle w:val="Standard"/>
              <w:widowControl w:val="false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Акт технической готовности электромонтажных работ;</w:t>
              <w:tab/>
              <w:tab/>
            </w:r>
          </w:p>
          <w:p>
            <w:pPr>
              <w:pStyle w:val="Standard"/>
              <w:widowControl w:val="false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Паспорта и сертификаты на примененные материалы, изделия, оборудование;</w:t>
            </w:r>
          </w:p>
          <w:p>
            <w:pPr>
              <w:pStyle w:val="Standard"/>
              <w:widowControl w:val="false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журнал производства работ (форма КС-6), в котором отражается весь ход производства работ, а также все факты и обстоятельства, связанные с производством работ, имеющие значение во взаимоотношениях Заказчика и Подрядчика;</w:t>
            </w:r>
          </w:p>
          <w:p>
            <w:pPr>
              <w:pStyle w:val="Standard"/>
              <w:widowControl w:val="false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журнал учёта выполненных работ (форма КС-6А), в котором отражаются работы по каждому объекту строительства на основании замеров выполненных работ и единых норм и расценок по каждому конструктивному элементу или виду работ.</w:t>
            </w:r>
          </w:p>
          <w:p>
            <w:pPr>
              <w:pStyle w:val="Standard"/>
              <w:widowControl w:val="false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•</w:t>
            </w:r>
            <w:r>
              <w:rPr>
                <w:sz w:val="24"/>
                <w:szCs w:val="24"/>
              </w:rPr>
              <w:tab/>
              <w:t>Формы журналов должны соответствовать типовым межотраслевым формам № КС-6 и № КС-6А, утверждённым постановлением Госкомстата России от 11 ноября 1999 г. № 100, и согласовываться Заказчиком и Подрядчиком в части, учитывающей особенности производства работ по договору подряда.</w:t>
            </w:r>
          </w:p>
          <w:p>
            <w:pPr>
              <w:pStyle w:val="Standard"/>
              <w:widowControl w:val="fals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профиспытаний оборудования электротехнической лабораторией.</w:t>
            </w:r>
          </w:p>
          <w:p>
            <w:pPr>
              <w:pStyle w:val="Standard"/>
              <w:widowControl w:val="false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ПНР, акты опробования РЗА.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560" w:leader="none"/>
              </w:tabs>
              <w:ind w:left="170" w:firstLine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74" w:hRule="atLeast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2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Особые условия</w:t>
            </w:r>
          </w:p>
        </w:tc>
        <w:tc>
          <w:tcPr>
            <w:tcW w:w="94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Standard"/>
              <w:widowControl w:val="false"/>
              <w:tabs>
                <w:tab w:val="clear" w:pos="708"/>
                <w:tab w:val="left" w:pos="1260" w:leader="none"/>
                <w:tab w:val="left" w:pos="2160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Предоставить Заказчику письма о направлении командированного персонала для проведения инструктажей.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390" w:leader="none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2. </w:t>
            </w:r>
            <w:r>
              <w:rPr>
                <w:b/>
                <w:bCs/>
                <w:i/>
                <w:iCs/>
                <w:sz w:val="24"/>
                <w:szCs w:val="24"/>
              </w:rPr>
              <w:t>Акты выполненных работ КС-2, КС-3 оформлять по каждому объекту таблицы 1, с указанием наименования объекта в соответствии с гр.2,  инв.номера (гр.4) и суммы по каждому объекту.</w:t>
            </w:r>
          </w:p>
        </w:tc>
        <w:tc>
          <w:tcPr>
            <w:tcW w:w="20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8" w:type="dxa"/>
              <w:right w:w="108" w:type="dxa"/>
            </w:tcMar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header="680" w:top="851" w:footer="0" w:bottom="851" w:gutter="0"/>
          <w:pgNumType w:fmt="decimal"/>
          <w:formProt w:val="false"/>
          <w:titlePg/>
          <w:textDirection w:val="lrTb"/>
          <w:docGrid w:type="default" w:linePitch="100" w:charSpace="49152"/>
        </w:sectPr>
      </w:pPr>
    </w:p>
    <w:p>
      <w:pPr>
        <w:pStyle w:val="3"/>
        <w:numPr>
          <w:ilvl w:val="0"/>
          <w:numId w:val="0"/>
        </w:numPr>
        <w:ind w:left="482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rPr>
          <w:sz w:val="24"/>
          <w:szCs w:val="24"/>
        </w:rPr>
      </w:pPr>
      <w:r>
        <w:rPr>
          <w:sz w:val="24"/>
          <w:szCs w:val="24"/>
        </w:rPr>
      </w:r>
      <w:bookmarkStart w:id="34" w:name="_GoBack"/>
      <w:bookmarkStart w:id="35" w:name="_GoBack"/>
      <w:bookmarkEnd w:id="35"/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785"/>
        <w:gridCol w:w="4785"/>
      </w:tblGrid>
      <w:tr>
        <w:trPr/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4785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Standard"/>
        <w:rPr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header="680" w:top="1134" w:footer="0" w:bottom="992" w:gutter="0"/>
      <w:pgNumType w:fmt="decimal"/>
      <w:formProt w:val="false"/>
      <w:titlePg/>
      <w:textDirection w:val="lrTb"/>
      <w:docGrid w:type="default" w:linePitch="100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swiss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13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18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6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70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74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78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88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0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0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center"/>
      <w:pPr>
        <w:tabs>
          <w:tab w:val="num" w:pos="0"/>
        </w:tabs>
        <w:ind w:left="55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62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69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77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84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1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9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05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130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3"/>
    <w:next w:val="Standard"/>
    <w:qFormat/>
    <w:pPr>
      <w:outlineLvl w:val="0"/>
    </w:pPr>
    <w:rPr>
      <w:sz w:val="28"/>
      <w:szCs w:val="28"/>
    </w:rPr>
  </w:style>
  <w:style w:type="paragraph" w:styleId="2">
    <w:name w:val="Heading 2"/>
    <w:basedOn w:val="4"/>
    <w:next w:val="Standard"/>
    <w:qFormat/>
    <w:pPr>
      <w:outlineLvl w:val="1"/>
    </w:pPr>
    <w:rPr/>
  </w:style>
  <w:style w:type="paragraph" w:styleId="3">
    <w:name w:val="Heading 3"/>
    <w:basedOn w:val="Standard"/>
    <w:next w:val="Standard"/>
    <w:autoRedefine/>
    <w:qFormat/>
    <w:rsid w:val="00ea2615"/>
    <w:pPr>
      <w:keepNext w:val="true"/>
      <w:jc w:val="center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next w:val="Standard"/>
    <w:qFormat/>
    <w:pPr>
      <w:outlineLvl w:val="3"/>
    </w:pPr>
    <w:rPr>
      <w:bCs/>
    </w:rPr>
  </w:style>
  <w:style w:type="paragraph" w:styleId="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Standard"/>
    <w:next w:val="Standard"/>
    <w:qFormat/>
    <w:pPr>
      <w:keepNext w:val="true"/>
      <w:keepLines/>
      <w:spacing w:before="200" w:after="120"/>
      <w:outlineLvl w:val="5"/>
    </w:pPr>
    <w:rPr>
      <w:rFonts w:ascii="Cambria" w:hAnsi="Cambria" w:eastAsia="Cambria" w:cs="Cambria"/>
      <w:i/>
      <w:iCs/>
      <w:color w:val="243F60"/>
      <w:sz w:val="20"/>
    </w:rPr>
  </w:style>
  <w:style w:type="paragraph" w:styleId="7">
    <w:name w:val="Heading 7"/>
    <w:basedOn w:val="Standard"/>
    <w:next w:val="Standard"/>
    <w:qFormat/>
    <w:pPr>
      <w:keepNext w:val="true"/>
      <w:keepLines/>
      <w:spacing w:before="200" w:after="120"/>
      <w:outlineLvl w:val="6"/>
    </w:pPr>
    <w:rPr>
      <w:rFonts w:ascii="Cambria" w:hAnsi="Cambria" w:eastAsia="Cambria" w:cs="Cambria"/>
      <w:i/>
      <w:iCs/>
      <w:color w:val="404040"/>
      <w:sz w:val="20"/>
    </w:rPr>
  </w:style>
  <w:style w:type="paragraph" w:styleId="8">
    <w:name w:val="Heading 8"/>
    <w:basedOn w:val="Standard"/>
    <w:next w:val="Standard"/>
    <w:qFormat/>
    <w:pPr>
      <w:keepNext w:val="true"/>
      <w:keepLines/>
      <w:spacing w:before="200" w:after="120"/>
      <w:outlineLvl w:val="7"/>
    </w:pPr>
    <w:rPr>
      <w:rFonts w:ascii="Cambria" w:hAnsi="Cambria" w:eastAsia="Cambria" w:cs="Cambria"/>
      <w:color w:val="4F81BD"/>
      <w:sz w:val="20"/>
    </w:rPr>
  </w:style>
  <w:style w:type="paragraph" w:styleId="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eastAsia="Arial" w:cs="Arial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нак сноски1"/>
    <w:qFormat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Style5">
    <w:name w:val="Интернет-ссылка"/>
    <w:uiPriority w:val="99"/>
    <w:rPr>
      <w:color w:val="000080"/>
      <w:u w:val="single"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1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1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1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2" w:customStyle="1">
    <w:name w:val="Заголовок 1 Знак"/>
    <w:qFormat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Pr>
      <w:rFonts w:eastAsia="Calibri"/>
      <w:b/>
      <w:sz w:val="24"/>
      <w:szCs w:val="24"/>
    </w:rPr>
  </w:style>
  <w:style w:type="character" w:styleId="41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qFormat/>
    <w:rPr>
      <w:b/>
      <w:bCs/>
      <w:i/>
      <w:iCs/>
      <w:sz w:val="26"/>
      <w:szCs w:val="26"/>
    </w:rPr>
  </w:style>
  <w:style w:type="character" w:styleId="91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6" w:customStyle="1">
    <w:name w:val="Название Знак"/>
    <w:qFormat/>
    <w:rPr>
      <w:sz w:val="28"/>
    </w:rPr>
  </w:style>
  <w:style w:type="character" w:styleId="Style7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Style8">
    <w:name w:val="Выделение"/>
    <w:qFormat/>
    <w:rPr>
      <w:i/>
      <w:iCs/>
    </w:rPr>
  </w:style>
  <w:style w:type="character" w:styleId="22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9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0" w:customStyle="1">
    <w:name w:val="Электронная подпись Знак"/>
    <w:qFormat/>
    <w:rPr>
      <w:rFonts w:eastAsia="Calibri"/>
      <w:sz w:val="24"/>
      <w:szCs w:val="24"/>
    </w:rPr>
  </w:style>
  <w:style w:type="character" w:styleId="13" w:customStyle="1">
    <w:name w:val="Подпункт Знак1"/>
    <w:qFormat/>
    <w:rPr>
      <w:sz w:val="28"/>
    </w:rPr>
  </w:style>
  <w:style w:type="character" w:styleId="Style11" w:customStyle="1">
    <w:name w:val="Текст сноски Знак"/>
    <w:qFormat/>
    <w:rPr/>
  </w:style>
  <w:style w:type="character" w:styleId="Style12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13" w:customStyle="1">
    <w:name w:val="Абзац списка Знак"/>
    <w:qFormat/>
    <w:rPr>
      <w:rFonts w:eastAsia="Calibri"/>
      <w:sz w:val="24"/>
      <w:szCs w:val="24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Style15" w:customStyle="1">
    <w:name w:val="Подподпункт Знак"/>
    <w:qFormat/>
    <w:rPr>
      <w:sz w:val="26"/>
      <w:szCs w:val="26"/>
    </w:rPr>
  </w:style>
  <w:style w:type="character" w:styleId="32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6" w:customStyle="1">
    <w:name w:val="Верхний колонтитул Знак"/>
    <w:qFormat/>
    <w:rPr>
      <w:sz w:val="24"/>
      <w:szCs w:val="24"/>
    </w:rPr>
  </w:style>
  <w:style w:type="character" w:styleId="Style17" w:customStyle="1">
    <w:name w:val="Текст примечания Знак"/>
    <w:qFormat/>
    <w:rPr/>
  </w:style>
  <w:style w:type="character" w:styleId="Style18" w:customStyle="1">
    <w:name w:val="Текст концевой сноски Знак"/>
    <w:basedOn w:val="DefaultParagraphFont"/>
    <w:qFormat/>
    <w:rPr/>
  </w:style>
  <w:style w:type="character" w:styleId="14" w:customStyle="1">
    <w:name w:val="Знак концевой сноски1"/>
    <w:qFormat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3" w:customStyle="1">
    <w:name w:val="Пункт2 Знак"/>
    <w:qFormat/>
    <w:rPr>
      <w:b/>
      <w:sz w:val="28"/>
    </w:rPr>
  </w:style>
  <w:style w:type="character" w:styleId="15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6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3" w:customStyle="1">
    <w:name w:val="Основной текст с отступом 3 Знак"/>
    <w:qFormat/>
    <w:rPr>
      <w:sz w:val="16"/>
      <w:szCs w:val="16"/>
    </w:rPr>
  </w:style>
  <w:style w:type="character" w:styleId="Style19" w:customStyle="1">
    <w:name w:val="Ссылка указателя"/>
    <w:qFormat/>
    <w:rPr/>
  </w:style>
  <w:style w:type="character" w:styleId="Style20" w:customStyle="1">
    <w:name w:val="Маркеры"/>
    <w:qFormat/>
    <w:rPr>
      <w:rFonts w:ascii="OpenSymbol" w:hAnsi="OpenSymbol" w:eastAsia="OpenSymbol" w:cs="OpenSymbol"/>
    </w:rPr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Textbody"/>
    <w:pPr/>
    <w:rPr>
      <w:rFonts w:cs="Lohit Devanagari"/>
      <w:sz w:val="24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Style26">
    <w:name w:val="Title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17"/>
    <w:qFormat/>
    <w:pPr/>
    <w:rPr/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7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8" w:customStyle="1">
    <w:name w:val="Указатель1"/>
    <w:basedOn w:val="Standard"/>
    <w:qFormat/>
    <w:pPr>
      <w:suppressLineNumbers/>
    </w:pPr>
    <w:rPr>
      <w:rFonts w:cs="Lohit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0"/>
      <w:sz w:val="22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11111" w:customStyle="1">
    <w:name w:val="caption11111"/>
    <w:basedOn w:val="Standard"/>
    <w:next w:val="Standard"/>
    <w:qFormat/>
    <w:pPr/>
    <w:rPr>
      <w:rFonts w:eastAsia="Calibri"/>
      <w:b/>
      <w:bCs/>
      <w:color w:val="4F81BD"/>
      <w:sz w:val="18"/>
      <w:szCs w:val="18"/>
    </w:rPr>
  </w:style>
  <w:style w:type="paragraph" w:styleId="Style27" w:customStyle="1">
    <w:name w:val="Название раздела инструкции"/>
    <w:basedOn w:val="Standard"/>
    <w:autoRedefine/>
    <w:qFormat/>
    <w:pPr>
      <w:jc w:val="center"/>
    </w:pPr>
    <w:rPr>
      <w:b/>
    </w:rPr>
  </w:style>
  <w:style w:type="paragraph" w:styleId="Style28" w:customStyle="1">
    <w:name w:val="Раздел положения"/>
    <w:basedOn w:val="Standard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29" w:customStyle="1">
    <w:name w:val="Подраздел раздела положения"/>
    <w:basedOn w:val="Standard"/>
    <w:autoRedefine/>
    <w:qFormat/>
    <w:pPr>
      <w:numPr>
        <w:ilvl w:val="0"/>
        <w:numId w:val="1"/>
      </w:numPr>
      <w:spacing w:before="80" w:after="80"/>
      <w:jc w:val="both"/>
    </w:pPr>
    <w:rPr/>
  </w:style>
  <w:style w:type="paragraph" w:styleId="Footnote" w:customStyle="1">
    <w:name w:val="Footnote"/>
    <w:basedOn w:val="Standard"/>
    <w:qFormat/>
    <w:pPr/>
    <w:rPr>
      <w:sz w:val="20"/>
    </w:rPr>
  </w:style>
  <w:style w:type="paragraph" w:styleId="19" w:customStyle="1">
    <w:name w:val="Шапка 1"/>
    <w:basedOn w:val="Standard"/>
    <w:qFormat/>
    <w:pPr>
      <w:pBdr>
        <w:bottom w:val="double" w:sz="12" w:space="1" w:color="000000"/>
      </w:pBdr>
      <w:spacing w:before="0" w:after="240"/>
      <w:jc w:val="center"/>
    </w:pPr>
    <w:rPr>
      <w:szCs w:val="22"/>
    </w:rPr>
  </w:style>
  <w:style w:type="paragraph" w:styleId="24" w:customStyle="1">
    <w:name w:val="Шапка 2"/>
    <w:basedOn w:val="Standard"/>
    <w:qFormat/>
    <w:pPr>
      <w:pBdr>
        <w:bottom w:val="double" w:sz="12" w:space="1" w:color="000000"/>
      </w:pBdr>
      <w:spacing w:before="0" w:after="120"/>
      <w:jc w:val="center"/>
    </w:pPr>
    <w:rPr>
      <w:b/>
      <w:szCs w:val="22"/>
    </w:rPr>
  </w:style>
  <w:style w:type="paragraph" w:styleId="34" w:customStyle="1">
    <w:name w:val="Шапка 3"/>
    <w:basedOn w:val="Standard"/>
    <w:qFormat/>
    <w:pPr>
      <w:pBdr>
        <w:bottom w:val="double" w:sz="12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0" w:customStyle="1">
    <w:name w:val="Название1"/>
    <w:basedOn w:val="Standard"/>
    <w:qFormat/>
    <w:pPr>
      <w:jc w:val="center"/>
    </w:pPr>
    <w:rPr/>
  </w:style>
  <w:style w:type="paragraph" w:styleId="Style30" w:customStyle="1">
    <w:name w:val="Колонтитул"/>
    <w:basedOn w:val="Standard"/>
    <w:qFormat/>
    <w:pPr/>
    <w:rPr/>
  </w:style>
  <w:style w:type="paragraph" w:styleId="Style31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extbodyindent" w:customStyle="1">
    <w:name w:val="Text body indent"/>
    <w:basedOn w:val="Standard"/>
    <w:qFormat/>
    <w:pPr>
      <w:ind w:left="360" w:hanging="0"/>
    </w:pPr>
    <w:rPr>
      <w:sz w:val="24"/>
      <w:szCs w:val="24"/>
    </w:rPr>
  </w:style>
  <w:style w:type="paragraph" w:styleId="Style32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Standard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Standard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Standard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BlockText">
    <w:name w:val="Block Text"/>
    <w:basedOn w:val="Standard"/>
    <w:qFormat/>
    <w:pPr>
      <w:ind w:left="-567" w:right="-766" w:hanging="0"/>
      <w:jc w:val="center"/>
    </w:pPr>
    <w:rPr>
      <w:b/>
      <w:bCs/>
      <w:sz w:val="24"/>
    </w:rPr>
  </w:style>
  <w:style w:type="paragraph" w:styleId="Style33" w:customStyle="1">
    <w:name w:val="Подпункт"/>
    <w:basedOn w:val="Standard"/>
    <w:qFormat/>
    <w:pPr>
      <w:tabs>
        <w:tab w:val="clear" w:pos="708"/>
        <w:tab w:val="left" w:pos="2268" w:leader="none"/>
      </w:tabs>
      <w:snapToGrid w:val="false"/>
      <w:spacing w:lineRule="auto" w:line="360"/>
      <w:ind w:left="1134" w:hanging="1134"/>
      <w:jc w:val="both"/>
    </w:pPr>
    <w:rPr/>
  </w:style>
  <w:style w:type="paragraph" w:styleId="25" w:customStyle="1">
    <w:name w:val="Пункт2"/>
    <w:basedOn w:val="Standard"/>
    <w:qFormat/>
    <w:pPr>
      <w:keepNext w:val="true"/>
      <w:tabs>
        <w:tab w:val="clear" w:pos="708"/>
        <w:tab w:val="left" w:pos="2268" w:leader="none"/>
      </w:tabs>
      <w:snapToGrid w:val="false"/>
      <w:spacing w:before="240" w:after="120"/>
      <w:ind w:left="1134" w:hanging="1134"/>
      <w:outlineLvl w:val="2"/>
    </w:pPr>
    <w:rPr>
      <w:b/>
    </w:rPr>
  </w:style>
  <w:style w:type="paragraph" w:styleId="Contents1" w:customStyle="1">
    <w:name w:val="Contents 1"/>
    <w:basedOn w:val="Standard"/>
    <w:next w:val="Standard"/>
    <w:autoRedefine/>
    <w:qFormat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Contents3" w:customStyle="1">
    <w:name w:val="Contents 3"/>
    <w:basedOn w:val="Standard"/>
    <w:next w:val="Standard"/>
    <w:autoRedefine/>
    <w:qFormat/>
    <w:pPr>
      <w:ind w:left="280" w:hanging="0"/>
    </w:pPr>
    <w:rPr>
      <w:rFonts w:cs="Calibri"/>
      <w:sz w:val="20"/>
    </w:rPr>
  </w:style>
  <w:style w:type="paragraph" w:styleId="Style34" w:customStyle="1">
    <w:name w:val="Раздел регламента"/>
    <w:basedOn w:val="Standard"/>
    <w:qFormat/>
    <w:pPr/>
    <w:rPr/>
  </w:style>
  <w:style w:type="paragraph" w:styleId="Style35" w:customStyle="1">
    <w:name w:val="Приложение к регламенту"/>
    <w:basedOn w:val="Standard"/>
    <w:qFormat/>
    <w:pPr>
      <w:jc w:val="right"/>
    </w:pPr>
    <w:rPr/>
  </w:style>
  <w:style w:type="paragraph" w:styleId="Contents2" w:customStyle="1">
    <w:name w:val="Contents 2"/>
    <w:basedOn w:val="Standard"/>
    <w:next w:val="Standard"/>
    <w:autoRedefine/>
    <w:qFormat/>
    <w:pPr>
      <w:spacing w:before="240" w:after="0"/>
    </w:pPr>
    <w:rPr>
      <w:rFonts w:cs="Calibri"/>
      <w:b/>
      <w:bCs/>
      <w:sz w:val="20"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Standard"/>
    <w:qFormat/>
    <w:pPr/>
    <w:rPr>
      <w:sz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11" w:customStyle="1">
    <w:name w:val="Обычный (веб)1"/>
    <w:basedOn w:val="Standard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Contents9" w:customStyle="1">
    <w:name w:val="Contents 9"/>
    <w:basedOn w:val="Standard"/>
    <w:next w:val="Standard"/>
    <w:autoRedefine/>
    <w:qFormat/>
    <w:pPr>
      <w:ind w:left="1960" w:hanging="0"/>
    </w:pPr>
    <w:rPr>
      <w:rFonts w:ascii="Calibri" w:hAnsi="Calibri" w:eastAsia="Calibri" w:cs="Calibri"/>
      <w:sz w:val="20"/>
    </w:rPr>
  </w:style>
  <w:style w:type="paragraph" w:styleId="Contents5" w:customStyle="1">
    <w:name w:val="Contents 5"/>
    <w:basedOn w:val="Standard"/>
    <w:next w:val="Standard"/>
    <w:autoRedefine/>
    <w:qFormat/>
    <w:pPr>
      <w:ind w:left="840" w:hanging="0"/>
    </w:pPr>
    <w:rPr>
      <w:rFonts w:ascii="Calibri" w:hAnsi="Calibri" w:eastAsia="Calibri" w:cs="Calibri"/>
      <w:sz w:val="20"/>
    </w:rPr>
  </w:style>
  <w:style w:type="paragraph" w:styleId="Contents4" w:customStyle="1">
    <w:name w:val="Contents 4"/>
    <w:basedOn w:val="Standard"/>
    <w:next w:val="Standard"/>
    <w:autoRedefine/>
    <w:qFormat/>
    <w:pPr>
      <w:ind w:left="560" w:hanging="0"/>
    </w:pPr>
    <w:rPr>
      <w:rFonts w:cs="Calibri"/>
      <w:sz w:val="20"/>
    </w:rPr>
  </w:style>
  <w:style w:type="paragraph" w:styleId="26" w:customStyle="1">
    <w:name w:val="Раздел положения 2"/>
    <w:basedOn w:val="Standard"/>
    <w:qFormat/>
    <w:pPr>
      <w:pageBreakBefore/>
      <w:jc w:val="both"/>
      <w:outlineLvl w:val="0"/>
    </w:pPr>
    <w:rPr>
      <w:b/>
    </w:rPr>
  </w:style>
  <w:style w:type="paragraph" w:styleId="Style36" w:customStyle="1">
    <w:name w:val="Знак Знак Знак Знак Знак Знак Знак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Cs w:val="22"/>
      <w:lang w:val="en-US" w:eastAsia="en-US"/>
    </w:rPr>
  </w:style>
  <w:style w:type="paragraph" w:styleId="NoSpacing">
    <w:name w:val="No Spacing"/>
    <w:basedOn w:val="Standard"/>
    <w:qFormat/>
    <w:pPr>
      <w:spacing w:lineRule="auto" w:line="360"/>
    </w:pPr>
    <w:rPr>
      <w:rFonts w:eastAsia="Calibri"/>
      <w:sz w:val="24"/>
      <w:szCs w:val="24"/>
    </w:rPr>
  </w:style>
  <w:style w:type="paragraph" w:styleId="Style37">
    <w:name w:val="Subtitle"/>
    <w:basedOn w:val="Standard"/>
    <w:next w:val="Standard"/>
    <w:qFormat/>
    <w:pPr>
      <w:ind w:left="1066" w:firstLine="709"/>
    </w:pPr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>
      <w:sz w:val="24"/>
      <w:szCs w:val="24"/>
    </w:rPr>
  </w:style>
  <w:style w:type="paragraph" w:styleId="Quote">
    <w:name w:val="Quote"/>
    <w:basedOn w:val="Standard"/>
    <w:next w:val="Standard"/>
    <w:qFormat/>
    <w:pPr/>
    <w:rPr>
      <w:rFonts w:ascii="Calibri" w:hAnsi="Calibri" w:eastAsia="Calibri" w:cs="Calibri"/>
      <w:i/>
      <w:iCs/>
      <w:color w:val="000000"/>
      <w:sz w:val="20"/>
    </w:rPr>
  </w:style>
  <w:style w:type="paragraph" w:styleId="IntenseQuote">
    <w:name w:val="Intense Quote"/>
    <w:basedOn w:val="Standard"/>
    <w:next w:val="Standard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</w:rPr>
  </w:style>
  <w:style w:type="paragraph" w:styleId="ContentsHeading" w:customStyle="1">
    <w:name w:val="Contents Heading"/>
    <w:basedOn w:val="1"/>
    <w:next w:val="Standard"/>
    <w:qFormat/>
    <w:pPr>
      <w:keepLines/>
      <w:spacing w:before="480" w:after="120"/>
    </w:pPr>
    <w:rPr>
      <w:rFonts w:ascii="Cambria" w:hAnsi="Cambria" w:eastAsia="Cambria" w:cs="Cambria"/>
      <w:bCs/>
      <w:color w:val="365F91"/>
    </w:rPr>
  </w:style>
  <w:style w:type="paragraph" w:styleId="EmailSignature">
    <w:name w:val="E-mail Signature"/>
    <w:basedOn w:val="Standard"/>
    <w:qFormat/>
    <w:pPr/>
    <w:rPr>
      <w:rFonts w:eastAsia="Calibri"/>
      <w:sz w:val="24"/>
      <w:szCs w:val="24"/>
    </w:rPr>
  </w:style>
  <w:style w:type="paragraph" w:styleId="Style38" w:customStyle="1">
    <w:name w:val="Знак"/>
    <w:basedOn w:val="Standard"/>
    <w:qFormat/>
    <w:pPr>
      <w:spacing w:lineRule="exact" w:line="240" w:before="0" w:after="160"/>
    </w:pPr>
    <w:rPr>
      <w:rFonts w:ascii="Verdana" w:hAnsi="Verdana" w:eastAsia="Verdana" w:cs="Verdana"/>
      <w:sz w:val="20"/>
      <w:lang w:val="en-US" w:eastAsia="en-US"/>
    </w:rPr>
  </w:style>
  <w:style w:type="paragraph" w:styleId="35" w:customStyle="1">
    <w:name w:val="Нумерованный список ур3"/>
    <w:basedOn w:val="Standard"/>
    <w:qFormat/>
    <w:pPr>
      <w:jc w:val="both"/>
    </w:pPr>
    <w:rPr>
      <w:rFonts w:ascii="Garamond" w:hAnsi="Garamond" w:eastAsia="Garamond" w:cs="Garamond"/>
      <w:sz w:val="24"/>
    </w:rPr>
  </w:style>
  <w:style w:type="paragraph" w:styleId="311" w:customStyle="1">
    <w:name w:val="Список 31"/>
    <w:basedOn w:val="Standard"/>
    <w:qFormat/>
    <w:pPr>
      <w:spacing w:before="120" w:after="0"/>
      <w:jc w:val="both"/>
    </w:pPr>
    <w:rPr>
      <w:rFonts w:ascii="Garamond" w:hAnsi="Garamond" w:eastAsia="Garamond" w:cs="Garamond"/>
      <w:sz w:val="24"/>
    </w:rPr>
  </w:style>
  <w:style w:type="paragraph" w:styleId="27" w:customStyle="1">
    <w:name w:val="Нумерованный список ур2"/>
    <w:basedOn w:val="Standard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Garamond" w:cs="Garamond"/>
      <w:sz w:val="24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  <w:textAlignment w:val="baseline"/>
    </w:pPr>
    <w:rPr>
      <w:rFonts w:ascii="Arial" w:hAnsi="Arial" w:eastAsia="Arial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Cs w:val="22"/>
      <w:lang w:val="en-US" w:eastAsia="en-US"/>
    </w:rPr>
  </w:style>
  <w:style w:type="paragraph" w:styleId="Style39" w:customStyle="1">
    <w:name w:val="Пункт"/>
    <w:basedOn w:val="Standard"/>
    <w:qFormat/>
    <w:pPr>
      <w:widowControl w:val="false"/>
      <w:tabs>
        <w:tab w:val="clear" w:pos="708"/>
        <w:tab w:val="left" w:pos="2268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Arial" w:cs="Arial"/>
      <w:b/>
      <w:i/>
    </w:rPr>
  </w:style>
  <w:style w:type="paragraph" w:styleId="112" w:customStyle="1">
    <w:name w:val="Абзац списка1"/>
    <w:basedOn w:val="Standard"/>
    <w:qFormat/>
    <w:pPr>
      <w:spacing w:lineRule="auto" w:line="276" w:before="0" w:after="200"/>
      <w:ind w:left="720" w:hanging="0"/>
    </w:pPr>
    <w:rPr>
      <w:rFonts w:ascii="Calibri" w:hAnsi="Calibri" w:eastAsia="Calibri" w:cs="Calibri"/>
      <w:szCs w:val="22"/>
      <w:lang w:eastAsia="en-US"/>
    </w:rPr>
  </w:style>
  <w:style w:type="paragraph" w:styleId="Style40" w:customStyle="1">
    <w:name w:val="Таблица"/>
    <w:basedOn w:val="Standard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1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Cs w:val="26"/>
    </w:rPr>
  </w:style>
  <w:style w:type="paragraph" w:styleId="Style42" w:customStyle="1">
    <w:name w:val="Подподпункт"/>
    <w:basedOn w:val="Style33"/>
    <w:qFormat/>
    <w:pPr>
      <w:tabs>
        <w:tab w:val="clear" w:pos="2268"/>
        <w:tab w:val="left" w:pos="10208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3" w:customStyle="1">
    <w:name w:val="УРОВЕНЬ_(а)"/>
    <w:basedOn w:val="ListParagraph"/>
    <w:qFormat/>
    <w:pPr>
      <w:spacing w:lineRule="exact" w:line="360" w:before="120" w:after="0"/>
      <w:jc w:val="both"/>
      <w:outlineLvl w:val="3"/>
    </w:pPr>
    <w:rPr>
      <w:sz w:val="26"/>
      <w:szCs w:val="28"/>
      <w:lang w:eastAsia="en-US"/>
    </w:rPr>
  </w:style>
  <w:style w:type="paragraph" w:styleId="Style44" w:customStyle="1">
    <w:name w:val="УРОВЕНЬ_-"/>
    <w:basedOn w:val="ListParagraph"/>
    <w:qFormat/>
    <w:pPr>
      <w:spacing w:lineRule="exact" w:line="360" w:before="120" w:after="0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qFormat/>
    <w:pPr>
      <w:spacing w:lineRule="exact" w:line="360" w:before="120" w:after="0"/>
      <w:jc w:val="both"/>
    </w:pPr>
    <w:rPr>
      <w:sz w:val="26"/>
      <w:szCs w:val="28"/>
      <w:lang w:eastAsia="en-US"/>
    </w:rPr>
  </w:style>
  <w:style w:type="paragraph" w:styleId="Style45" w:customStyle="1">
    <w:name w:val="УРОВЕНЬ_Подпись"/>
    <w:basedOn w:val="ListParagraph"/>
    <w:qFormat/>
    <w:pPr>
      <w:keepNext w:val="true"/>
      <w:spacing w:lineRule="exact" w:line="360" w:before="120" w:after="120"/>
      <w:jc w:val="right"/>
      <w:outlineLvl w:val="3"/>
    </w:pPr>
    <w:rPr>
      <w:sz w:val="26"/>
      <w:szCs w:val="28"/>
      <w:lang w:eastAsia="en-US"/>
    </w:rPr>
  </w:style>
  <w:style w:type="paragraph" w:styleId="113" w:customStyle="1">
    <w:name w:val="Стиль Заголовок 1 + по ширине"/>
    <w:basedOn w:val="1"/>
    <w:qFormat/>
    <w:pPr>
      <w:keepLines/>
      <w:tabs>
        <w:tab w:val="clear" w:pos="708"/>
        <w:tab w:val="left" w:pos="0" w:leader="none"/>
        <w:tab w:val="left" w:pos="1134" w:leader="none"/>
      </w:tabs>
      <w:spacing w:before="480" w:after="240"/>
      <w:ind w:left="567" w:hanging="567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" w:customStyle="1">
    <w:name w:val="Endnote"/>
    <w:basedOn w:val="Standard"/>
    <w:qFormat/>
    <w:pPr/>
    <w:rPr>
      <w:sz w:val="20"/>
    </w:rPr>
  </w:style>
  <w:style w:type="paragraph" w:styleId="29" w:customStyle="1">
    <w:name w:val="Заголовок 2 КВВ"/>
    <w:basedOn w:val="Standard"/>
    <w:qFormat/>
    <w:pPr>
      <w:keepNext w:val="true"/>
      <w:spacing w:before="120" w:after="120"/>
      <w:jc w:val="both"/>
      <w:outlineLvl w:val="0"/>
    </w:pPr>
    <w:rPr>
      <w:b/>
      <w:kern w:val="2"/>
      <w:sz w:val="24"/>
    </w:rPr>
  </w:style>
  <w:style w:type="paragraph" w:styleId="Style46" w:customStyle="1">
    <w:name w:val="Таблица текст"/>
    <w:basedOn w:val="Standard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Standard"/>
    <w:qFormat/>
    <w:pPr>
      <w:spacing w:before="280" w:after="280"/>
    </w:pPr>
    <w:rPr>
      <w:sz w:val="24"/>
      <w:szCs w:val="24"/>
    </w:rPr>
  </w:style>
  <w:style w:type="paragraph" w:styleId="114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  <w:lang w:eastAsia="en-US"/>
    </w:rPr>
  </w:style>
  <w:style w:type="paragraph" w:styleId="Contents6" w:customStyle="1">
    <w:name w:val="Contents 6"/>
    <w:basedOn w:val="Standard"/>
    <w:next w:val="Standard"/>
    <w:autoRedefine/>
    <w:qFormat/>
    <w:pPr>
      <w:ind w:left="1120" w:hanging="0"/>
    </w:pPr>
    <w:rPr>
      <w:rFonts w:ascii="Calibri" w:hAnsi="Calibri" w:eastAsia="Calibri" w:cs="Calibri"/>
      <w:sz w:val="20"/>
    </w:rPr>
  </w:style>
  <w:style w:type="paragraph" w:styleId="Contents7" w:customStyle="1">
    <w:name w:val="Contents 7"/>
    <w:basedOn w:val="Standard"/>
    <w:next w:val="Standard"/>
    <w:autoRedefine/>
    <w:qFormat/>
    <w:pPr>
      <w:ind w:left="1400" w:hanging="0"/>
    </w:pPr>
    <w:rPr>
      <w:rFonts w:ascii="Calibri" w:hAnsi="Calibri" w:eastAsia="Calibri" w:cs="Calibri"/>
      <w:sz w:val="20"/>
    </w:rPr>
  </w:style>
  <w:style w:type="paragraph" w:styleId="Contents8" w:customStyle="1">
    <w:name w:val="Contents 8"/>
    <w:basedOn w:val="Standard"/>
    <w:next w:val="Standard"/>
    <w:autoRedefine/>
    <w:qFormat/>
    <w:pPr>
      <w:ind w:left="1680" w:hanging="0"/>
    </w:pPr>
    <w:rPr>
      <w:rFonts w:ascii="Calibri" w:hAnsi="Calibri" w:eastAsia="Calibri" w:cs="Calibri"/>
      <w:sz w:val="20"/>
    </w:rPr>
  </w:style>
  <w:style w:type="paragraph" w:styleId="Style47" w:customStyle="1">
    <w:name w:val="Содержимое врезки"/>
    <w:basedOn w:val="Standard"/>
    <w:qFormat/>
    <w:pPr/>
    <w:rPr/>
  </w:style>
  <w:style w:type="paragraph" w:styleId="Style48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Style49" w:customStyle="1">
    <w:name w:val="Заголовок таблицы"/>
    <w:basedOn w:val="Style48"/>
    <w:qFormat/>
    <w:pPr>
      <w:jc w:val="center"/>
    </w:pPr>
    <w:rPr>
      <w:b/>
      <w:bCs/>
    </w:rPr>
  </w:style>
  <w:style w:type="paragraph" w:styleId="115">
    <w:name w:val="TOC 1"/>
    <w:basedOn w:val="Normal"/>
    <w:next w:val="Normal"/>
    <w:autoRedefine/>
    <w:uiPriority w:val="39"/>
    <w:unhideWhenUsed/>
    <w:rsid w:val="00ea2615"/>
    <w:pPr>
      <w:spacing w:before="0" w:after="100"/>
    </w:pPr>
    <w:rPr/>
  </w:style>
  <w:style w:type="paragraph" w:styleId="38">
    <w:name w:val="TOC 3"/>
    <w:basedOn w:val="Normal"/>
    <w:next w:val="Normal"/>
    <w:autoRedefine/>
    <w:uiPriority w:val="39"/>
    <w:unhideWhenUsed/>
    <w:rsid w:val="00ea2615"/>
    <w:pPr>
      <w:tabs>
        <w:tab w:val="clear" w:pos="708"/>
        <w:tab w:val="left" w:pos="709" w:leader="none"/>
        <w:tab w:val="right" w:pos="9911" w:leader="dot"/>
      </w:tabs>
      <w:spacing w:before="0" w:after="100"/>
    </w:pPr>
    <w:rPr/>
  </w:style>
  <w:style w:type="paragraph" w:styleId="42">
    <w:name w:val="TOC 4"/>
    <w:basedOn w:val="Normal"/>
    <w:next w:val="Normal"/>
    <w:autoRedefine/>
    <w:uiPriority w:val="39"/>
    <w:unhideWhenUsed/>
    <w:rsid w:val="00ea2615"/>
    <w:pPr>
      <w:tabs>
        <w:tab w:val="clear" w:pos="708"/>
        <w:tab w:val="left" w:pos="709" w:leader="none"/>
        <w:tab w:val="left" w:pos="1320" w:leader="none"/>
        <w:tab w:val="right" w:pos="9911" w:leader="dot"/>
      </w:tabs>
      <w:spacing w:before="0" w:after="100"/>
      <w:ind w:firstLine="426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6" w:customStyle="1">
    <w:name w:val="Стиль1"/>
    <w:qFormat/>
  </w:style>
  <w:style w:type="numbering" w:styleId="210" w:customStyle="1">
    <w:name w:val="Стиль2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71B5-AA1E-4DF5-BA69-3DED6234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Application>LibreOffice/7.1.8.1$Linux_X86_64 LibreOffice_project/10$Build-1</Application>
  <AppVersion>15.0000</AppVersion>
  <Pages>14</Pages>
  <Words>3006</Words>
  <Characters>18984</Characters>
  <CharactersWithSpaces>21622</CharactersWithSpaces>
  <Paragraphs>441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2026-02-02T04:53:00Z</dcterms:created>
  <dc:creator>Быстров Олег Геннадьевич</dc:creator>
  <dc:description/>
  <dc:language>ru-RU</dc:language>
  <cp:lastModifiedBy/>
  <cp:lastPrinted>2023-07-13T06:28:00Z</cp:lastPrinted>
  <dcterms:modified xsi:type="dcterms:W3CDTF">2026-09-16T10:05:25Z</dcterms:modified>
  <cp:revision>56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