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7.xml" ContentType="application/vnd.openxmlformats-officedocument.wordprocessingml.head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tabs>
          <w:tab w:val="clear" w:pos="709"/>
          <w:tab w:val="left" w:pos="204" w:leader="none"/>
          <w:tab w:val="left" w:pos="8436" w:leader="none"/>
        </w:tabs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pageBreakBefore w:val="false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  <w:br/>
        <w:t xml:space="preserve">на поставку </w:t>
      </w:r>
      <w:r>
        <w:rPr>
          <w:rFonts w:eastAsia="Calibri"/>
          <w:b/>
          <w:sz w:val="24"/>
          <w:szCs w:val="24"/>
        </w:rPr>
        <w:t>высоковольтных выключателей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jc w:val="center"/>
        <w:rPr>
          <w:rStyle w:val="Style8"/>
          <w:sz w:val="26"/>
          <w:szCs w:val="26"/>
        </w:rPr>
      </w:pPr>
      <w:r>
        <w:rPr>
          <w:rFonts w:eastAsia="Calibri"/>
          <w:sz w:val="26"/>
          <w:szCs w:val="26"/>
        </w:rPr>
        <w:t>«</w:t>
      </w:r>
      <w:r>
        <w:rPr>
          <w:rStyle w:val="Style8"/>
          <w:rFonts w:eastAsia="Calibri"/>
          <w:i/>
          <w:sz w:val="24"/>
          <w:szCs w:val="24"/>
        </w:rPr>
        <w:t>Секционный выключатель 35 кВ с трансформаторами тока для ПС 35 кВ Мелькомбинат</w:t>
      </w:r>
      <w:r>
        <w:rPr>
          <w:rFonts w:eastAsia="Calibri"/>
          <w:b/>
          <w:i/>
          <w:sz w:val="26"/>
          <w:szCs w:val="26"/>
        </w:rPr>
        <w:t>»</w:t>
      </w:r>
      <w:r>
        <w:rPr>
          <w:rStyle w:val="FootnoteReference"/>
          <w:rFonts w:eastAsia="Calibri"/>
          <w:b/>
          <w:i/>
          <w:sz w:val="26"/>
          <w:szCs w:val="26"/>
        </w:rPr>
        <w:footnoteReference w:id="2"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  <w:bookmarkStart w:id="0" w:name="_GoBack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7"/>
              <w:vanish w:val="false"/>
            </w:rPr>
            <w:instrText xml:space="preserve"> TOC \z \o "1-4" \u \h</w:instrText>
          </w:r>
          <w:r>
            <w:rPr>
              <w:webHidden/>
              <w:rStyle w:val="Style17"/>
              <w:vanish w:val="false"/>
            </w:rPr>
            <w:fldChar w:fldCharType="separate"/>
          </w:r>
          <w:hyperlink w:anchor="__RefHeading___Toc42601_557750439">
            <w:bookmarkEnd w:id="0"/>
            <w:r>
              <w:rPr>
                <w:webHidden/>
                <w:rStyle w:val="Style17"/>
                <w:vanish w:val="false"/>
              </w:rPr>
              <w:t>1. Общие сведения</w:t>
              <w:tab/>
              <w:t>4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42603_557750439">
            <w:r>
              <w:rPr>
                <w:webHidden/>
                <w:rStyle w:val="Style17"/>
                <w:vanish w:val="false"/>
              </w:rPr>
              <w:t>1.1. Обозначения и сокращения</w:t>
              <w:tab/>
              <w:t>4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42605_557750439">
            <w:r>
              <w:rPr>
                <w:webHidden/>
                <w:rStyle w:val="Style17"/>
                <w:vanish w:val="false"/>
              </w:rPr>
              <w:t>1.2. Наименование закупаемой продукции</w:t>
              <w:tab/>
              <w:t>6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42607_557750439">
            <w:r>
              <w:rPr>
                <w:webHidden/>
                <w:rStyle w:val="Style17"/>
                <w:vanish w:val="false"/>
              </w:rPr>
              <w:t>2. Требования к продукции</w:t>
              <w:tab/>
              <w:t>6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42609_557750439">
            <w:r>
              <w:rPr>
                <w:webHidden/>
                <w:rStyle w:val="Style17"/>
                <w:vanish w:val="false"/>
              </w:rPr>
              <w:t>2.1. Требования к объемам и срокам поставки</w:t>
              <w:tab/>
              <w:t>6</w:t>
            </w:r>
          </w:hyperlink>
        </w:p>
        <w:p>
          <w:pPr>
            <w:pStyle w:val="TOC3"/>
            <w:tabs>
              <w:tab w:val="clear" w:pos="709"/>
              <w:tab w:val="right" w:pos="9921" w:leader="dot"/>
            </w:tabs>
            <w:rPr/>
          </w:pPr>
          <w:hyperlink w:anchor="__RefHeading___Toc42611_557750439">
            <w:r>
              <w:rPr>
                <w:webHidden/>
                <w:rStyle w:val="Style17"/>
                <w:vanish w:val="false"/>
              </w:rPr>
              <w:t>2.1.1. Перечень и объем закупаемой продукции</w:t>
              <w:tab/>
              <w:t>6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42613_557750439">
            <w:r>
              <w:rPr>
                <w:webHidden/>
                <w:rStyle w:val="Style17"/>
                <w:vanish w:val="false"/>
              </w:rPr>
              <w:t>Таблица 1.1 Перечень и объем закупаемой продукции</w:t>
              <w:tab/>
              <w:t>6</w:t>
            </w:r>
          </w:hyperlink>
        </w:p>
        <w:p>
          <w:pPr>
            <w:pStyle w:val="TOC3"/>
            <w:tabs>
              <w:tab w:val="clear" w:pos="709"/>
              <w:tab w:val="right" w:pos="9921" w:leader="dot"/>
            </w:tabs>
            <w:rPr/>
          </w:pPr>
          <w:hyperlink w:anchor="__RefHeading___Toc42615_557750439">
            <w:r>
              <w:rPr>
                <w:webHidden/>
                <w:rStyle w:val="Style17"/>
                <w:vanish w:val="false"/>
              </w:rPr>
              <w:t>2.1.2. Требования к срокам поставки продукции и оказания сопутствующих услуг</w:t>
              <w:tab/>
              <w:t>6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42617_557750439">
            <w:r>
              <w:rPr>
                <w:webHidden/>
                <w:rStyle w:val="Style17"/>
                <w:vanish w:val="false"/>
              </w:rPr>
              <w:t>Таблица 2.1 Требования по срокам поставки продукции</w:t>
              <w:tab/>
              <w:t>6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42619_557750439">
            <w:r>
              <w:rPr>
                <w:webHidden/>
                <w:rStyle w:val="Style17"/>
                <w:vanish w:val="false"/>
              </w:rPr>
              <w:t>2.2. Требования к качеству продукции</w:t>
              <w:tab/>
              <w:t>7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42621_557750439">
            <w:r>
              <w:rPr>
                <w:webHidden/>
                <w:rStyle w:val="Style17"/>
                <w:vanish w:val="false"/>
              </w:rPr>
              <w:t>Таблица 3. Требования к продукции</w:t>
              <w:tab/>
              <w:t>7</w:t>
            </w:r>
          </w:hyperlink>
        </w:p>
        <w:p>
          <w:pPr>
            <w:pStyle w:val="TOC3"/>
            <w:tabs>
              <w:tab w:val="clear" w:pos="709"/>
              <w:tab w:val="right" w:pos="9921" w:leader="dot"/>
            </w:tabs>
            <w:rPr/>
          </w:pPr>
          <w:hyperlink w:anchor="__RefHeading___Toc42623_557750439">
            <w:r>
              <w:rPr>
                <w:webHidden/>
                <w:rStyle w:val="Style17"/>
                <w:vanish w:val="false"/>
              </w:rPr>
              <w:t>2.2.1. В составе заявки необходимо предоставить</w:t>
              <w:tab/>
              <w:t>34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42625_557750439">
            <w:r>
              <w:rPr>
                <w:webHidden/>
                <w:rStyle w:val="Style17"/>
                <w:vanish w:val="false"/>
              </w:rPr>
              <w:t>3. Приложения</w:t>
              <w:tab/>
              <w:t>36</w:t>
            </w:r>
          </w:hyperlink>
          <w:r>
            <w:rPr>
              <w:rStyle w:val="Style17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left="432" w:hanging="432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426" w:hanging="360"/>
        <w:rPr/>
      </w:pPr>
      <w:bookmarkStart w:id="1" w:name="__RefHeading___Toc42601_557750439"/>
      <w:bookmarkStart w:id="2" w:name="_Toc51339692"/>
      <w:bookmarkStart w:id="3" w:name="_Toc191395474"/>
      <w:bookmarkEnd w:id="1"/>
      <w:r>
        <w:rPr/>
        <w:t>Общие сведения</w:t>
      </w:r>
      <w:bookmarkEnd w:id="2"/>
      <w:bookmarkEnd w:id="3"/>
    </w:p>
    <w:p>
      <w:pPr>
        <w:pStyle w:val="Heading4"/>
        <w:numPr>
          <w:ilvl w:val="1"/>
          <w:numId w:val="3"/>
        </w:numPr>
        <w:rPr/>
      </w:pPr>
      <w:bookmarkStart w:id="4" w:name="__RefHeading___Toc42603_557750439"/>
      <w:bookmarkStart w:id="5" w:name="_Toc191395475"/>
      <w:bookmarkStart w:id="6" w:name="_Toc46743505"/>
      <w:bookmarkEnd w:id="4"/>
      <w:r>
        <w:rPr/>
        <w:t>Обозначения и сокращения</w:t>
      </w:r>
      <w:bookmarkEnd w:id="5"/>
      <w:bookmarkEnd w:id="6"/>
    </w:p>
    <w:p>
      <w:pPr>
        <w:pStyle w:val="Normal"/>
        <w:spacing w:before="0" w:after="120"/>
        <w:rPr>
          <w:rStyle w:val="Style8"/>
          <w:rFonts w:eastAsia="Calibri"/>
          <w:b w:val="false"/>
          <w:bCs/>
          <w:iCs/>
          <w:sz w:val="22"/>
          <w:szCs w:val="22"/>
        </w:rPr>
      </w:pPr>
      <w:r>
        <w:rPr>
          <w:rFonts w:eastAsia="Calibri"/>
          <w:b w:val="false"/>
          <w:bCs/>
          <w:iCs/>
          <w:sz w:val="22"/>
          <w:szCs w:val="22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государственный стандарт;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12.2.007.3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межгосударственный стандарт. Система стандартов безопасности труда. электротехнические устройства на напряжение свыше 1000 В. Требования безопасности;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Р 52565-2006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национальный стандарт Российской Федерации. Выключатели переменного тока на напряжения от 3 до 750 кВ. Общие технические условия;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15150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межгосударственный стандарт.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12969-67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межгосударственный стандарт. Таблички для машин и приборов. Технические требования;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12971-67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межгосударственный стандарт. Таблички прямоугольные для машин и приборов.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Размеры;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14192-77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межгосударственный стандарт. Маркировка грузов;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10198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межгосударственный стандарт. Ящики деревянные для грузов массой св. 200 до 20000 кг. Общие технические условия;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2991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межгосударственный стандарт. Ящики дощатые неразборные для грузов массой до 500 кг. Общие технические условия;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23216-78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межгосударственный стандарт. Изделия электротехнические. Хранение, транспортирование, временная противокоррозионная защита, упаковка. Общие требования и методы испытаний;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Р 2.610-2019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национальный стандарт Российской Федерации. Единая система конструкторской документации. Правила выполнения эксплуатационных документов;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Р 56532-2015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национальный стандарт Российской Федерации. Оценка соответствия. Рекомендации по принятию декларации о соответствии продукции установленным требованиям;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sz w:val="24"/>
                <w:szCs w:val="24"/>
              </w:rPr>
              <w:t>ГОСТ 30546.1-98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межгосударственный стандарт. Общие требования к машинам, приборам и другим техническим изделиям и методы расчета их сложных конструкций в части сейсмостойкости;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rStyle w:val="Style8"/>
                <w:b w:val="false"/>
                <w:bCs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ЗИП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rStyle w:val="Style8"/>
                <w:b w:val="false"/>
                <w:bCs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запасные части, инструмент и принадлежности;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короткое замыкание;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нормативно-техническая документация;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технические условия;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b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трансформатор тока;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rStyle w:val="Style8"/>
                <w:b w:val="false"/>
                <w:bCs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УХЛ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rStyle w:val="Style8"/>
                <w:b w:val="false"/>
                <w:bCs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климатическое исполнение «умеренный и холодный климат»;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климатическое исполнение «умеренный»;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MSK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rStyle w:val="Style8"/>
                <w:b w:val="false"/>
                <w:i w:val="false"/>
                <w:i w:val="false"/>
                <w:iCs/>
                <w:sz w:val="22"/>
                <w:szCs w:val="22"/>
                <w:shd w:fill="auto" w:val="clear"/>
              </w:rPr>
            </w:pPr>
            <w:r>
              <w:rPr>
                <w:rStyle w:val="Style8"/>
                <w:b w:val="false"/>
                <w:i w:val="false"/>
                <w:iCs/>
                <w:sz w:val="22"/>
                <w:szCs w:val="22"/>
                <w:shd w:fill="auto" w:val="clear"/>
              </w:rPr>
              <w:t>шкала интенсивности землетрясений Медведева – Шпонхойера – Карника.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IP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rStyle w:val="Style8"/>
                <w:b w:val="false"/>
                <w:i w:val="false"/>
                <w:i w:val="false"/>
                <w:iCs/>
                <w:sz w:val="22"/>
                <w:szCs w:val="22"/>
                <w:shd w:fill="auto" w:val="clear"/>
              </w:rPr>
            </w:pPr>
            <w:r>
              <w:rPr>
                <w:rStyle w:val="Style8"/>
                <w:b w:val="false"/>
                <w:i w:val="false"/>
                <w:iCs/>
                <w:sz w:val="22"/>
                <w:szCs w:val="22"/>
                <w:shd w:fill="auto" w:val="clear"/>
              </w:rPr>
              <w:t xml:space="preserve">Система кодификации, применяемая для обозначения степеней защиты, обеспечиваемых оболочкой, от доступа к опасным частям, попадания внешних твердых предметов, воды, а также для предоставления дополнительной информации, связанной с такой защитой. 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7" w:name="__RefHeading___Toc42605_557750439"/>
      <w:bookmarkStart w:id="8" w:name="_Toc46743506"/>
      <w:bookmarkStart w:id="9" w:name="_Toc191395476"/>
      <w:bookmarkEnd w:id="7"/>
      <w:r>
        <w:rPr/>
        <w:t>Наименование закупаемой продукции</w:t>
      </w:r>
      <w:bookmarkEnd w:id="8"/>
      <w:bookmarkEnd w:id="9"/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jc w:val="both"/>
        <w:rPr>
          <w:rFonts w:eastAsia="Calibri"/>
          <w:i/>
          <w:i/>
        </w:rPr>
      </w:pPr>
      <w:r>
        <w:rPr>
          <w:rFonts w:eastAsia="Calibri"/>
          <w:i/>
          <w:sz w:val="24"/>
          <w:szCs w:val="24"/>
        </w:rPr>
        <w:t>«Секционный выключатель 35 кВ с трансформаторами тока для ПС 35 кВ Мелькомбинат»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  <w:bookmarkStart w:id="10" w:name="_Toc46743510"/>
      <w:bookmarkStart w:id="11" w:name="_Toc50125126"/>
      <w:bookmarkStart w:id="12" w:name="_Toc46743510"/>
      <w:bookmarkStart w:id="13" w:name="_Toc50125126"/>
      <w:bookmarkEnd w:id="12"/>
      <w:bookmarkEnd w:id="13"/>
    </w:p>
    <w:p>
      <w:pPr>
        <w:pStyle w:val="Heading1"/>
        <w:numPr>
          <w:ilvl w:val="0"/>
          <w:numId w:val="3"/>
        </w:numPr>
        <w:ind w:left="426" w:hanging="360"/>
        <w:rPr>
          <w:caps/>
        </w:rPr>
      </w:pPr>
      <w:bookmarkStart w:id="14" w:name="__RefHeading___Toc42607_557750439"/>
      <w:bookmarkStart w:id="15" w:name="_Toc51339693"/>
      <w:bookmarkStart w:id="16" w:name="_Toc191395481"/>
      <w:bookmarkEnd w:id="14"/>
      <w:r>
        <w:rPr/>
        <w:t>Требования к продукции</w:t>
      </w:r>
      <w:bookmarkEnd w:id="15"/>
      <w:bookmarkEnd w:id="16"/>
    </w:p>
    <w:p>
      <w:pPr>
        <w:pStyle w:val="Heading4"/>
        <w:numPr>
          <w:ilvl w:val="1"/>
          <w:numId w:val="3"/>
        </w:numPr>
        <w:rPr/>
      </w:pPr>
      <w:bookmarkStart w:id="17" w:name="__RefHeading___Toc42609_557750439"/>
      <w:bookmarkStart w:id="18" w:name="_Toc191395482"/>
      <w:bookmarkEnd w:id="17"/>
      <w:r>
        <w:rPr/>
        <w:t>Требования к объемам и срокам поставки</w:t>
      </w:r>
      <w:bookmarkEnd w:id="18"/>
    </w:p>
    <w:p>
      <w:pPr>
        <w:pStyle w:val="Heading3"/>
        <w:numPr>
          <w:ilvl w:val="2"/>
          <w:numId w:val="3"/>
        </w:numPr>
        <w:rPr/>
      </w:pPr>
      <w:bookmarkStart w:id="19" w:name="__RefHeading___Toc42611_557750439"/>
      <w:bookmarkStart w:id="20" w:name="_Toc191395483"/>
      <w:bookmarkEnd w:id="19"/>
      <w:r>
        <w:rPr/>
        <w:t>Перечень и объем закупаемой продукции</w:t>
      </w:r>
      <w:bookmarkEnd w:id="20"/>
    </w:p>
    <w:p>
      <w:pPr>
        <w:pStyle w:val="Style37"/>
        <w:numPr>
          <w:ilvl w:val="0"/>
          <w:numId w:val="0"/>
        </w:numPr>
        <w:ind w:left="0" w:hanging="0"/>
        <w:outlineLvl w:val="0"/>
        <w:rPr/>
      </w:pPr>
      <w:bookmarkStart w:id="21" w:name="__RefHeading___Toc42613_557750439"/>
      <w:bookmarkStart w:id="22" w:name="_Toc191395484"/>
      <w:bookmarkStart w:id="23" w:name="_Toc51339695"/>
      <w:bookmarkEnd w:id="21"/>
      <w:r>
        <w:rPr/>
        <w:t xml:space="preserve">Таблица 1.1 Перечень </w:t>
      </w:r>
      <w:bookmarkEnd w:id="23"/>
      <w:r>
        <w:rPr/>
        <w:t>и объем закупаемой продукции</w:t>
      </w:r>
      <w:bookmarkEnd w:id="22"/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4"/>
        <w:gridCol w:w="6131"/>
        <w:gridCol w:w="1422"/>
        <w:gridCol w:w="1414"/>
      </w:tblGrid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b w:val="false"/>
                <w:bCs/>
                <w:i/>
                <w:iCs/>
                <w:sz w:val="24"/>
                <w:szCs w:val="24"/>
                <w:shd w:fill="auto" w:val="clear"/>
                <w:lang w:val="en-US"/>
              </w:rPr>
              <w:t>Секционный выключатель 35 кВ с трансформаторами тока для ПС 35 кВ Мелькомбинат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к-т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Style37"/>
        <w:numPr>
          <w:ilvl w:val="0"/>
          <w:numId w:val="0"/>
        </w:numPr>
        <w:ind w:left="0" w:hanging="0"/>
        <w:outlineLvl w:val="0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/>
      </w:pPr>
      <w:bookmarkStart w:id="24" w:name="__RefHeading___Toc42615_557750439"/>
      <w:bookmarkStart w:id="25" w:name="_Toc191395486"/>
      <w:bookmarkStart w:id="26" w:name="_Toc51339696"/>
      <w:bookmarkEnd w:id="24"/>
      <w:r>
        <w:rPr/>
        <w:t xml:space="preserve">Требования </w:t>
      </w:r>
      <w:bookmarkEnd w:id="26"/>
      <w:r>
        <w:rPr/>
        <w:t>к срокам поставки продукции и оказания сопутствующих услуг</w:t>
      </w:r>
      <w:bookmarkEnd w:id="25"/>
    </w:p>
    <w:p>
      <w:pPr>
        <w:pStyle w:val="Style37"/>
        <w:numPr>
          <w:ilvl w:val="0"/>
          <w:numId w:val="0"/>
        </w:numPr>
        <w:ind w:left="0" w:hanging="0"/>
        <w:outlineLvl w:val="0"/>
        <w:rPr/>
      </w:pPr>
      <w:bookmarkStart w:id="27" w:name="__RefHeading___Toc42617_557750439"/>
      <w:bookmarkStart w:id="28" w:name="_Toc191395487"/>
      <w:bookmarkStart w:id="29" w:name="_Toc51339697"/>
      <w:bookmarkStart w:id="30" w:name="_Toc50125127"/>
      <w:bookmarkStart w:id="31" w:name="_Toc50125126_Копия_1"/>
      <w:bookmarkEnd w:id="27"/>
      <w:bookmarkEnd w:id="31"/>
      <w:r>
        <w:rPr/>
        <w:t xml:space="preserve">Таблица 2.1 </w:t>
      </w:r>
      <w:bookmarkStart w:id="32" w:name="_Hlk50465284"/>
      <w:r>
        <w:rPr/>
        <w:t xml:space="preserve">Требования по срокам </w:t>
      </w:r>
      <w:bookmarkEnd w:id="29"/>
      <w:bookmarkEnd w:id="30"/>
      <w:bookmarkEnd w:id="32"/>
      <w:r>
        <w:rPr/>
        <w:t>поставки продукции</w:t>
      </w:r>
      <w:bookmarkEnd w:id="28"/>
      <w:r>
        <w:rPr/>
        <w:t xml:space="preserve"> 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jc w:val="both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Секционный выключатель 35 кВ с трансформаторами тока для ПС 35 кВ Мелькомбинат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i/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В течение 150 дней с момента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default" r:id="rId5"/>
          <w:footnotePr>
            <w:numFmt w:val="decimal"/>
            <w:numRestart w:val="eachPage"/>
          </w:footnotePr>
          <w:type w:val="nextPage"/>
          <w:pgSz w:w="11906" w:h="16838"/>
          <w:pgMar w:left="1134" w:right="851" w:gutter="0" w:header="680" w:top="1134" w:footer="737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3" w:name="__RefHeading___Toc42619_557750439"/>
      <w:bookmarkStart w:id="34" w:name="_Toc51339698"/>
      <w:bookmarkStart w:id="35" w:name="_Toc191395489"/>
      <w:bookmarkStart w:id="36" w:name="_Toc46743511"/>
      <w:bookmarkEnd w:id="33"/>
      <w:r>
        <w:rPr/>
        <w:t xml:space="preserve">Требования к </w:t>
      </w:r>
      <w:bookmarkEnd w:id="36"/>
      <w:r>
        <w:rPr/>
        <w:t>качеству продукции</w:t>
      </w:r>
      <w:bookmarkEnd w:id="35"/>
    </w:p>
    <w:p>
      <w:pPr>
        <w:pStyle w:val="Style37"/>
        <w:numPr>
          <w:ilvl w:val="0"/>
          <w:numId w:val="0"/>
        </w:numPr>
        <w:ind w:left="0" w:hanging="0"/>
        <w:outlineLvl w:val="0"/>
        <w:rPr/>
      </w:pPr>
      <w:bookmarkStart w:id="37" w:name="__RefHeading___Toc42621_557750439"/>
      <w:bookmarkStart w:id="38" w:name="_Toc191395490"/>
      <w:bookmarkEnd w:id="37"/>
      <w:r>
        <w:rPr/>
        <w:t>Таблица 3. Требования к продукции</w:t>
      </w:r>
      <w:bookmarkEnd w:id="38"/>
      <w:r>
        <w:rPr/>
        <w:t xml:space="preserve"> </w:t>
      </w:r>
      <w:bookmarkEnd w:id="34"/>
    </w:p>
    <w:p>
      <w:pPr>
        <w:pStyle w:val="Normal"/>
        <w:jc w:val="both"/>
        <w:rPr>
          <w:rStyle w:val="Style8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  <w:shd w:fill="FFFF99" w:val="clear"/>
        </w:rPr>
      </w:pPr>
      <w:r>
        <w:rPr>
          <w:rStyle w:val="Style8"/>
          <w:b w:val="false"/>
          <w:sz w:val="24"/>
          <w:szCs w:val="24"/>
        </w:rPr>
        <w:t xml:space="preserve">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№1 Таблицы 1.1): Выключатель 35 кВ.</w:t>
      </w:r>
      <w:r>
        <w:rPr>
          <w:rStyle w:val="Style8"/>
          <w:b w:val="false"/>
          <w:iCs/>
          <w:sz w:val="24"/>
          <w:szCs w:val="24"/>
        </w:rPr>
        <w:t xml:space="preserve"> </w:t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tbl>
      <w:tblPr>
        <w:tblStyle w:val="af0"/>
        <w:tblpPr w:bottomFromText="0" w:horzAnchor="text" w:leftFromText="180" w:rightFromText="180" w:tblpX="0" w:tblpY="1" w:topFromText="0" w:vertAnchor="text"/>
        <w:tblW w:w="15107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468"/>
        <w:gridCol w:w="3035"/>
        <w:gridCol w:w="33"/>
        <w:gridCol w:w="2760"/>
        <w:gridCol w:w="2309"/>
        <w:gridCol w:w="2261"/>
        <w:gridCol w:w="3240"/>
      </w:tblGrid>
      <w:tr>
        <w:trPr/>
        <w:tc>
          <w:tcPr>
            <w:tcW w:w="14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068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76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4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4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068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Предоставление подтверждающего документа на этапе закупки </w:t>
            </w:r>
          </w:p>
        </w:tc>
        <w:tc>
          <w:tcPr>
            <w:tcW w:w="32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0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7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3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2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выключателя (включая гарантируемые показатели)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Производитель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Указание характеристик 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2.2.1.2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выключателя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Вакуумный или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Элегазовый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2.2.1.2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2.2.1.2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напряжение, кВ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2.2.1.2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40,5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2.2.1.2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ток, А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ток отключения, кА, не менее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63" w:hRule="atLeast"/>
        </w:trPr>
        <w:tc>
          <w:tcPr>
            <w:tcW w:w="1468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привода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Пружинный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термической стойкости, кА, не менее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 протекания тока термической стойкости, с.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 электродинамической стойкости, кА, не менее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2.2.1.2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Наибольший пик тока включения, кА, не менее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Начальное действующее значение периодической составляющей тока включения, кА, не менее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апериодической составляющей, %, не менее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Нормированный ток отключения в условиях рассогласования фаз, кА, не менее 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/>
                <w:i/>
                <w:iCs/>
                <w:sz w:val="24"/>
                <w:szCs w:val="24"/>
                <w:shd w:fill="FFFF99" w:val="clear"/>
              </w:rPr>
            </w:pPr>
            <w:r>
              <w:rPr>
                <w:b/>
                <w:i/>
                <w:iCs/>
                <w:sz w:val="24"/>
                <w:szCs w:val="24"/>
                <w:shd w:fill="FFFF99" w:val="clear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  <w:shd w:fill="FFFF99" w:val="clear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shd w:fill="FFFF99" w:val="clear"/>
                <w:lang w:val="ru-RU" w:eastAsia="ru-RU" w:bidi="ar-SA"/>
              </w:rPr>
              <w:t xml:space="preserve">0,25∙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shd w:fill="FFFF99" w:val="clear"/>
                <w:lang w:val="ru-RU" w:eastAsia="ru-RU" w:bidi="ar-SA"/>
              </w:rPr>
              <w:t>Iо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shd w:fill="FFFF99" w:val="clear"/>
                <w:lang w:val="ru-RU" w:eastAsia="ru-RU" w:bidi="ar-SA"/>
              </w:rPr>
              <w:t xml:space="preserve">.ном.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  <w:shd w:fill="FFFF99" w:val="clear"/>
              </w:rPr>
            </w:pPr>
            <w:r>
              <w:rPr>
                <w:i/>
                <w:iCs/>
                <w:sz w:val="24"/>
                <w:szCs w:val="24"/>
                <w:shd w:fill="FFFF99" w:val="clear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Допустимый ток отключения шунтирующего реактора, 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минимальный ток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нормированный ток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</w:t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+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315</w:t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+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63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Коммутационный ресурс, операций О (В), не менее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iCs/>
                <w:sz w:val="24"/>
                <w:szCs w:val="24"/>
              </w:rPr>
            </w:pPr>
            <w:r>
              <w:rPr>
                <w:rStyle w:val="Style8"/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Для элегазовых: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20(10) </w:t>
            </w:r>
            <w:r>
              <w:rPr>
                <w:rStyle w:val="Style8"/>
                <w:rFonts w:eastAsia="Times New Roman" w:cs="Times New Roman"/>
                <w:b w:val="false"/>
                <w:iCs/>
                <w:kern w:val="0"/>
                <w:sz w:val="24"/>
                <w:szCs w:val="24"/>
                <w:lang w:val="ru-RU" w:eastAsia="ru-RU" w:bidi="ar-SA"/>
              </w:rPr>
              <w:t>(до 31,5 кА включ.)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iCs/>
                <w:sz w:val="24"/>
                <w:szCs w:val="24"/>
              </w:rPr>
            </w:pPr>
            <w:r>
              <w:rPr>
                <w:rStyle w:val="Style8"/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Для вакуумных: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25 (17) </w:t>
            </w:r>
            <w:r>
              <w:rPr>
                <w:rStyle w:val="Style8"/>
                <w:rFonts w:eastAsia="Times New Roman" w:cs="Times New Roman"/>
                <w:b w:val="false"/>
                <w:iCs/>
                <w:kern w:val="0"/>
                <w:sz w:val="24"/>
                <w:szCs w:val="24"/>
                <w:lang w:val="ru-RU" w:eastAsia="ru-RU" w:bidi="ar-SA"/>
              </w:rPr>
              <w:t>(до 31,5 кА включ.)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Нормированные коммутационные циклы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цикл 1: О 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бт - ВО - 180 с - ВО;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цикл 2: О - 180 с - ВО - 180 с – ВО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цикл 1а: О -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tбт - ВО - 20 с - ВО</w:t>
            </w:r>
            <w:r>
              <w:rPr>
                <w:rStyle w:val="Style8"/>
                <w:rFonts w:eastAsia="Times New Roman" w:cs="Times New Roman"/>
                <w:b w:val="false"/>
                <w:i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Бестоковая пауза при АПВ, сек.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0,3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Разновременность включения полюсов, сек., не более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0,005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Разновременность отключения полюсов, сек., не более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0,0033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Разница между моментами размыкания контактов разрывов одного полюса, сек., не более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0,025 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Механический ресурс, циклов В-tп-О, операций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цепей управления (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переменный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ток), Uп.ном., В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Диапазон изменения напряжения постоянного тока цепей управления, % от номинального значения, не менее: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для цепей отключения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для цепей включения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 – 110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85 – 105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Минимальное напряжение срабатывания электромагнитов управления, В, не более: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электромагниты отключения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 xml:space="preserve">электромагниты включения 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0,7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U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п.ном.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iCs/>
                <w:sz w:val="24"/>
                <w:szCs w:val="24"/>
              </w:rPr>
            </w:pPr>
            <w:r>
              <w:rPr>
                <w:rStyle w:val="Style8"/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кроме элегазовых: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0,85 Uп.ном.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iCs/>
                <w:sz w:val="24"/>
                <w:szCs w:val="24"/>
              </w:rPr>
            </w:pPr>
            <w:r>
              <w:rPr>
                <w:rStyle w:val="Style8"/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для элегазовых: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0,7 Uп.ном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питания обогревателей (переменный ток), В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230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Номинальная мощность подогревательных устройств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(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переменный ток), Вт: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-антиконденсатный обогрев привода;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основной обогрев привода;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iCs/>
                <w:sz w:val="24"/>
                <w:szCs w:val="24"/>
              </w:rPr>
            </w:pPr>
            <w:r>
              <w:rPr>
                <w:rStyle w:val="Style8"/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только для элегазовых баковых выключателей: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-обогрев баков выключателя 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229" w:hanging="0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питания электродвигателей привода (переменный ток), Uп.ном., В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230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Ток, потребляемый электродвигателем привода (пусковой/установившийся), А, не более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электрической прочности изоляции: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313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Уровень изоляции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Ведомость комплекта ЗИП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_Ref184912424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2.2.1.8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313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Испытательное напряжение полного грозового импульса, кВ, не менее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относительно земли, между полюсами и между контактами полюса выключателя: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190 </w:t>
            </w:r>
            <w:r>
              <w:rPr>
                <w:rStyle w:val="Style8"/>
                <w:rFonts w:eastAsia="Times New Roman" w:cs="Times New Roman"/>
                <w:b w:val="false"/>
                <w:iCs/>
                <w:kern w:val="0"/>
                <w:sz w:val="24"/>
                <w:szCs w:val="24"/>
                <w:lang w:val="ru-RU" w:eastAsia="ru-RU" w:bidi="ar-SA"/>
              </w:rPr>
              <w:t>(35 кВ)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313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Кратковременное (одноминутное) переменное напряжение, кВ, не менее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iCs/>
                <w:sz w:val="24"/>
                <w:szCs w:val="24"/>
              </w:rPr>
            </w:pPr>
            <w:r>
              <w:rPr>
                <w:rStyle w:val="Style8"/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для выключателей 6÷220 кВ: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237" w:hanging="237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в сухом состоянии относительно земли, между полюсами и между контактами полюса выключателя: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b w:val="false"/>
                <w:iCs/>
                <w:sz w:val="24"/>
                <w:szCs w:val="24"/>
              </w:rPr>
            </w:pPr>
            <w:r>
              <w:rPr>
                <w:b w:val="false"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80 </w:t>
            </w:r>
            <w:r>
              <w:rPr>
                <w:rStyle w:val="Style8"/>
                <w:rFonts w:eastAsia="Times New Roman" w:cs="Times New Roman"/>
                <w:b w:val="false"/>
                <w:iCs/>
                <w:kern w:val="0"/>
                <w:sz w:val="24"/>
                <w:szCs w:val="24"/>
                <w:lang w:val="ru-RU" w:eastAsia="ru-RU" w:bidi="ar-SA"/>
              </w:rPr>
              <w:t>(35 кВ, уровень «а»)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237" w:hanging="237"/>
              <w:contextualSpacing/>
              <w:jc w:val="left"/>
              <w:rPr/>
            </w:pPr>
            <w:r>
              <w:rPr>
                <w:rStyle w:val="Style8"/>
                <w:rFonts w:cs="Times New Roman"/>
                <w:iCs/>
                <w:kern w:val="0"/>
                <w:lang w:val="ru-RU" w:eastAsia="ru-RU" w:bidi="ar-SA"/>
              </w:rPr>
              <w:t xml:space="preserve">(только для категории размещения 1) </w:t>
            </w:r>
            <w:r>
              <w:rPr>
                <w:rFonts w:cs="Times New Roman"/>
                <w:kern w:val="0"/>
                <w:lang w:val="ru-RU" w:eastAsia="ru-RU" w:bidi="ar-SA"/>
              </w:rPr>
              <w:t xml:space="preserve">под дождем относительно земли, между полюсами и между контактами полюса выключателя: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80 </w:t>
            </w:r>
            <w:r>
              <w:rPr>
                <w:rStyle w:val="Style8"/>
                <w:rFonts w:eastAsia="Times New Roman" w:cs="Times New Roman"/>
                <w:b w:val="false"/>
                <w:iCs/>
                <w:kern w:val="0"/>
                <w:sz w:val="24"/>
                <w:szCs w:val="24"/>
                <w:lang w:val="ru-RU" w:eastAsia="ru-RU" w:bidi="ar-SA"/>
              </w:rPr>
              <w:t>(35 кВ)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313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Удельная длина пути утечки внешней изоляции, см/кВ, не менее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Чертежи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_Ref184912271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2.2.1.3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трансформатору тока: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// -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// -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// -</w:t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313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вторичных обмоток на полюс, шт.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Чертежи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_Ref184912271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2.2.1.3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313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первичный ток, А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600/300/150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Свидетельство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_Ref184912356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2.2.1.5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313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вторичный ток, А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Свидетельство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_Ref184912356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2.2.1.5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313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защиты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10Р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Свидетельство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_Ref184912356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2.2.1.5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313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измерений и учета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0,5S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Свидетельство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_Ref184912356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2.2.1.5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313" w:hanging="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нагрузка, ВА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237" w:hanging="237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для учета электроэнергии: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237" w:hanging="237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для измерений: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50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237" w:hanging="237"/>
              <w:contextualSpacing/>
              <w:jc w:val="left"/>
              <w:rPr>
                <w:lang w:val="en-US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для защиты: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50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Свидетельство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_Ref184912356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2.2.1.5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313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предельная кратность вторичных обмоток для защиты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 5 до 30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Свидетельство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_Ref184912356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2.2.1.5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313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Коэффициент безопасности приборов обмоток для измерений и учета электроэнергии, не более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Свидетельство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_Ref184912356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2.2.1.5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313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Защитные обмотки трансформаторов тока должны обеспечивать заданный классом точности предел погрешности в переходных режимах, включая цикл АПВ, в том числе и не успешной АПВ «КЗ – отключение–пауза 1с включение (успешное и неуспешное на КЗ»</w:t>
            </w:r>
          </w:p>
        </w:tc>
        <w:tc>
          <w:tcPr>
            <w:tcW w:w="27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безопасности: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821" w:hRule="atLeast"/>
        </w:trPr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Степень защищенности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IP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54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2.2.1.2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Газоотводы, выхлопные и предохранительные устройства выключателей должны быть расположены так, чтобы выброс жидкости или газа был направлен в сторону от места, где может находиться обслуживающий персонал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2.2.1.2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Чертежи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_Ref184912271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2.2.1.3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Выключатель (полюс выключателя) должен иметь контактную площадку для подсоединения заземляющего проводника и заземляющий зажим (зажимы) с указанием знака заземления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2.2.1.2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Соответствие требованиям ГОСТ 12.2.007.3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2.2.1.2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материалам: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Конструктивное исполнение 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трехполюсный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Чертежи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_Ref184912271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2.2.1.3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b/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Тип изоляции вводов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фарфор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Ведомость комплекта ЗИП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_Ref184912424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2.2.1.8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Допустимая величина механической нагрузки от тяжения проводов в горизонтальной плоскости, Н, не менее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237" w:hanging="237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направление А: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500 </w:t>
            </w:r>
            <w:r>
              <w:rPr>
                <w:rStyle w:val="Style8"/>
                <w:rFonts w:eastAsia="Times New Roman" w:cs="Times New Roman"/>
                <w:b w:val="false"/>
                <w:iCs/>
                <w:kern w:val="0"/>
                <w:sz w:val="24"/>
                <w:szCs w:val="24"/>
                <w:lang w:val="ru-RU" w:eastAsia="ru-RU" w:bidi="ar-SA"/>
              </w:rPr>
              <w:t>(до 35 кВ)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237" w:hanging="237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направление В: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400 </w:t>
            </w:r>
            <w:r>
              <w:rPr>
                <w:rStyle w:val="Style8"/>
                <w:rFonts w:eastAsia="Times New Roman" w:cs="Times New Roman"/>
                <w:b w:val="false"/>
                <w:iCs/>
                <w:kern w:val="0"/>
                <w:sz w:val="24"/>
                <w:szCs w:val="24"/>
                <w:lang w:val="ru-RU" w:eastAsia="ru-RU" w:bidi="ar-SA"/>
              </w:rPr>
              <w:t>(до 35 кВ)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Чертежи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_Ref184912271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2.2.1.3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Расход на утечки газа или газовой смеси, %, не более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0,5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Масса выключателя, кг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Чертежи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_Ref184912271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2.2.1.3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Масса элегаза, газовой смеси/масла, кг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Габаритые размеры выключателя, Д/В/Ш, м 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Чертежи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_Ref184912271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2.2.1.3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Межполюсное расстояние полюсов выключателя, м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Чертежи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_Ref184912271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2.2.1.3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факторам: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Климатическое исполнение</w:t>
            </w:r>
          </w:p>
        </w:tc>
        <w:tc>
          <w:tcPr>
            <w:tcW w:w="279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УХЛ1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Категория размещения</w:t>
            </w:r>
          </w:p>
        </w:tc>
        <w:tc>
          <w:tcPr>
            <w:tcW w:w="279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Верхнее рабочее значение температуры окружающего воздуха, °С, для климатических исполнений и категорий размещения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плюс 40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Нижнее рабочее значение температуры окружающего воздуха, °С, для климатических исполнений и категорий размещения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минус 60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iCs/>
              </w:rPr>
            </w:pPr>
            <w:r>
              <w:rPr>
                <w:iCs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Высота над уровнем моря, м 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до 1000 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Толщина стенки гололеда, мм, не менее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Допустимая скорость ветра при наличии гололеда, м/с, не менее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15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40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Сейсмостойкость, баллов по шкале MSK-64, не менее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качеству поставляемой продукции: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новая*, ранее не используемая.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Год выпуска продукции (оборудования)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Не ранее </w:t>
            </w:r>
            <w:r>
              <w:rPr>
                <w:rStyle w:val="Style8"/>
                <w:rFonts w:eastAsia="Times New Roman" w:cs="Times New Roman"/>
                <w:b w:val="false"/>
                <w:iCs/>
                <w:kern w:val="0"/>
                <w:sz w:val="24"/>
                <w:szCs w:val="24"/>
                <w:lang w:val="ru-RU" w:eastAsia="ru-RU" w:bidi="ar-SA"/>
              </w:rPr>
              <w:t>2026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г.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Указание характеристик 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 продукции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567" w:leader="none"/>
              </w:tabs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при поставке ж/д транспортом (вагоны, платформы) станция получения Уссурийск, Дальневосточной ж.д., код станции – 988306, 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567" w:leader="none"/>
              </w:tabs>
              <w:suppressAutoHyphens w:val="true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b w:val="false"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при отгрузке транспортной компанией, автотранспортом: 692524, г. Уссурийск,  ул. Резервная 22 А.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должен иметь табличку по ГОСТ 12969-67 и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12971-67, содержащую следующие данные: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товарный знак или наименование предприятия-изготовителя;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наименование изделия ("Выключатель");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тип выключателя в соответствии с 5.3 ГОСТ Р 52565-2006;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обозначение климатического исполнения и категории размещения по ГОСТ 15150;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порядковый номер по системе нумерации предприятия-изготовителя;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номинальное напряжение в киловольтах;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номинальный ток в амперах;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номинальный ток отключения в килоамперах;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давление заполнения газа (смеси газов) в мегапаскалях (и рядом в скобках - в килограмм-силах на квадратный сантиметр) при 20 °С - для газовых выключателей;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масса выключателя в килограммах;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обозначение настоящего стандарта или ТУ;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left="0" w:hanging="0"/>
              <w:contextualSpacing/>
              <w:jc w:val="left"/>
              <w:rPr>
                <w:bCs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дата изготовления (год выпуска) выключателя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Транспортная маркировка грузов - по ГОСТ 14192-77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Выключатели или их части (при транспортировании выключателей в частично разобранном виде) должны быть упакованы для транспортирования в плотные или решетчатые ящики по ГОСТ 10198 или ГОСТ 2991 или в специальную тару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Все неокрашенные металлические части выключателя должны быть подвергнуты консервации по ГОСТ 23216-78.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хранения по ГОСТ 15150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72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5ОЖ3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72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транспортирования согласно ГОСТ 23216-78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72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72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средние (С)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72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хранения, не менее, лет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72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эксплуатации, обеспечению и утилизации: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Эксплуатация монтаж выключателя должно соответствовать требованиям Правилам технической эксплуатации электрических сетей, Правилам организации технического обслуживания и ремонта объектов электроэнергетики, Правилам устройств электроустановок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72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Чертежи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_Ref184912271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2.2.1.3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 заводской документации требований по мерам безопасности, перечня составных частей и методов утилизации изделий, представляющих опасность для жизни, здоровью людей и окружающей среды после окончания срока службы выключателя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72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2.2.1.2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обслуживанию: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эксплуатации выключателя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трех лет со дня ввода в эксплуатацию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Возможность заключения договора на постгарантийное обслуживание 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сервисных центров на территории РФ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2.2.1.4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Гарантии распространяются на все поставляемое оборудование.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Поставщик осуществляет за свой счет.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продукцией: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Выключатель с приводами и опорными металлоконструкциями (в случае если это предусмотрено настоящими ТТ) 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Чертежи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_Ref184912271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2.2.1.3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Комплект запасных частей и принадлежностей ЗИП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согласно комплектации производителя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Ведомость комплекта ЗИП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_Ref184912424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2.2.1.8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Эксплуатационная документация по ГОСТ Р 2.601-2019, экз.: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формуляр или 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ведомость ЗИП в виде отдельного документа или как составная часть паспорта или формуляра.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 (1 в электронном виде)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Ведомость комплекта ЗИП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_Ref184912424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2.2.1.8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Оснащение выключателя: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Счетчики числа срабатываний выключателя;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Устройство учета коммутационного ресурса;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Индикатор плотности элегаза с температурной компенсацией и блок–контактами для сигнализации о снижении давления и запрещения оперирования выключателем, на каждый полюс выключателя не требующий метрологического обслуживания;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Устройство синхронной коммутации;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Предвключаемый резистор. Параметры: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Время включения резисторов ∆T, мс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Величина сопротивления на фазу, R, Ом;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Реле против «прыгания»;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Наличие предохранительных клапанов (мембран) для каждого полюса выключателя;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Контактные зажимы выводов выключателя;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Механический указатель включенного и отключенного положений;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Коммутирующие контакты для внешних вспомогательных цепей в количестве не менее;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Переключатель управления – местное/дистанционное;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Кнопки местного управления выключателем;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Съемное приспособление для ручного неоперативного включения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2.2.1.2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документации: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 всем неоговоренном выключатели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 встраиваемое оборудование должны соответствовать требованиям ГОСТ Р 52565-2006, ПУЭ</w:t>
            </w:r>
          </w:p>
        </w:tc>
        <w:tc>
          <w:tcPr>
            <w:tcW w:w="2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2.2.1.2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Свидетельство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_Ref184912356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2.2.1.5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Ведомость комплекта ЗИП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_Ref184912424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2.2.1.8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экономическим параметрам: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6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службы, не менее, лет</w:t>
            </w:r>
          </w:p>
        </w:tc>
        <w:tc>
          <w:tcPr>
            <w:tcW w:w="27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2.2.1.6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6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службы до среднего (капитального) ремонта, лет, не менее</w:t>
            </w:r>
          </w:p>
        </w:tc>
        <w:tc>
          <w:tcPr>
            <w:tcW w:w="27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2.2.1.2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2.2.1.7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сопутствующим услугам: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49" w:hRule="atLeast"/>
        </w:trPr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Требования к шефмонтажу: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313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0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Участие в монтаже технического представителя завода</w:t>
            </w:r>
          </w:p>
        </w:tc>
        <w:tc>
          <w:tcPr>
            <w:tcW w:w="27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58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договора: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Участие представителей заказчика в приемо-сдаточных испытаний выключателя на заводе-изготовителе </w:t>
            </w:r>
          </w:p>
        </w:tc>
        <w:tc>
          <w:tcPr>
            <w:tcW w:w="27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6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06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Участие представителя завода изготовителя (поставщика) в проверке качества и комплектности поставляемой продукции </w:t>
            </w:r>
          </w:p>
        </w:tc>
        <w:tc>
          <w:tcPr>
            <w:tcW w:w="27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left="229" w:hanging="229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fldChar w:fldCharType="begin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t>2.2.1.1</w:t>
            </w:r>
            <w:r>
              <w:rPr>
                <w:sz w:val="22"/>
                <w:kern w:val="0"/>
                <w:szCs w:val="22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32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60"/>
        <w:ind w:left="426" w:hanging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Примечания:</w:t>
      </w:r>
    </w:p>
    <w:p>
      <w:pPr>
        <w:pStyle w:val="ListParagraph"/>
        <w:numPr>
          <w:ilvl w:val="0"/>
          <w:numId w:val="12"/>
        </w:numPr>
        <w:spacing w:before="0" w:after="60"/>
        <w:contextualSpacing/>
        <w:jc w:val="both"/>
        <w:rPr/>
      </w:pPr>
      <w:r>
        <w:rPr/>
        <w:t>В случае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ListParagraph"/>
        <w:numPr>
          <w:ilvl w:val="0"/>
          <w:numId w:val="12"/>
        </w:numPr>
        <w:spacing w:before="0" w:after="60"/>
        <w:contextualSpacing/>
        <w:jc w:val="both"/>
        <w:rPr/>
      </w:pPr>
      <w:r>
        <w:rPr/>
        <w:t>Указанные в настоящих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настоящих ТТ требований. 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>
      <w:pPr>
        <w:pStyle w:val="Normal"/>
        <w:jc w:val="both"/>
        <w:rPr>
          <w:rStyle w:val="Style8"/>
          <w:sz w:val="24"/>
          <w:szCs w:val="24"/>
        </w:rPr>
      </w:pPr>
      <w:r>
        <w:rPr>
          <w:sz w:val="24"/>
          <w:szCs w:val="24"/>
        </w:rPr>
      </w:r>
      <w:bookmarkStart w:id="39" w:name="_Toc184662457"/>
      <w:bookmarkStart w:id="40" w:name="_Toc184662431"/>
      <w:bookmarkStart w:id="41" w:name="_Toc184662353"/>
      <w:bookmarkStart w:id="42" w:name="_Toc184661961"/>
      <w:bookmarkStart w:id="43" w:name="_Toc184662456"/>
      <w:bookmarkStart w:id="44" w:name="_Toc184662430"/>
      <w:bookmarkStart w:id="45" w:name="_Toc184662352"/>
      <w:bookmarkStart w:id="46" w:name="_Toc184661960"/>
      <w:bookmarkStart w:id="47" w:name="_Toc184662457"/>
      <w:bookmarkStart w:id="48" w:name="_Toc184662431"/>
      <w:bookmarkStart w:id="49" w:name="_Toc184662353"/>
      <w:bookmarkStart w:id="50" w:name="_Toc184661961"/>
      <w:bookmarkStart w:id="51" w:name="_Toc184662456"/>
      <w:bookmarkStart w:id="52" w:name="_Toc184662430"/>
      <w:bookmarkStart w:id="53" w:name="_Toc184662352"/>
      <w:bookmarkStart w:id="54" w:name="_Toc184661960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>
      <w:pPr>
        <w:pStyle w:val="Heading3"/>
        <w:numPr>
          <w:ilvl w:val="2"/>
          <w:numId w:val="3"/>
        </w:numPr>
        <w:rPr/>
      </w:pPr>
      <w:bookmarkStart w:id="55" w:name="__RefHeading___Toc42623_557750439"/>
      <w:bookmarkStart w:id="56" w:name="_Toc191395491"/>
      <w:bookmarkStart w:id="57" w:name="_Toc184662458"/>
      <w:bookmarkStart w:id="58" w:name="_Toc184662354"/>
      <w:bookmarkStart w:id="59" w:name="_Toc184661962"/>
      <w:bookmarkStart w:id="60" w:name="_Toc184662432"/>
      <w:bookmarkEnd w:id="55"/>
      <w:bookmarkEnd w:id="57"/>
      <w:bookmarkEnd w:id="58"/>
      <w:bookmarkEnd w:id="59"/>
      <w:bookmarkEnd w:id="60"/>
      <w:r>
        <w:rPr/>
        <w:t>В составе заявки необходимо предоставить</w:t>
      </w:r>
      <w:bookmarkEnd w:id="56"/>
    </w:p>
    <w:p>
      <w:pPr>
        <w:pStyle w:val="Normal"/>
        <w:spacing w:before="0" w:after="60"/>
        <w:ind w:left="426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 </w:t>
      </w:r>
    </w:p>
    <w:p>
      <w:pPr>
        <w:pStyle w:val="52"/>
        <w:widowControl w:val="false"/>
        <w:numPr>
          <w:ilvl w:val="3"/>
          <w:numId w:val="3"/>
        </w:numPr>
        <w:ind w:left="1418" w:hanging="992"/>
        <w:rPr/>
      </w:pPr>
      <w:bookmarkStart w:id="61" w:name="_Ref184912228"/>
      <w:r>
        <w:rPr/>
        <w:t>Техническое предложение, подготовленное в соответствии с настоящими ТТ по форме, представленной в документации о закупке. При описании продукции Участник обязан подтвердить соответствие поставляемой продукции требованиям в отношении всех показателей, которые установлены в ТТ. При этом должны указываться точные и не допускающие двусмысленного толкования показатели.</w:t>
      </w:r>
      <w:bookmarkEnd w:id="61"/>
    </w:p>
    <w:p>
      <w:pPr>
        <w:pStyle w:val="52"/>
        <w:widowControl w:val="false"/>
        <w:numPr>
          <w:ilvl w:val="3"/>
          <w:numId w:val="3"/>
        </w:numPr>
        <w:ind w:left="1418" w:hanging="992"/>
        <w:rPr/>
      </w:pPr>
      <w:bookmarkStart w:id="62" w:name="_Ref184912253"/>
      <w:r>
        <w:rPr/>
        <w:t>Копию действующей декларации о соответствии, в соответствии с Федеральным Законом от 27.12.2002 г. № 184-ФЗ «О техническом регулировании», Постановлением Правительства РФ от 23.12.2021 г. №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соответствия».</w:t>
      </w:r>
      <w:bookmarkEnd w:id="62"/>
    </w:p>
    <w:p>
      <w:pPr>
        <w:pStyle w:val="Normal"/>
        <w:keepNext w:val="true"/>
        <w:widowControl w:val="false"/>
        <w:ind w:left="1418" w:hanging="0"/>
        <w:jc w:val="both"/>
        <w:rPr>
          <w:sz w:val="24"/>
          <w:szCs w:val="24"/>
        </w:rPr>
      </w:pPr>
      <w:r>
        <w:rPr>
          <w:sz w:val="24"/>
          <w:szCs w:val="24"/>
        </w:rPr>
        <w:t>Декларация о соответствии должна иметь электронную регистрацию (статус действующего документа)  в едином реестре деклараций на сайте https://fsa.gov.ru/ (требование п.6 ст.24 ФЗ-184, должна быть с приложением документов, на основании которых выданы декларации (в том числе, но не ограничиваясь: протокол испытаний и измерений, выполненных согласно  ГОСТ Р 52565-2006 и проведенных в аккредитованной в установленном порядке и независимой лаборатории (испытательного центра), имеющей российский аттестат аккредитации, либо сертификат системы качества, выданный органом по сертификации, аккредитованным в установленном порядке).</w:t>
      </w:r>
    </w:p>
    <w:p>
      <w:pPr>
        <w:pStyle w:val="Normal"/>
        <w:keepNext w:val="true"/>
        <w:widowControl w:val="false"/>
        <w:ind w:left="1418" w:hanging="0"/>
        <w:jc w:val="both"/>
        <w:rPr/>
      </w:pPr>
      <w:r>
        <w:rPr>
          <w:sz w:val="24"/>
          <w:szCs w:val="24"/>
        </w:rPr>
        <w:t>Высоковольтное оборудование должно иметь декларацию о соответствии (высоковольтные выключатели ГОСТ 1516.3-96, ГОСТ Р 52565-2006).</w:t>
      </w:r>
    </w:p>
    <w:p>
      <w:pPr>
        <w:pStyle w:val="52"/>
        <w:widowControl w:val="false"/>
        <w:numPr>
          <w:ilvl w:val="3"/>
          <w:numId w:val="3"/>
        </w:numPr>
        <w:ind w:left="1418" w:hanging="992"/>
        <w:rPr/>
      </w:pPr>
      <w:bookmarkStart w:id="63" w:name="_Ref184912271"/>
      <w:r>
        <w:rPr/>
        <w:t>Габаритно – установочные чертежи с присоединительными и установочными размерами и размерами выключателя.</w:t>
      </w:r>
      <w:bookmarkEnd w:id="63"/>
    </w:p>
    <w:p>
      <w:pPr>
        <w:pStyle w:val="52"/>
        <w:widowControl w:val="false"/>
        <w:numPr>
          <w:ilvl w:val="3"/>
          <w:numId w:val="3"/>
        </w:numPr>
        <w:ind w:left="1418" w:hanging="992"/>
        <w:rPr/>
      </w:pPr>
      <w:bookmarkStart w:id="64" w:name="_Ref184912294"/>
      <w:r>
        <w:rPr/>
        <w:t>Копии Протоколов испытаний (на механические воздействия, на коммутацию тока холостого хода трансформатора и зарядных токов воздушных и кабельных линий, электрической прочности изоляции, длины пути утечки внешней изоляции) проведенных в аккредитованной испытательной лаборатории, подтверждающих соответствие оборудования требованиям ГОСТ Р 52565-2006.</w:t>
      </w:r>
      <w:bookmarkEnd w:id="64"/>
    </w:p>
    <w:p>
      <w:pPr>
        <w:pStyle w:val="52"/>
        <w:widowControl w:val="false"/>
        <w:numPr>
          <w:ilvl w:val="3"/>
          <w:numId w:val="3"/>
        </w:numPr>
        <w:ind w:left="1418" w:hanging="992"/>
        <w:rPr/>
      </w:pPr>
      <w:bookmarkStart w:id="65" w:name="_Ref184912356"/>
      <w:r>
        <w:rPr/>
        <w:t>Свидетельство об утверждении типа на трансформаторы тока. Измерительные трансформаторы тока, применяемые в сфере государственного регулирования, должны иметь действующее «Свидетельство об утверждении типа», согласно Федерального Закона от 26.06.2008 г. № 102-ФЗ «Об обеспечении единства измерений».</w:t>
      </w:r>
      <w:bookmarkEnd w:id="65"/>
    </w:p>
    <w:p>
      <w:pPr>
        <w:pStyle w:val="52"/>
        <w:widowControl w:val="false"/>
        <w:numPr>
          <w:ilvl w:val="3"/>
          <w:numId w:val="3"/>
        </w:numPr>
        <w:ind w:left="1418" w:hanging="992"/>
        <w:rPr/>
      </w:pPr>
      <w:bookmarkStart w:id="66" w:name="_Ref184912387"/>
      <w:r>
        <w:rPr/>
        <w:t>Отсканированные копии утвержденных технических условий (все страницы документа) в соответствии с которыми выпускается выключатель.</w:t>
      </w:r>
      <w:bookmarkEnd w:id="66"/>
    </w:p>
    <w:p>
      <w:pPr>
        <w:pStyle w:val="52"/>
        <w:widowControl w:val="false"/>
        <w:numPr>
          <w:ilvl w:val="3"/>
          <w:numId w:val="3"/>
        </w:numPr>
        <w:ind w:left="1418" w:hanging="992"/>
        <w:rPr/>
      </w:pPr>
      <w:bookmarkStart w:id="67" w:name="_Ref184912407"/>
      <w:bookmarkStart w:id="68" w:name="_Toc184661975"/>
      <w:bookmarkEnd w:id="68"/>
      <w:r>
        <w:rPr/>
        <w:t>Руководство по эксплуатации (руководство по монтажу и наладке, техническое описание согласно ГОСТ 2.610-2019, ГОСТ 2.601-2019, ГОСТ Р 1.3-2018) производителя с описанием конструктивного исполнения закупаемого оборудования: назначение и область применения; состав оборудования; основные технические характеристики выключателей; информацию о конструкции и принципе действия.</w:t>
      </w:r>
      <w:bookmarkEnd w:id="67"/>
    </w:p>
    <w:p>
      <w:pPr>
        <w:pStyle w:val="52"/>
        <w:widowControl w:val="false"/>
        <w:numPr>
          <w:ilvl w:val="3"/>
          <w:numId w:val="3"/>
        </w:numPr>
        <w:ind w:left="1418" w:hanging="992"/>
        <w:rPr/>
      </w:pPr>
      <w:bookmarkStart w:id="69" w:name="_Ref184912424"/>
      <w:r>
        <w:rPr/>
        <w:t>Ведомость комплекта ЗИП предусмотренная заводом изготовителем в виде отдельного документа или как составная часть паспорта или формуляра, согласно пункта 6.14.2 ГОСТ Р 52565-2006 и ГОСТ Р 2.601-2019 ГОСТ Р 2.610</w:t>
      </w:r>
      <w:bookmarkEnd w:id="69"/>
      <w:r>
        <w:rPr/>
        <w:t>-2019.</w:t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426" w:hanging="360"/>
        <w:rPr/>
      </w:pPr>
      <w:bookmarkStart w:id="70" w:name="__RefHeading___Toc42625_557750439"/>
      <w:bookmarkStart w:id="71" w:name="_Toc51339699"/>
      <w:bookmarkStart w:id="72" w:name="_Toc46743519"/>
      <w:bookmarkStart w:id="73" w:name="_Toc191395494"/>
      <w:bookmarkEnd w:id="70"/>
      <w:r>
        <w:rPr/>
        <w:t>Приложения</w:t>
      </w:r>
      <w:bookmarkEnd w:id="71"/>
      <w:bookmarkEnd w:id="72"/>
      <w:bookmarkEnd w:id="73"/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rStyle w:val="Style8"/>
          <w:b w:val="false"/>
          <w:bCs/>
          <w:iCs/>
          <w:sz w:val="24"/>
          <w:szCs w:val="24"/>
        </w:rPr>
        <w:t>Приложение №1  Требования к оформлению и составлению документации по ценообразованию</w:t>
      </w:r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footnotePr>
            <w:numFmt w:val="decimal"/>
            <w:numRestart w:val="eachPage"/>
          </w:footnotePr>
          <w:type w:val="nextPage"/>
          <w:pgSz w:orient="landscape" w:w="16838" w:h="11906"/>
          <w:pgMar w:left="992" w:right="567" w:gutter="0" w:header="680" w:top="851" w:footer="737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widowControl w:val="false"/>
        <w:tabs>
          <w:tab w:val="clear" w:pos="709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rStyle w:val="Style8"/>
          <w:b w:val="false"/>
          <w:bCs/>
          <w:iCs/>
          <w:sz w:val="24"/>
          <w:szCs w:val="24"/>
        </w:rPr>
        <w:t xml:space="preserve"> </w:t>
      </w:r>
      <w:r>
        <w:br w:type="page"/>
      </w:r>
    </w:p>
    <w:p>
      <w:pPr>
        <w:pStyle w:val="Normal"/>
        <w:spacing w:before="0" w:after="120"/>
        <w:jc w:val="right"/>
        <w:rPr>
          <w:rStyle w:val="Style8"/>
          <w:bCs/>
          <w:caps/>
          <w:sz w:val="24"/>
          <w:szCs w:val="24"/>
        </w:rPr>
      </w:pPr>
      <w:bookmarkStart w:id="74" w:name="_Hlk48224758"/>
      <w:bookmarkStart w:id="75" w:name="_Ref40301253"/>
      <w:bookmarkEnd w:id="74"/>
      <w:bookmarkEnd w:id="75"/>
      <w:r>
        <w:rPr>
          <w:rStyle w:val="Style8"/>
          <w:bCs/>
          <w:caps/>
          <w:sz w:val="24"/>
          <w:szCs w:val="24"/>
        </w:rPr>
        <w:t>[</w:t>
      </w:r>
      <w:bookmarkStart w:id="76" w:name="_Hlk48222348"/>
      <w:r>
        <w:rPr>
          <w:rStyle w:val="Style8"/>
          <w:bCs/>
          <w:sz w:val="24"/>
          <w:szCs w:val="24"/>
        </w:rPr>
        <w:t>Приложение №1 к ТТ]</w:t>
      </w:r>
      <w:r>
        <w:rPr>
          <w:rStyle w:val="Style8"/>
          <w:bCs/>
          <w:caps/>
          <w:sz w:val="24"/>
          <w:szCs w:val="24"/>
        </w:rPr>
        <w:t xml:space="preserve"> </w:t>
      </w:r>
      <w:bookmarkEnd w:id="76"/>
    </w:p>
    <w:p>
      <w:pPr>
        <w:pStyle w:val="Normal"/>
        <w:spacing w:before="240" w:after="120"/>
        <w:jc w:val="center"/>
        <w:rPr>
          <w:b/>
          <w:bCs/>
          <w:i/>
          <w:i/>
          <w:caps/>
          <w:sz w:val="24"/>
          <w:szCs w:val="24"/>
          <w:shd w:fill="FFFF99" w:val="clear"/>
        </w:rPr>
      </w:pPr>
      <w:r>
        <w:rPr>
          <w:b/>
          <w:bCs/>
          <w:caps/>
          <w:sz w:val="24"/>
          <w:szCs w:val="24"/>
        </w:rPr>
        <w:t xml:space="preserve">Требования </w:t>
        <w:br/>
        <w:t>к оформлению и составлению документации по ценообразованию</w:t>
      </w:r>
    </w:p>
    <w:p>
      <w:pPr>
        <w:pStyle w:val="Normal"/>
        <w:keepNext w:val="true"/>
        <w:keepLines/>
        <w:spacing w:before="0" w:after="120"/>
        <w:rPr>
          <w:sz w:val="24"/>
          <w:szCs w:val="24"/>
        </w:rPr>
      </w:pPr>
      <w:r>
        <w:rPr>
          <w:sz w:val="24"/>
          <w:szCs w:val="24"/>
        </w:rPr>
      </w:r>
      <w:bookmarkStart w:id="77" w:name="_Hlk48224758_Копия_1"/>
      <w:bookmarkStart w:id="78" w:name="_Ref40301253_Копия_1"/>
      <w:bookmarkStart w:id="79" w:name="_Hlk48224758_Копия_1"/>
      <w:bookmarkStart w:id="80" w:name="_Ref40301253_Копия_1"/>
      <w:bookmarkEnd w:id="79"/>
      <w:bookmarkEnd w:id="80"/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jc w:val="righ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1.1. к ТТ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  <w:t>Спецификация поставляемого оборудования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tbl>
      <w:tblPr>
        <w:tblW w:w="1504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04"/>
        <w:gridCol w:w="1509"/>
        <w:gridCol w:w="993"/>
        <w:gridCol w:w="1416"/>
        <w:gridCol w:w="1276"/>
        <w:gridCol w:w="1702"/>
        <w:gridCol w:w="1134"/>
        <w:gridCol w:w="1276"/>
        <w:gridCol w:w="1276"/>
        <w:gridCol w:w="1275"/>
        <w:gridCol w:w="1134"/>
        <w:gridCol w:w="1551"/>
      </w:tblGrid>
      <w:tr>
        <w:trPr>
          <w:trHeight w:val="1005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№ 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150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Наименование оборудования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Тип, марка, артикул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Изготовитель 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Страна происхождения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Технические характеристики (описание)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Стоимость ед. (руб. без НДС) </w:t>
            </w:r>
            <w:r>
              <w:rPr>
                <w:b/>
                <w:color w:val="000000"/>
                <w:sz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Общая стоимость (руб. без НДС)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Срок поставки </w:t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Перечень документов, подтверждающих качество Оборудования</w:t>
            </w:r>
          </w:p>
        </w:tc>
      </w:tr>
      <w:tr>
        <w:trPr>
          <w:trHeight w:val="240" w:hRule="atLeast"/>
        </w:trPr>
        <w:tc>
          <w:tcPr>
            <w:tcW w:w="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150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1416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430" w:hanging="43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155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12</w:t>
            </w:r>
          </w:p>
        </w:tc>
      </w:tr>
      <w:tr>
        <w:trPr>
          <w:trHeight w:val="225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5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</w:tr>
      <w:tr>
        <w:trPr>
          <w:trHeight w:val="225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5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Примечание</w:t>
      </w:r>
      <w:r>
        <w:rPr>
          <w:sz w:val="24"/>
          <w:szCs w:val="24"/>
        </w:rPr>
        <w:t>: в случае закупки оборудования (материалов) комплектом, в спецификации необходимо разбить его на позиции (ценообразующие и являющиеся оборудованием) с указанием полного наименования (тип, марка, артикул) каждой составляющей и стоимости за единицу.</w:t>
      </w:r>
    </w:p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footnotePr>
            <w:numFmt w:val="decimal"/>
            <w:numRestart w:val="eachPage"/>
          </w:footnotePr>
          <w:type w:val="nextPage"/>
          <w:pgSz w:orient="landscape" w:w="16838" w:h="11906"/>
          <w:pgMar w:left="1134" w:right="539" w:gutter="0" w:header="709" w:top="1304" w:footer="709" w:bottom="924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>*</w:t>
      </w:r>
      <w:r>
        <w:rPr>
          <w:sz w:val="24"/>
          <w:szCs w:val="24"/>
        </w:rPr>
        <w:t>В случае включения в спецификацию стоимости за единицу оборудования, МТР с учетом доставки, указать данное условие.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jc w:val="righ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ind w:left="6373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/>
      </w:r>
    </w:p>
    <w:sectPr>
      <w:headerReference w:type="default" r:id="rId14"/>
      <w:headerReference w:type="first" r:id="rId15"/>
      <w:footerReference w:type="default" r:id="rId16"/>
      <w:footerReference w:type="first" r:id="rId17"/>
      <w:footnotePr>
        <w:numFmt w:val="decimal"/>
        <w:numRestart w:val="eachPage"/>
      </w:footnotePr>
      <w:type w:val="nextPage"/>
      <w:pgSz w:w="11906" w:h="16838"/>
      <w:pgMar w:left="426" w:right="924" w:gutter="0" w:header="709" w:top="766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jc w:val="both"/>
        <w:rPr>
          <w:rStyle w:val="Style8"/>
          <w:b w:val="false"/>
          <w:bCs/>
          <w:iCs/>
        </w:rPr>
      </w:pPr>
      <w:r>
        <w:rPr>
          <w:rStyle w:val="Style"/>
        </w:rPr>
        <w:footnoteRef/>
      </w: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34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35</w:t>
    </w:r>
    <w:r>
      <w:rPr/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kern w:val="0"/>
        <w:effect w:val="none"/>
        <w:iCs w:val="false"/>
        <w:em w:val="none"/>
        <w:emboss w:val="false"/>
        <w:imprint w:val="false"/>
        <w:vanish w:val="false"/>
        <w:rFonts w:ascii="Times New Roman" w:hAnsi="Times New Roman" w:cs="Times New Roman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/>
    </w:lvl>
  </w:abstractNum>
  <w:abstractNum w:abstractNumId="13">
    <w:lvl w:ilvl="0">
      <w:start w:val="1"/>
      <w:numFmt w:val="russianLower"/>
      <w:lvlText w:val="%1)"/>
      <w:lvlJc w:val="righ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76d8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c7171"/>
    <w:pPr>
      <w:numPr>
        <w:ilvl w:val="0"/>
      </w:numPr>
      <w:ind w:left="426" w:hanging="0"/>
      <w:jc w:val="center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3c7171"/>
    <w:pPr>
      <w:keepNext w:val="true"/>
      <w:numPr>
        <w:ilvl w:val="2"/>
        <w:numId w:val="3"/>
      </w:numPr>
      <w:spacing w:before="120" w:after="60"/>
      <w:jc w:val="both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next w:val="Normal"/>
    <w:link w:val="4"/>
    <w:qFormat/>
    <w:rsid w:val="003c7171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uiPriority w:val="99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</w:rPr>
  </w:style>
  <w:style w:type="character" w:styleId="1" w:customStyle="1">
    <w:name w:val="Заголовок 1 Знак"/>
    <w:qFormat/>
    <w:rsid w:val="003c7171"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sid w:val="003c7171"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sid w:val="003c7171"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ConsPlusNormal" w:customStyle="1">
    <w:name w:val="ConsPlusNormal Знак"/>
    <w:link w:val="ConsPlusNormal1"/>
    <w:qFormat/>
    <w:rsid w:val="008532d7"/>
    <w:rPr>
      <w:rFonts w:ascii="Arial" w:hAnsi="Arial" w:cs="Arial"/>
    </w:rPr>
  </w:style>
  <w:style w:type="character" w:styleId="Style14" w:customStyle="1">
    <w:name w:val="курсив ТТ Знак"/>
    <w:basedOn w:val="DefaultParagraphFont"/>
    <w:link w:val="Style36"/>
    <w:qFormat/>
    <w:rsid w:val="00e9495a"/>
    <w:rPr>
      <w:iCs/>
      <w:sz w:val="24"/>
      <w:szCs w:val="24"/>
    </w:rPr>
  </w:style>
  <w:style w:type="character" w:styleId="Style15" w:customStyle="1">
    <w:name w:val="НТ Знак"/>
    <w:basedOn w:val="DefaultParagraphFont"/>
    <w:link w:val="Style37"/>
    <w:qFormat/>
    <w:rsid w:val="003c7171"/>
    <w:rPr>
      <w:b/>
      <w:sz w:val="24"/>
      <w:szCs w:val="24"/>
    </w:rPr>
  </w:style>
  <w:style w:type="character" w:styleId="Style16" w:customStyle="1">
    <w:name w:val="На) Знак"/>
    <w:basedOn w:val="Style7"/>
    <w:link w:val="Style38"/>
    <w:qFormat/>
    <w:rsid w:val="003c7171"/>
    <w:rPr>
      <w:rFonts w:eastAsia="Calibri"/>
      <w:sz w:val="24"/>
      <w:szCs w:val="24"/>
    </w:rPr>
  </w:style>
  <w:style w:type="character" w:styleId="51" w:customStyle="1">
    <w:name w:val="Н5 Знак"/>
    <w:basedOn w:val="3"/>
    <w:link w:val="52"/>
    <w:qFormat/>
    <w:rsid w:val="001f5355"/>
    <w:rPr>
      <w:rFonts w:eastAsia="Calibri"/>
      <w:b w:val="false"/>
      <w:sz w:val="24"/>
      <w:szCs w:val="24"/>
    </w:rPr>
  </w:style>
  <w:style w:type="character" w:styleId="Style17">
    <w:name w:val="Ссылка указателя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</w:rPr>
  </w:style>
  <w:style w:type="paragraph" w:styleId="Style23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Headertext" w:customStyle="1">
    <w:name w:val="headertext"/>
    <w:basedOn w:val="Normal"/>
    <w:qFormat/>
    <w:rsid w:val="00c93b90"/>
    <w:pPr>
      <w:spacing w:beforeAutospacing="1" w:afterAutospacing="1"/>
    </w:pPr>
    <w:rPr>
      <w:sz w:val="24"/>
      <w:szCs w:val="24"/>
    </w:rPr>
  </w:style>
  <w:style w:type="paragraph" w:styleId="Formattext" w:customStyle="1">
    <w:name w:val="formattext"/>
    <w:basedOn w:val="Normal"/>
    <w:qFormat/>
    <w:rsid w:val="00c93b90"/>
    <w:pPr>
      <w:spacing w:beforeAutospacing="1" w:afterAutospacing="1"/>
    </w:pPr>
    <w:rPr>
      <w:sz w:val="24"/>
      <w:szCs w:val="24"/>
    </w:rPr>
  </w:style>
  <w:style w:type="paragraph" w:styleId="ListNum" w:customStyle="1">
    <w:name w:val="ListNum"/>
    <w:qFormat/>
    <w:rsid w:val="00893936"/>
    <w:pPr>
      <w:widowControl w:val="false"/>
      <w:tabs>
        <w:tab w:val="clear" w:pos="709"/>
        <w:tab w:val="left" w:pos="284" w:leader="none"/>
        <w:tab w:val="left" w:pos="1260" w:leader="none"/>
      </w:tabs>
      <w:suppressAutoHyphens w:val="true"/>
      <w:bidi w:val="0"/>
      <w:spacing w:before="60" w:after="0"/>
      <w:jc w:val="both"/>
    </w:pPr>
    <w:rPr>
      <w:rFonts w:ascii="Times New Roman" w:hAnsi="Times New Roman" w:eastAsia="Times New Roman" w:cs="Times New Roman"/>
      <w:color w:val="000000"/>
      <w:kern w:val="0"/>
      <w:sz w:val="22"/>
      <w:szCs w:val="22"/>
      <w:u w:val="none" w:color="000000"/>
      <w:lang w:val="ru-RU" w:eastAsia="ru-RU" w:bidi="ar-SA"/>
    </w:rPr>
  </w:style>
  <w:style w:type="paragraph" w:styleId="Default" w:customStyle="1">
    <w:name w:val="Default"/>
    <w:qFormat/>
    <w:rsid w:val="008449f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6" w:customStyle="1">
    <w:name w:val="курсив ТТ"/>
    <w:basedOn w:val="Normal"/>
    <w:link w:val="Style14"/>
    <w:qFormat/>
    <w:rsid w:val="00e9495a"/>
    <w:pPr/>
    <w:rPr>
      <w:iCs/>
      <w:sz w:val="24"/>
      <w:szCs w:val="24"/>
    </w:rPr>
  </w:style>
  <w:style w:type="paragraph" w:styleId="Style37" w:customStyle="1">
    <w:name w:val="НТ"/>
    <w:basedOn w:val="Normal"/>
    <w:link w:val="Style15"/>
    <w:qFormat/>
    <w:rsid w:val="003c7171"/>
    <w:pPr/>
    <w:rPr>
      <w:b/>
      <w:sz w:val="24"/>
      <w:szCs w:val="24"/>
    </w:rPr>
  </w:style>
  <w:style w:type="paragraph" w:styleId="Style38" w:customStyle="1">
    <w:name w:val="На)"/>
    <w:basedOn w:val="ListParagraph"/>
    <w:link w:val="Style16"/>
    <w:qFormat/>
    <w:rsid w:val="003c7171"/>
    <w:pPr>
      <w:numPr>
        <w:ilvl w:val="0"/>
        <w:numId w:val="13"/>
      </w:numPr>
    </w:pPr>
    <w:rPr/>
  </w:style>
  <w:style w:type="paragraph" w:styleId="52" w:customStyle="1">
    <w:name w:val="Н5"/>
    <w:basedOn w:val="Heading3"/>
    <w:link w:val="51"/>
    <w:qFormat/>
    <w:rsid w:val="001f5355"/>
    <w:pPr>
      <w:numPr>
        <w:ilvl w:val="3"/>
      </w:numPr>
      <w:ind w:left="1418" w:hanging="992"/>
      <w:outlineLvl w:val="9"/>
    </w:pPr>
    <w:rPr>
      <w:b w:val="false"/>
    </w:rPr>
  </w:style>
  <w:style w:type="paragraph" w:styleId="Style39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6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header" Target="header6.xml"/><Relationship Id="rId11" Type="http://schemas.openxmlformats.org/officeDocument/2006/relationships/header" Target="header7.xml"/><Relationship Id="rId12" Type="http://schemas.openxmlformats.org/officeDocument/2006/relationships/footer" Target="footer4.xml"/><Relationship Id="rId13" Type="http://schemas.openxmlformats.org/officeDocument/2006/relationships/footer" Target="footer5.xml"/><Relationship Id="rId14" Type="http://schemas.openxmlformats.org/officeDocument/2006/relationships/header" Target="header8.xml"/><Relationship Id="rId15" Type="http://schemas.openxmlformats.org/officeDocument/2006/relationships/header" Target="header9.xml"/><Relationship Id="rId16" Type="http://schemas.openxmlformats.org/officeDocument/2006/relationships/footer" Target="footer6.xml"/><Relationship Id="rId17" Type="http://schemas.openxmlformats.org/officeDocument/2006/relationships/footer" Target="footer7.xml"/><Relationship Id="rId18" Type="http://schemas.openxmlformats.org/officeDocument/2006/relationships/footnotes" Target="footnotes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<Relationship Id="rId2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29749-D639-45FC-9647-D0A5DBABF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AlterOffice/3.3.1.2$Linux_X86_64 LibreOffice_project/d24a236f19d27df058de70d7d77bbc59fadeaa60</Application>
  <AppVersion>15.0000</AppVersion>
  <Pages>35</Pages>
  <Words>4483</Words>
  <Characters>28268</Characters>
  <CharactersWithSpaces>31537</CharactersWithSpaces>
  <Paragraphs>988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2025-02-25T14:01:00Z</dcterms:created>
  <dc:creator>Быстров Олег Геннадьевич</dc:creator>
  <dc:description/>
  <dc:language>ru-RU</dc:language>
  <cp:lastModifiedBy>novikov_ms</cp:lastModifiedBy>
  <cp:lastPrinted>2006-07-26T14:04:00Z</cp:lastPrinted>
  <dcterms:modified xsi:type="dcterms:W3CDTF">2026-09-07T08:07:02Z</dcterms:modified>
  <cp:revision>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