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header1.xml" ContentType="application/vnd.openxmlformats-officedocument.wordprocessingml.header+xml"/>
  <Override PartName="/word/_rels/document.xml.rels" ContentType="application/vnd.openxmlformats-package.relationships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10421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5208"/>
        <w:gridCol w:w="5212"/>
      </w:tblGrid>
      <w:tr>
        <w:trPr>
          <w:trHeight w:val="2025" w:hRule="atLeast"/>
        </w:trPr>
        <w:tc>
          <w:tcPr>
            <w:tcW w:w="5208" w:type="dxa"/>
            <w:tcBorders/>
            <w:shd w:color="auto" w:fill="auto" w:val="clea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6"/>
                <w:szCs w:val="26"/>
              </w:rPr>
            </w:pPr>
            <w:r>
              <w:rPr/>
              <w:drawing>
                <wp:inline distT="0" distB="0" distL="0" distR="0">
                  <wp:extent cx="3068955" cy="2613025"/>
                  <wp:effectExtent l="0" t="0" r="0" b="0"/>
                  <wp:docPr id="1" name="Изображение 1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Изображение 1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68955" cy="2613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12" w:type="dxa"/>
            <w:tcBorders/>
            <w:shd w:color="auto" w:fill="auto" w:val="clea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</w:p>
        </w:tc>
      </w:tr>
    </w:tbl>
    <w:p>
      <w:pPr>
        <w:pStyle w:val="11"/>
        <w:numPr>
          <w:ilvl w:val="0"/>
          <w:numId w:val="0"/>
        </w:numPr>
        <w:spacing w:before="0" w:after="0"/>
        <w:ind w:hanging="0" w:left="0"/>
        <w:jc w:val="center"/>
        <w:outlineLvl w:val="9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p>
      <w:pPr>
        <w:pStyle w:val="11"/>
        <w:numPr>
          <w:ilvl w:val="0"/>
          <w:numId w:val="0"/>
        </w:numPr>
        <w:spacing w:before="0" w:after="0"/>
        <w:ind w:hanging="0" w:left="0"/>
        <w:jc w:val="center"/>
        <w:outlineLvl w:val="9"/>
        <w:rPr>
          <w:highlight w:val="none"/>
          <w:shd w:fill="FFFFFF" w:val="clear"/>
        </w:rPr>
      </w:pPr>
      <w:r>
        <w:rPr>
          <w:rFonts w:ascii="Times New Roman" w:hAnsi="Times New Roman"/>
          <w:sz w:val="28"/>
          <w:szCs w:val="28"/>
          <w:shd w:fill="FFFFFF" w:val="clear"/>
        </w:rPr>
        <w:t>Запрос технико-коммерческих в рамках нерегламентированной закупке по Лоту №</w:t>
      </w:r>
      <w:r>
        <w:rPr>
          <w:rFonts w:ascii="Times New Roman" w:hAnsi="Times New Roman"/>
          <w:color w:val="FF0000"/>
          <w:sz w:val="28"/>
          <w:szCs w:val="28"/>
          <w:shd w:fill="FFFFFF" w:val="clear"/>
        </w:rPr>
        <w:t xml:space="preserve"> </w:t>
      </w:r>
      <w:r>
        <w:rPr>
          <w:rFonts w:eastAsia="Times New Roman" w:cs="Times New Roman" w:ascii="Times New Roman" w:hAnsi="Times New Roman"/>
          <w:color w:val="000000"/>
          <w:kern w:val="0"/>
          <w:sz w:val="28"/>
          <w:szCs w:val="28"/>
          <w:shd w:fill="FFFFFF" w:val="clear"/>
          <w:lang w:val="ru-RU" w:eastAsia="ru-RU" w:bidi="ar-SA"/>
        </w:rPr>
        <w:t>№40</w:t>
      </w:r>
      <w:r>
        <w:rPr>
          <w:rFonts w:eastAsia="Times New Roman" w:cs="Times New Roman" w:ascii="Times New Roman" w:hAnsi="Times New Roman"/>
          <w:color w:val="000000"/>
          <w:kern w:val="0"/>
          <w:sz w:val="28"/>
          <w:szCs w:val="28"/>
          <w:shd w:fill="FFFFFF" w:val="clear"/>
          <w:lang w:val="ru-RU" w:eastAsia="ru-RU" w:bidi="ar-SA"/>
        </w:rPr>
        <w:t>86</w:t>
      </w:r>
      <w:r>
        <w:rPr>
          <w:rFonts w:eastAsia="Times New Roman" w:cs="Times New Roman" w:ascii="Times New Roman" w:hAnsi="Times New Roman"/>
          <w:color w:val="000000"/>
          <w:kern w:val="0"/>
          <w:sz w:val="28"/>
          <w:szCs w:val="28"/>
          <w:shd w:fill="FFFFFF" w:val="clear"/>
          <w:lang w:val="ru-RU" w:eastAsia="ru-RU" w:bidi="ar-SA"/>
        </w:rPr>
        <w:t xml:space="preserve"> -ЭКСП  ОРГ-2026</w:t>
      </w:r>
      <w:r>
        <w:rPr>
          <w:rFonts w:eastAsia="Times New Roman" w:cs="Times New Roman" w:ascii="Times New Roman" w:hAnsi="Times New Roman"/>
          <w:color w:val="000000"/>
          <w:kern w:val="0"/>
          <w:sz w:val="28"/>
          <w:szCs w:val="28"/>
          <w:shd w:fill="FFFFFF" w:val="clear"/>
          <w:lang w:val="ru-RU" w:eastAsia="ru-RU" w:bidi="ar-SA"/>
        </w:rPr>
        <w:t>7</w:t>
      </w:r>
      <w:r>
        <w:rPr>
          <w:rFonts w:eastAsia="Times New Roman" w:cs="Times New Roman" w:ascii="Times New Roman" w:hAnsi="Times New Roman"/>
          <w:color w:val="000000"/>
          <w:kern w:val="0"/>
          <w:sz w:val="28"/>
          <w:szCs w:val="28"/>
          <w:shd w:fill="FFFFFF" w:val="clear"/>
          <w:lang w:val="ru-RU" w:eastAsia="ru-RU" w:bidi="ar-SA"/>
        </w:rPr>
        <w:t>ТК-СШФ</w:t>
      </w:r>
      <w:r>
        <w:rPr>
          <w:rFonts w:ascii="Times New Roman" w:hAnsi="Times New Roman"/>
          <w:color w:val="FF0000"/>
          <w:sz w:val="28"/>
          <w:szCs w:val="28"/>
          <w:shd w:fill="FFFFFF" w:val="clear"/>
        </w:rPr>
        <w:t xml:space="preserve">    </w:t>
      </w:r>
      <w:r>
        <w:rPr>
          <w:rFonts w:ascii="Times New Roman" w:hAnsi="Times New Roman"/>
          <w:sz w:val="28"/>
          <w:szCs w:val="28"/>
          <w:shd w:fill="FFFFFF" w:val="clear"/>
        </w:rPr>
        <w:t xml:space="preserve"> «</w:t>
      </w:r>
      <w:r>
        <w:rPr>
          <w:rFonts w:eastAsia="Calibri" w:ascii="Times New Roman" w:hAnsi="Times New Roman"/>
          <w:sz w:val="28"/>
          <w:szCs w:val="28"/>
          <w:shd w:fill="FFFFFF" w:val="clear"/>
        </w:rPr>
        <w:t xml:space="preserve">ОКПД2 </w:t>
      </w:r>
      <w:r>
        <w:rPr>
          <w:rFonts w:eastAsia="Calibri" w:ascii="Times New Roman" w:hAnsi="Times New Roman"/>
          <w:sz w:val="24"/>
          <w:szCs w:val="24"/>
          <w:shd w:fill="FFFFFF" w:val="clear"/>
        </w:rPr>
        <w:t xml:space="preserve"> </w:t>
      </w:r>
      <w:r>
        <w:rPr>
          <w:rFonts w:ascii="Times New Roman" w:hAnsi="Times New Roman"/>
          <w:kern w:val="0"/>
          <w:sz w:val="28"/>
          <w:szCs w:val="28"/>
          <w:shd w:fill="FFFFFF" w:val="clear"/>
        </w:rPr>
        <w:t xml:space="preserve">38.12.11.000. </w:t>
      </w:r>
      <w:r>
        <w:rPr>
          <w:rFonts w:eastAsia="Calibri" w:ascii="Times New Roman" w:hAnsi="Times New Roman"/>
          <w:sz w:val="24"/>
          <w:szCs w:val="24"/>
          <w:shd w:fill="FFFFFF" w:val="clear"/>
        </w:rPr>
        <w:t>У</w:t>
      </w:r>
      <w:r>
        <w:rPr>
          <w:rFonts w:eastAsia="Calibri" w:ascii="Times New Roman" w:hAnsi="Times New Roman"/>
          <w:sz w:val="28"/>
          <w:szCs w:val="28"/>
          <w:shd w:fill="FFFFFF" w:val="clear"/>
        </w:rPr>
        <w:t xml:space="preserve">слуги </w:t>
      </w:r>
      <w:r>
        <w:rPr>
          <w:rFonts w:ascii="Times New Roman" w:hAnsi="Times New Roman"/>
          <w:sz w:val="28"/>
          <w:szCs w:val="22"/>
          <w:shd w:fill="FFFFFF" w:val="clear"/>
        </w:rPr>
        <w:t>по сбору, транспортированию и обезвреживанию  опасных медицинских отходов класса «Б» и «В»</w:t>
      </w:r>
      <w:r>
        <w:rPr>
          <w:rFonts w:eastAsia="Calibri" w:ascii="Times New Roman" w:hAnsi="Times New Roman"/>
          <w:sz w:val="28"/>
          <w:szCs w:val="28"/>
          <w:shd w:fill="FFFFFF" w:val="clear"/>
        </w:rPr>
        <w:t xml:space="preserve">  для нужд Саяно-Шушенского филиала АО «ТК РусГидро» </w:t>
      </w:r>
    </w:p>
    <w:p>
      <w:pPr>
        <w:pStyle w:val="Normal"/>
        <w:keepNext w:val="true"/>
        <w:keepLines/>
        <w:jc w:val="center"/>
        <w:rPr>
          <w:highlight w:val="none"/>
          <w:shd w:fill="FFFFFF" w:val="clear"/>
        </w:rPr>
      </w:pPr>
      <w:bookmarkStart w:id="0" w:name="_GoBack"/>
      <w:bookmarkEnd w:id="0"/>
      <w:r>
        <w:rPr>
          <w:rFonts w:eastAsia="Calibri" w:ascii="Times New Roman" w:hAnsi="Times New Roman"/>
          <w:b/>
          <w:bCs/>
          <w:kern w:val="2"/>
          <w:sz w:val="28"/>
          <w:szCs w:val="28"/>
          <w:shd w:fill="FFFFFF" w:val="clear"/>
          <w:lang w:eastAsia="ru-RU"/>
        </w:rPr>
        <w:t xml:space="preserve"> </w:t>
      </w:r>
    </w:p>
    <w:p>
      <w:pPr>
        <w:pStyle w:val="11"/>
        <w:numPr>
          <w:ilvl w:val="0"/>
          <w:numId w:val="0"/>
        </w:numPr>
        <w:spacing w:before="0" w:after="0"/>
        <w:ind w:hanging="0" w:left="0"/>
        <w:jc w:val="center"/>
        <w:outlineLvl w:val="9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                                                              </w:t>
      </w:r>
    </w:p>
    <w:p>
      <w:pPr>
        <w:pStyle w:val="Normal"/>
        <w:numPr>
          <w:ilvl w:val="0"/>
          <w:numId w:val="5"/>
        </w:numPr>
        <w:spacing w:before="120" w:after="0"/>
        <w:jc w:val="both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Саяно-Шушенский филиал АО «ТК РусГидро»</w:t>
      </w:r>
      <w:r>
        <w:rPr>
          <w:rFonts w:ascii="Times New Roman" w:hAnsi="Times New Roman"/>
          <w:sz w:val="26"/>
          <w:szCs w:val="26"/>
        </w:rPr>
        <w:t xml:space="preserve"> (далее – Заказчик) сообщает о проведении</w:t>
      </w:r>
      <w:r>
        <w:rPr>
          <w:rFonts w:ascii="Times New Roman" w:hAnsi="Times New Roman"/>
          <w:sz w:val="26"/>
          <w:szCs w:val="26"/>
          <w:shd w:fill="FFFFFF" w:val="clear"/>
        </w:rPr>
        <w:t xml:space="preserve"> анализа технико-коммерческих предложений потенциальных поставщиков в рамках нерегламентированной закупке на право заключения договора на</w:t>
      </w:r>
      <w:r>
        <w:rPr>
          <w:rFonts w:eastAsia="Calibri" w:ascii="Times New Roman" w:hAnsi="Times New Roman"/>
          <w:b/>
          <w:bCs/>
          <w:sz w:val="26"/>
          <w:szCs w:val="26"/>
          <w:shd w:fill="FFFFFF" w:val="clear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shd w:fill="FFFFFF" w:val="clear"/>
        </w:rPr>
        <w:t>«</w:t>
      </w:r>
      <w:r>
        <w:rPr>
          <w:rFonts w:eastAsia="Calibri" w:ascii="Times New Roman" w:hAnsi="Times New Roman"/>
          <w:b/>
          <w:bCs/>
          <w:kern w:val="2"/>
          <w:sz w:val="28"/>
          <w:szCs w:val="28"/>
          <w:shd w:fill="FFFFFF" w:val="clear"/>
          <w:lang w:eastAsia="ru-RU"/>
        </w:rPr>
        <w:t xml:space="preserve">ОКПД2 </w:t>
      </w:r>
      <w:r>
        <w:rPr>
          <w:rFonts w:eastAsia="Times New Roman" w:ascii="Times New Roman" w:hAnsi="Times New Roman"/>
          <w:b/>
          <w:bCs/>
          <w:sz w:val="28"/>
          <w:szCs w:val="28"/>
          <w:shd w:fill="FFFFFF" w:val="clear"/>
          <w:lang w:eastAsia="ru-RU"/>
        </w:rPr>
        <w:t xml:space="preserve">38.12.11.000. </w:t>
      </w:r>
      <w:r>
        <w:rPr>
          <w:rFonts w:eastAsia="Calibri" w:ascii="Times New Roman" w:hAnsi="Times New Roman"/>
          <w:b/>
          <w:bCs/>
          <w:sz w:val="28"/>
          <w:szCs w:val="28"/>
          <w:shd w:fill="FFFFFF" w:val="clear"/>
          <w:lang w:eastAsia="zh-CN"/>
        </w:rPr>
        <w:t xml:space="preserve">Услуги </w:t>
      </w:r>
      <w:r>
        <w:rPr>
          <w:rFonts w:eastAsia="Times New Roman" w:ascii="Times New Roman" w:hAnsi="Times New Roman"/>
          <w:b/>
          <w:bCs/>
          <w:sz w:val="28"/>
          <w:szCs w:val="28"/>
          <w:shd w:fill="FFFFFF" w:val="clear"/>
          <w:lang w:eastAsia="zh-CN"/>
        </w:rPr>
        <w:t>по сбору, транспортированию и обезвреживанию опасных медицинских отходов класса «Б» и «В»</w:t>
      </w:r>
      <w:r>
        <w:rPr>
          <w:rFonts w:eastAsia="Calibri" w:ascii="Times New Roman" w:hAnsi="Times New Roman"/>
          <w:b/>
          <w:bCs/>
          <w:sz w:val="28"/>
          <w:szCs w:val="28"/>
          <w:shd w:fill="FFFFFF" w:val="clear"/>
          <w:lang w:eastAsia="zh-CN"/>
        </w:rPr>
        <w:t xml:space="preserve"> для нужд Саяно-Шушенского филиала АО «ТК РусГидро»</w:t>
      </w:r>
    </w:p>
    <w:p>
      <w:pPr>
        <w:pStyle w:val="Normal"/>
        <w:numPr>
          <w:ilvl w:val="0"/>
          <w:numId w:val="5"/>
        </w:numPr>
        <w:spacing w:before="120" w:after="0"/>
        <w:ind w:hanging="11" w:left="142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  <w:shd w:fill="FFFFFF" w:val="clear"/>
        </w:rPr>
        <w:t>Подробные требования к продукции (в том числе, сведени</w:t>
      </w:r>
      <w:r>
        <w:rPr>
          <w:rFonts w:ascii="Times New Roman" w:hAnsi="Times New Roman"/>
          <w:sz w:val="26"/>
          <w:szCs w:val="26"/>
        </w:rPr>
        <w:t>я об объеме, месте, сроках поставляемой продукции) приведены в приложении 1 к настоящему запросу; существенные условия будущего договора (в том числе, условия оплаты и гарантийных обязательств) – см. приложение 2 к настоящему запросу.</w:t>
      </w:r>
    </w:p>
    <w:p>
      <w:pPr>
        <w:pStyle w:val="Normal"/>
        <w:numPr>
          <w:ilvl w:val="0"/>
          <w:numId w:val="5"/>
        </w:numPr>
        <w:spacing w:before="120" w:after="0"/>
        <w:ind w:hanging="11" w:left="142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Настоящий запрос не является публичной офертой и не влечет за собой возникновения каких-либо обязательств для Заказчика. Рассмотрение Заказчиком поступивших технико-коммерческих предложений не предполагает какого-либо информирования (в т.ч. публичного) лиц, подавших такие предложения, а также любых иных лиц о результатах произведенного рассмотрения. </w:t>
      </w:r>
    </w:p>
    <w:p>
      <w:pPr>
        <w:pStyle w:val="Normal"/>
        <w:numPr>
          <w:ilvl w:val="0"/>
          <w:numId w:val="5"/>
        </w:numPr>
        <w:spacing w:before="120" w:after="0"/>
        <w:ind w:hanging="11" w:left="142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Ответ с технико-коммерческим предложением должен быть оформлен на официальном бланке Поставщика и заверен подписью уполномоченного лица, а также печатью организации (при наличии), и в обязательном порядке содержать следующую информацию: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hanging="11" w:left="142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дату направления предложения;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hanging="11" w:left="142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полное наименование Поставщика, с указанием организационно-правовой формы (для юридических лиц);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hanging="11" w:left="142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юридический адрес, почтовый адрес, ИНН </w:t>
      </w:r>
      <w:r>
        <w:rPr>
          <w:rFonts w:ascii="Times New Roman" w:hAnsi="Times New Roman"/>
          <w:i/>
          <w:sz w:val="26"/>
          <w:szCs w:val="26"/>
        </w:rPr>
        <w:t xml:space="preserve">/ </w:t>
      </w:r>
      <w:r>
        <w:rPr>
          <w:rFonts w:ascii="Times New Roman" w:hAnsi="Times New Roman"/>
          <w:sz w:val="26"/>
          <w:szCs w:val="26"/>
        </w:rPr>
        <w:t>паспортные данные, адрес регистрации, ИНН (при наличии)</w:t>
      </w:r>
      <w:r>
        <w:rPr>
          <w:rFonts w:ascii="Times New Roman" w:hAnsi="Times New Roman"/>
          <w:i/>
          <w:sz w:val="26"/>
          <w:szCs w:val="26"/>
        </w:rPr>
        <w:t>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hanging="11" w:left="142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контактные данные: номер телефона, </w:t>
      </w:r>
      <w:r>
        <w:rPr>
          <w:rFonts w:ascii="Times New Roman" w:hAnsi="Times New Roman"/>
          <w:sz w:val="26"/>
          <w:szCs w:val="26"/>
          <w:lang w:val="en-US"/>
        </w:rPr>
        <w:t>e</w:t>
      </w:r>
      <w:r>
        <w:rPr>
          <w:rFonts w:ascii="Times New Roman" w:hAnsi="Times New Roman"/>
          <w:sz w:val="26"/>
          <w:szCs w:val="26"/>
        </w:rPr>
        <w:t>-</w:t>
      </w:r>
      <w:r>
        <w:rPr>
          <w:rFonts w:ascii="Times New Roman" w:hAnsi="Times New Roman"/>
          <w:sz w:val="26"/>
          <w:szCs w:val="26"/>
          <w:lang w:val="en-US"/>
        </w:rPr>
        <w:t>mail</w:t>
      </w:r>
      <w:r>
        <w:rPr>
          <w:rFonts w:ascii="Times New Roman" w:hAnsi="Times New Roman"/>
          <w:sz w:val="26"/>
          <w:szCs w:val="26"/>
        </w:rPr>
        <w:t>, ФИО контактного лица;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hanging="11" w:left="142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гарантии наличия у Поставщика гражданской правоспособности в полном объеме для заключения и исполнения договора, в том числе наличие регистрации, отсутствие банкротства, стадии ликвидации или приостановления деятельности;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hanging="11" w:left="142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информацию / документы, подтверждающие соответствие Поставщика установленным дополнительным требованиям, указанным в приложении 1 к настоящему запросу;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hanging="11" w:left="142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подробное описание предлагаемой к поставке продукции с указанием конкретных технических и функциональных характеристик, подтверждающее соответствие установленным требованиям (см. приложение 1 к настоящему запросу);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hanging="11" w:left="142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информацию о производителе предлагаемой к поставке продукции;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hanging="11" w:left="142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подтверждение возможности поставки требуемого объема продукции (см. приложение 1 к настоящему запросу);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hanging="11" w:left="142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сроки поставки продукции в соответствии с установленными требованиями (см. приложение 1 к настоящему запросу);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hanging="11" w:left="142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согласие Поставщика на существенные условия будущего договора, в том числе условия оплаты и поставки (см. приложение 2 к настоящему запросу);</w:t>
      </w:r>
    </w:p>
    <w:p>
      <w:pPr>
        <w:pStyle w:val="Normal"/>
        <w:numPr>
          <w:ilvl w:val="0"/>
          <w:numId w:val="4"/>
        </w:numPr>
        <w:spacing w:before="120" w:after="0"/>
        <w:ind w:hanging="11" w:left="142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сроки и условия гарантийных обязательств в соответствии с установленными требованиями (см. приложение 1 к настоящему запросу);</w:t>
      </w:r>
    </w:p>
    <w:p>
      <w:pPr>
        <w:pStyle w:val="Normal"/>
        <w:numPr>
          <w:ilvl w:val="0"/>
          <w:numId w:val="4"/>
        </w:numPr>
        <w:spacing w:before="120" w:after="0"/>
        <w:ind w:hanging="11" w:left="142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цену предложения в рублях (без учета НДС и с учетом НДС).</w:t>
      </w:r>
    </w:p>
    <w:p>
      <w:pPr>
        <w:pStyle w:val="ListParagraph"/>
        <w:numPr>
          <w:ilvl w:val="0"/>
          <w:numId w:val="5"/>
        </w:numPr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Срок подачи технико-коммерческих предложени</w:t>
      </w:r>
      <w:r>
        <w:rPr>
          <w:rFonts w:ascii="Times New Roman" w:hAnsi="Times New Roman"/>
          <w:sz w:val="26"/>
          <w:szCs w:val="26"/>
          <w:shd w:fill="FFFFFF" w:val="clear"/>
        </w:rPr>
        <w:t xml:space="preserve">й: до </w:t>
      </w:r>
      <w:r>
        <w:rPr>
          <w:rFonts w:ascii="Times New Roman" w:hAnsi="Times New Roman"/>
          <w:b/>
          <w:sz w:val="26"/>
          <w:szCs w:val="26"/>
          <w:shd w:fill="FFFFFF" w:val="clear"/>
        </w:rPr>
        <w:t xml:space="preserve">9:00 </w:t>
      </w:r>
      <w:r>
        <w:rPr>
          <w:rFonts w:ascii="Times New Roman" w:hAnsi="Times New Roman"/>
          <w:b/>
          <w:sz w:val="26"/>
          <w:szCs w:val="26"/>
          <w:shd w:fill="FFFFFF" w:val="clear"/>
        </w:rPr>
        <w:t>29</w:t>
      </w:r>
      <w:r>
        <w:rPr>
          <w:rFonts w:ascii="Times New Roman" w:hAnsi="Times New Roman"/>
          <w:b/>
          <w:sz w:val="26"/>
          <w:szCs w:val="26"/>
          <w:shd w:fill="FFFFFF" w:val="clear"/>
        </w:rPr>
        <w:t>.0</w:t>
      </w:r>
      <w:r>
        <w:rPr>
          <w:rFonts w:ascii="Times New Roman" w:hAnsi="Times New Roman"/>
          <w:b/>
          <w:sz w:val="26"/>
          <w:szCs w:val="26"/>
          <w:shd w:fill="FFFFFF" w:val="clear"/>
        </w:rPr>
        <w:t>9</w:t>
      </w:r>
      <w:r>
        <w:rPr>
          <w:rFonts w:ascii="Times New Roman" w:hAnsi="Times New Roman"/>
          <w:b/>
          <w:sz w:val="26"/>
          <w:szCs w:val="26"/>
          <w:shd w:fill="FFFFFF" w:val="clear"/>
        </w:rPr>
        <w:t>.202</w:t>
      </w:r>
      <w:r>
        <w:rPr>
          <w:rFonts w:ascii="Times New Roman" w:hAnsi="Times New Roman"/>
          <w:b/>
          <w:sz w:val="26"/>
          <w:szCs w:val="26"/>
          <w:shd w:fill="FFFFFF" w:val="clear"/>
        </w:rPr>
        <w:t>7</w:t>
      </w:r>
      <w:r>
        <w:rPr>
          <w:rFonts w:ascii="Times New Roman" w:hAnsi="Times New Roman"/>
          <w:b/>
          <w:sz w:val="26"/>
          <w:szCs w:val="26"/>
          <w:shd w:fill="FFFFFF" w:val="clear"/>
        </w:rPr>
        <w:t> г. (мск)</w:t>
      </w:r>
      <w:r>
        <w:rPr>
          <w:rFonts w:ascii="Times New Roman" w:hAnsi="Times New Roman"/>
          <w:sz w:val="26"/>
          <w:szCs w:val="26"/>
          <w:shd w:fill="FFFFFF" w:val="clear"/>
        </w:rPr>
        <w:t xml:space="preserve"> </w:t>
      </w:r>
      <w:r>
        <w:rPr>
          <w:rFonts w:ascii="Times New Roman" w:hAnsi="Times New Roman"/>
          <w:sz w:val="26"/>
          <w:szCs w:val="26"/>
        </w:rPr>
        <w:t>Предложения должны быть направлены в виде сканированной электронной копии на электронную торговую площадку РАД.</w:t>
      </w:r>
    </w:p>
    <w:p>
      <w:pPr>
        <w:pStyle w:val="ListParagraph"/>
        <w:numPr>
          <w:ilvl w:val="0"/>
          <w:numId w:val="5"/>
        </w:numPr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Предложения должны быть направлены в виде сканированной электронной копии в адрес ответственного лица: Лихошапко Валерий Васильевич, конт.тел.: +7 39042 3-21-78, LikhoshapkoVV@rushydro.ru</w:t>
      </w:r>
    </w:p>
    <w:p>
      <w:pPr>
        <w:pStyle w:val="Normal"/>
        <w:spacing w:before="120" w:after="0"/>
        <w:ind w:hanging="0" w:left="142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p>
      <w:pPr>
        <w:pStyle w:val="Normal"/>
        <w:keepNext w:val="true"/>
        <w:ind w:hanging="11" w:left="142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Приложения: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851" w:leader="none"/>
        </w:tabs>
        <w:spacing w:before="120" w:after="0"/>
        <w:ind w:hanging="11" w:left="142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Технические требования к продукции (в том числе, сведения об объеме, месте, сроках поставляемой продукции);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851" w:leader="none"/>
        </w:tabs>
        <w:spacing w:before="120" w:after="0"/>
        <w:ind w:hanging="11" w:left="142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Проект типового договора / Существенные условия договора (в том числе, условия оплаты и гарантийных обязательств).</w:t>
      </w:r>
    </w:p>
    <w:p>
      <w:pPr>
        <w:pStyle w:val="Normal"/>
        <w:ind w:hanging="11" w:left="142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sectPr>
      <w:headerReference w:type="even" r:id="rId3"/>
      <w:headerReference w:type="default" r:id="rId4"/>
      <w:type w:val="nextPage"/>
      <w:pgSz w:w="11906" w:h="16838"/>
      <w:pgMar w:left="1134" w:right="851" w:gutter="0" w:header="964" w:top="1134" w:footer="0" w:bottom="567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Cambria">
    <w:charset w:val="01"/>
    <w:family w:val="roman"/>
    <w:pitch w:val="variable"/>
  </w:font>
  <w:font w:name="Geneva CY"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Lucida Grande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Arial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0" distT="0" distB="0" distL="0" distR="0" simplePos="0" locked="0" layoutInCell="0" allowOverlap="1" relativeHeight="2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2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/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/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/>
    </w:lvl>
    <w:lvl w:ilvl="3">
      <w:start w:val="1"/>
      <w:numFmt w:val="decimal"/>
      <w:lvlText w:val="%1.%2.%3.%4"/>
      <w:lvlJc w:val="left"/>
      <w:pPr>
        <w:tabs>
          <w:tab w:val="num" w:pos="1701"/>
        </w:tabs>
        <w:ind w:left="1701" w:hanging="1134"/>
      </w:pPr>
      <w:rPr/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/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4">
    <w:lvl w:ilvl="0">
      <w:start w:val="1"/>
      <w:numFmt w:val="bullet"/>
      <w:lvlText w:val="–"/>
      <w:lvlJc w:val="left"/>
      <w:pPr>
        <w:tabs>
          <w:tab w:val="num" w:pos="0"/>
        </w:tabs>
        <w:ind w:left="128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eastAsia="Geneva"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mbria" w:hAnsi="Cambria" w:eastAsia="MS Mincho" w:cs="Times New Roman"/>
        <w:lang w:val="en-US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0" w:semiHidden="1" w:unhideWhenUsed="1" w:qFormat="1"/>
    <w:lsdException w:name="heading 4" w:uiPriority="0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semiHidden="1" w:unhideWhenUsed="1"/>
    <w:lsdException w:name="annotation reference" w:semiHidden="1" w:unhideWhenUsed="1"/>
    <w:lsdException w:name="line number" w:semiHidden="1" w:unhideWhenUsed="1"/>
    <w:lsdException w:name="page number" w:uiPriority="0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rsid w:val="00d002ca"/>
    <w:pPr>
      <w:widowControl/>
      <w:suppressAutoHyphens w:val="true"/>
      <w:bidi w:val="0"/>
      <w:spacing w:before="0" w:after="0"/>
      <w:jc w:val="left"/>
    </w:pPr>
    <w:rPr>
      <w:rFonts w:ascii="Geneva CY" w:hAnsi="Geneva CY" w:eastAsia="Geneva" w:cs="Times New Roman"/>
      <w:color w:val="auto"/>
      <w:kern w:val="0"/>
      <w:sz w:val="24"/>
      <w:szCs w:val="20"/>
      <w:lang w:val="ru-RU" w:eastAsia="en-US" w:bidi="ar-SA"/>
    </w:rPr>
  </w:style>
  <w:style w:type="paragraph" w:styleId="Heading1">
    <w:name w:val="Heading 1"/>
    <w:basedOn w:val="Normal"/>
    <w:next w:val="Normal"/>
    <w:link w:val="1"/>
    <w:uiPriority w:val="9"/>
    <w:qFormat/>
    <w:rsid w:val="00307035"/>
    <w:pPr>
      <w:keepNext w:val="true"/>
      <w:keepLines/>
      <w:spacing w:before="240" w:after="0"/>
      <w:outlineLvl w:val="0"/>
    </w:pPr>
    <w:rPr>
      <w:rFonts w:ascii="Calibri" w:hAnsi="Calibri" w:eastAsia="" w:cs="" w:asciiTheme="majorHAnsi" w:cstheme="majorBidi" w:eastAsiaTheme="majorEastAsia" w:hAnsiTheme="majorHAns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3"/>
    <w:qFormat/>
    <w:rsid w:val="00307035"/>
    <w:pPr>
      <w:keepNext w:val="true"/>
      <w:numPr>
        <w:ilvl w:val="2"/>
        <w:numId w:val="2"/>
      </w:numPr>
      <w:spacing w:before="120" w:after="120"/>
      <w:outlineLvl w:val="2"/>
    </w:pPr>
    <w:rPr>
      <w:rFonts w:ascii="Times New Roman" w:hAnsi="Times New Roman" w:eastAsia="Times New Roman"/>
      <w:b/>
      <w:sz w:val="28"/>
      <w:lang w:eastAsia="ru-RU"/>
    </w:rPr>
  </w:style>
  <w:style w:type="paragraph" w:styleId="Heading4">
    <w:name w:val="Heading 4"/>
    <w:basedOn w:val="Normal"/>
    <w:next w:val="Normal"/>
    <w:link w:val="4"/>
    <w:qFormat/>
    <w:rsid w:val="00307035"/>
    <w:pPr>
      <w:keepNext w:val="true"/>
      <w:numPr>
        <w:ilvl w:val="3"/>
        <w:numId w:val="2"/>
      </w:numPr>
      <w:tabs>
        <w:tab w:val="clear" w:pos="708"/>
        <w:tab w:val="left" w:pos="1134" w:leader="none"/>
      </w:tabs>
      <w:spacing w:before="240" w:after="120"/>
      <w:ind w:hanging="0" w:left="1134"/>
      <w:jc w:val="both"/>
      <w:outlineLvl w:val="3"/>
    </w:pPr>
    <w:rPr>
      <w:rFonts w:ascii="Times New Roman" w:hAnsi="Times New Roman" w:eastAsia="Times New Roman"/>
      <w:b/>
      <w:i/>
      <w:sz w:val="28"/>
      <w:lang w:eastAsia="ru-RU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6" w:customStyle="1">
    <w:name w:val="Верхний колонтитул Знак"/>
    <w:qFormat/>
    <w:rsid w:val="00d002ca"/>
    <w:rPr>
      <w:rFonts w:ascii="Geneva CY" w:hAnsi="Geneva CY" w:eastAsia="Geneva" w:cs="Times New Roman"/>
      <w:szCs w:val="20"/>
      <w:lang w:val="ru-RU" w:eastAsia="en-US"/>
    </w:rPr>
  </w:style>
  <w:style w:type="character" w:styleId="Pagenumber">
    <w:name w:val="page number"/>
    <w:basedOn w:val="DefaultParagraphFont"/>
    <w:qFormat/>
    <w:rsid w:val="00d002ca"/>
    <w:rPr/>
  </w:style>
  <w:style w:type="character" w:styleId="Style7" w:customStyle="1">
    <w:name w:val="Текст выноски Знак"/>
    <w:link w:val="BalloonText"/>
    <w:uiPriority w:val="99"/>
    <w:semiHidden/>
    <w:qFormat/>
    <w:rsid w:val="00d002ca"/>
    <w:rPr>
      <w:rFonts w:ascii="Lucida Grande" w:hAnsi="Lucida Grande" w:eastAsia="Geneva" w:cs="Times New Roman"/>
      <w:sz w:val="18"/>
      <w:szCs w:val="18"/>
      <w:lang w:val="ru-RU" w:eastAsia="en-US"/>
    </w:rPr>
  </w:style>
  <w:style w:type="character" w:styleId="Hyperlink">
    <w:name w:val="Hyperlink"/>
    <w:basedOn w:val="DefaultParagraphFont"/>
    <w:uiPriority w:val="99"/>
    <w:unhideWhenUsed/>
    <w:rsid w:val="00181334"/>
    <w:rPr>
      <w:color w:val="0000FF" w:themeColor="hyperlink"/>
      <w:u w:val="single"/>
    </w:rPr>
  </w:style>
  <w:style w:type="character" w:styleId="3" w:customStyle="1">
    <w:name w:val="Заголовок 3 Знак"/>
    <w:basedOn w:val="DefaultParagraphFont"/>
    <w:qFormat/>
    <w:rsid w:val="00307035"/>
    <w:rPr>
      <w:rFonts w:ascii="Times New Roman" w:hAnsi="Times New Roman" w:eastAsia="Times New Roman"/>
      <w:b/>
      <w:sz w:val="28"/>
      <w:lang w:val="ru-RU"/>
    </w:rPr>
  </w:style>
  <w:style w:type="character" w:styleId="4" w:customStyle="1">
    <w:name w:val="Заголовок 4 Знак"/>
    <w:basedOn w:val="DefaultParagraphFont"/>
    <w:qFormat/>
    <w:rsid w:val="00307035"/>
    <w:rPr>
      <w:rFonts w:ascii="Times New Roman" w:hAnsi="Times New Roman" w:eastAsia="Times New Roman"/>
      <w:b/>
      <w:i/>
      <w:sz w:val="28"/>
      <w:lang w:val="ru-RU"/>
    </w:rPr>
  </w:style>
  <w:style w:type="character" w:styleId="Style8" w:customStyle="1">
    <w:name w:val="Символ сноски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FootnoteCharacters" w:customStyle="1">
    <w:name w:val="Footnote Characters"/>
    <w:qFormat/>
    <w:rsid w:val="00307035"/>
    <w:rPr>
      <w:vertAlign w:val="superscript"/>
    </w:rPr>
  </w:style>
  <w:style w:type="character" w:styleId="Style9" w:customStyle="1">
    <w:name w:val="Текст сноски Знак"/>
    <w:basedOn w:val="DefaultParagraphFont"/>
    <w:uiPriority w:val="99"/>
    <w:qFormat/>
    <w:rsid w:val="00307035"/>
    <w:rPr>
      <w:rFonts w:ascii="Times New Roman" w:hAnsi="Times New Roman" w:eastAsia="Times New Roman"/>
      <w:lang w:val="ru-RU"/>
    </w:rPr>
  </w:style>
  <w:style w:type="character" w:styleId="Style10" w:customStyle="1">
    <w:name w:val="комментарий"/>
    <w:qFormat/>
    <w:rsid w:val="00307035"/>
    <w:rPr>
      <w:b/>
      <w:i/>
      <w:shd w:fill="FFFF99" w:val="clear"/>
    </w:rPr>
  </w:style>
  <w:style w:type="character" w:styleId="1" w:customStyle="1">
    <w:name w:val="Заголовок 1 Знак"/>
    <w:basedOn w:val="DefaultParagraphFont"/>
    <w:uiPriority w:val="9"/>
    <w:qFormat/>
    <w:rsid w:val="00307035"/>
    <w:rPr>
      <w:rFonts w:ascii="Calibri" w:hAnsi="Calibri" w:eastAsia="" w:cs="" w:asciiTheme="majorHAnsi" w:cstheme="majorBidi" w:eastAsiaTheme="majorEastAsia" w:hAnsiTheme="majorHAnsi"/>
      <w:color w:val="365F91" w:themeColor="accent1" w:themeShade="bf"/>
      <w:sz w:val="32"/>
      <w:szCs w:val="32"/>
      <w:lang w:val="ru-RU" w:eastAsia="en-US"/>
    </w:rPr>
  </w:style>
  <w:style w:type="character" w:styleId="Style11" w:customStyle="1">
    <w:name w:val="Абзац списка Знак"/>
    <w:basedOn w:val="DefaultParagraphFont"/>
    <w:link w:val="ListParagraph"/>
    <w:uiPriority w:val="34"/>
    <w:qFormat/>
    <w:rsid w:val="002d1873"/>
    <w:rPr>
      <w:rFonts w:ascii="Calibri" w:hAnsi="Calibri" w:eastAsia="Cambria" w:eastAsiaTheme="minorHAnsi"/>
      <w:sz w:val="22"/>
      <w:szCs w:val="22"/>
      <w:lang w:val="ru-RU" w:eastAsia="en-US"/>
    </w:rPr>
  </w:style>
  <w:style w:type="paragraph" w:styleId="Style12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13">
    <w:name w:val="Указатель"/>
    <w:basedOn w:val="Normal"/>
    <w:qFormat/>
    <w:pPr>
      <w:suppressLineNumbers/>
    </w:pPr>
    <w:rPr>
      <w:rFonts w:cs="Arial Unicode MS"/>
    </w:rPr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  <w:szCs w:val="24"/>
    </w:rPr>
  </w:style>
  <w:style w:type="paragraph" w:styleId="Indexheading">
    <w:name w:val="index heading"/>
    <w:basedOn w:val="Normal"/>
    <w:qFormat/>
    <w:pPr>
      <w:suppressLineNumbers/>
    </w:pPr>
    <w:rPr/>
  </w:style>
  <w:style w:type="paragraph" w:styleId="Caption11" w:customStyle="1">
    <w:name w:val="caption11"/>
    <w:basedOn w:val="Normal"/>
    <w:qFormat/>
    <w:pPr>
      <w:suppressLineNumbers/>
      <w:spacing w:before="120" w:after="120"/>
    </w:pPr>
    <w:rPr>
      <w:i/>
      <w:iCs/>
      <w:szCs w:val="24"/>
    </w:rPr>
  </w:style>
  <w:style w:type="paragraph" w:styleId="Style14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6"/>
    <w:rsid w:val="00d002ca"/>
    <w:pPr>
      <w:tabs>
        <w:tab w:val="clear" w:pos="708"/>
        <w:tab w:val="center" w:pos="4320" w:leader="none"/>
        <w:tab w:val="right" w:pos="8640" w:leader="none"/>
      </w:tabs>
    </w:pPr>
    <w:rPr/>
  </w:style>
  <w:style w:type="paragraph" w:styleId="BalloonText">
    <w:name w:val="Balloon Text"/>
    <w:basedOn w:val="Normal"/>
    <w:link w:val="Style7"/>
    <w:uiPriority w:val="99"/>
    <w:semiHidden/>
    <w:unhideWhenUsed/>
    <w:qFormat/>
    <w:rsid w:val="00d002ca"/>
    <w:pPr/>
    <w:rPr>
      <w:rFonts w:ascii="Lucida Grande" w:hAnsi="Lucida Grande"/>
      <w:sz w:val="18"/>
      <w:szCs w:val="18"/>
    </w:rPr>
  </w:style>
  <w:style w:type="paragraph" w:styleId="ListParagraph">
    <w:name w:val="List Paragraph"/>
    <w:basedOn w:val="Normal"/>
    <w:link w:val="Style11"/>
    <w:uiPriority w:val="34"/>
    <w:qFormat/>
    <w:rsid w:val="00022c79"/>
    <w:pPr>
      <w:ind w:hanging="0" w:left="720"/>
    </w:pPr>
    <w:rPr>
      <w:rFonts w:ascii="Calibri" w:hAnsi="Calibri" w:eastAsia="Cambria" w:eastAsiaTheme="minorHAnsi"/>
      <w:sz w:val="22"/>
      <w:szCs w:val="22"/>
    </w:rPr>
  </w:style>
  <w:style w:type="paragraph" w:styleId="FootnoteText">
    <w:name w:val="Footnote Text"/>
    <w:basedOn w:val="Normal"/>
    <w:link w:val="Style9"/>
    <w:uiPriority w:val="99"/>
    <w:rsid w:val="00307035"/>
    <w:pPr>
      <w:ind w:firstLine="567"/>
      <w:jc w:val="both"/>
    </w:pPr>
    <w:rPr>
      <w:rFonts w:ascii="Times New Roman" w:hAnsi="Times New Roman" w:eastAsia="Times New Roman"/>
      <w:sz w:val="20"/>
      <w:lang w:eastAsia="ru-RU"/>
    </w:rPr>
  </w:style>
  <w:style w:type="paragraph" w:styleId="11" w:customStyle="1">
    <w:name w:val="Стиль Заголовок 1 + по ширине"/>
    <w:basedOn w:val="Heading1"/>
    <w:qFormat/>
    <w:rsid w:val="00307035"/>
    <w:pPr>
      <w:numPr>
        <w:ilvl w:val="0"/>
        <w:numId w:val="2"/>
      </w:numPr>
      <w:spacing w:before="480" w:after="240"/>
      <w:jc w:val="both"/>
    </w:pPr>
    <w:rPr>
      <w:rFonts w:ascii="Arial" w:hAnsi="Arial" w:eastAsia="Times New Roman" w:cs="Times New Roman"/>
      <w:b/>
      <w:bCs/>
      <w:color w:val="auto"/>
      <w:kern w:val="2"/>
      <w:sz w:val="40"/>
      <w:szCs w:val="20"/>
      <w:lang w:eastAsia="ru-RU"/>
    </w:rPr>
  </w:style>
  <w:style w:type="paragraph" w:styleId="Style15" w:customStyle="1">
    <w:name w:val="Содержимое врезки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7">
    <w:name w:val="Table Grid"/>
    <w:basedOn w:val="a1"/>
    <w:uiPriority w:val="59"/>
    <w:rsid w:val="002d1873"/>
    <w:rPr>
      <w:lang w:val="ru-RU" w:eastAsia="en-US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Application>AlterOffice/2026.2.0.0$Linux_X86_64 LibreOffice_project/bc4ef1adf80b36c7a6365f8ed6cbf29021361edd</Application>
  <AppVersion>15.0000</AppVersion>
  <Pages>2</Pages>
  <Words>464</Words>
  <Characters>3216</Characters>
  <CharactersWithSpaces>3721</CharactersWithSpaces>
  <Paragraphs>27</Paragraphs>
  <Company>РусГидро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2025-01-21T07:03:00Z</dcterms:created>
  <dc:creator>Andrey Zhurin</dc:creator>
  <dc:description/>
  <dc:language>ru-RU</dc:language>
  <cp:lastModifiedBy>likhoshapkovv@corp.gidroogk.com</cp:lastModifiedBy>
  <cp:lastPrinted>2023-04-22T01:50:00Z</cp:lastPrinted>
  <dcterms:modified xsi:type="dcterms:W3CDTF">2026-09-16T14:48:18Z</dcterms:modified>
  <cp:revision>21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