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highlight w:val="white"/>
        </w:rPr>
      </w:pPr>
      <w:r>
        <w:rPr>
          <w:bCs/>
          <w:shd w:fill="FFFFFF" w:val="clear"/>
        </w:rPr>
        <w:t>«УТВЕРЖДАЮ»</w:t>
      </w:r>
    </w:p>
    <w:p>
      <w:pPr>
        <w:pStyle w:val="Normal"/>
        <w:keepNext w:val="true"/>
        <w:keepLines/>
        <w:jc w:val="right"/>
        <w:rPr>
          <w:highlight w:val="white"/>
        </w:rPr>
      </w:pPr>
      <w:r>
        <w:rPr>
          <w:bCs/>
          <w:shd w:fill="FFFFFF" w:val="clear"/>
        </w:rPr>
        <w:t xml:space="preserve"> </w:t>
      </w:r>
      <w:r>
        <w:rPr>
          <w:bCs/>
          <w:shd w:fill="FFFFFF" w:val="clear"/>
        </w:rPr>
        <w:t xml:space="preserve">Первый заместитель директора -                                                                                                              </w:t>
      </w:r>
    </w:p>
    <w:p>
      <w:pPr>
        <w:pStyle w:val="Normal"/>
        <w:keepNext w:val="true"/>
        <w:keepLines/>
        <w:jc w:val="right"/>
        <w:rPr>
          <w:highlight w:val="white"/>
        </w:rPr>
      </w:pPr>
      <w:r>
        <w:rPr>
          <w:bCs/>
          <w:shd w:fill="FFFFFF" w:val="clear"/>
        </w:rPr>
        <w:t>- Главный инженер</w:t>
      </w:r>
    </w:p>
    <w:p>
      <w:pPr>
        <w:pStyle w:val="Normal"/>
        <w:keepNext w:val="true"/>
        <w:keepLines/>
        <w:jc w:val="right"/>
        <w:rPr>
          <w:highlight w:val="white"/>
        </w:rPr>
      </w:pPr>
      <w:r>
        <w:rPr>
          <w:bCs/>
          <w:shd w:fill="FFFFFF" w:val="clear"/>
        </w:rPr>
        <w:t>Филиала ПАО «РусГидро»</w:t>
      </w:r>
    </w:p>
    <w:p>
      <w:pPr>
        <w:pStyle w:val="Normal"/>
        <w:keepNext w:val="true"/>
        <w:keepLines/>
        <w:jc w:val="right"/>
        <w:rPr>
          <w:highlight w:val="white"/>
        </w:rPr>
      </w:pPr>
      <w:r>
        <w:rPr>
          <w:bCs/>
          <w:shd w:fill="FFFFFF" w:val="clear"/>
        </w:rPr>
        <w:t xml:space="preserve">   — </w:t>
      </w:r>
      <w:r>
        <w:rPr>
          <w:bCs/>
          <w:shd w:fill="FFFFFF" w:val="clear"/>
        </w:rPr>
        <w:t>«Жигулевская ГЭС»</w:t>
      </w:r>
    </w:p>
    <w:p>
      <w:pPr>
        <w:pStyle w:val="Normal"/>
        <w:keepNext w:val="true"/>
        <w:keepLines/>
        <w:jc w:val="right"/>
        <w:rPr>
          <w:highlight w:val="white"/>
        </w:rPr>
      </w:pPr>
      <w:r>
        <w:rPr>
          <w:bCs/>
          <w:shd w:fill="FFFFFF" w:val="clear"/>
        </w:rPr>
        <w:t xml:space="preserve">                                                                                  </w:t>
      </w:r>
      <w:r>
        <w:rPr>
          <w:bCs/>
          <w:shd w:fill="FFFFFF" w:val="clear"/>
        </w:rPr>
        <w:t xml:space="preserve">___________ А.И. Богданов </w:t>
      </w:r>
    </w:p>
    <w:p>
      <w:pPr>
        <w:pStyle w:val="Normal"/>
        <w:keepNext w:val="true"/>
        <w:keepLines/>
        <w:jc w:val="right"/>
        <w:rPr>
          <w:highlight w:val="white"/>
        </w:rPr>
      </w:pPr>
      <w:r>
        <w:rPr>
          <w:bCs/>
          <w:shd w:fill="FFFFFF" w:val="clear"/>
        </w:rPr>
        <w:t xml:space="preserve">           </w:t>
      </w:r>
      <w:r>
        <w:rPr>
          <w:bCs/>
          <w:shd w:fill="FFFFFF" w:val="clear"/>
        </w:rPr>
        <w:t>«      »  _________  2026 г</w:t>
      </w:r>
      <w:r>
        <w:rPr>
          <w:b/>
          <w:bCs/>
          <w:shd w:fill="FFFFFF" w:val="clear"/>
        </w:rPr>
        <w:t>.</w:t>
      </w:r>
    </w:p>
    <w:p>
      <w:pPr>
        <w:pStyle w:val="Normal"/>
        <w:keepNext w:val="true"/>
        <w:keepLines/>
        <w:jc w:val="right"/>
        <w:rPr>
          <w:sz w:val="26"/>
          <w:szCs w:val="26"/>
          <w:shd w:fill="FFFFFF" w:val="clear"/>
        </w:rPr>
      </w:pPr>
      <w:r>
        <w:rPr>
          <w:sz w:val="26"/>
          <w:szCs w:val="26"/>
          <w:shd w:fill="FFFFFF" w:val="clear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выполнение работ</w:t>
      </w:r>
    </w:p>
    <w:p>
      <w:pPr>
        <w:pStyle w:val="Normal"/>
        <w:keepNext w:val="true"/>
        <w:keepLines/>
        <w:jc w:val="center"/>
        <w:rPr/>
      </w:pPr>
      <w:r>
        <w:rPr/>
      </w:r>
    </w:p>
    <w:p>
      <w:pPr>
        <w:pStyle w:val="Normal"/>
        <w:suppressAutoHyphens w:val="false"/>
        <w:ind w:hanging="0" w:left="-284"/>
        <w:jc w:val="center"/>
        <w:rPr>
          <w:b/>
        </w:rPr>
      </w:pPr>
      <w:r>
        <w:rPr>
          <w:b/>
        </w:rPr>
        <w:t xml:space="preserve"> </w:t>
      </w:r>
      <w:r>
        <w:rPr>
          <w:b/>
        </w:rPr>
        <w:t>«</w:t>
      </w:r>
      <w:r>
        <w:rPr>
          <w:sz w:val="26"/>
          <w:szCs w:val="26"/>
        </w:rPr>
        <w:t>ОКПД2 71.20.19.190. Подводно-техническое обследование ГТС и прилегающих участков русла в нижнем бьефе</w:t>
      </w:r>
      <w:r>
        <w:rPr>
          <w:rFonts w:cs="Calibri"/>
          <w:sz w:val="26"/>
          <w:szCs w:val="26"/>
        </w:rPr>
        <w:t xml:space="preserve"> (отводящие каналы здания ГЭС и ВСП, акватории земляной плотины)</w:t>
      </w:r>
      <w:r>
        <w:rPr>
          <w:b/>
        </w:rPr>
        <w:t>»</w:t>
      </w:r>
    </w:p>
    <w:p>
      <w:pPr>
        <w:pStyle w:val="Normal"/>
        <w:suppressAutoHyphens w:val="false"/>
        <w:ind w:hanging="0" w:left="-284"/>
        <w:jc w:val="center"/>
        <w:rPr>
          <w:b/>
        </w:rPr>
      </w:pPr>
      <w:r>
        <w:rPr>
          <w:b/>
        </w:rPr>
      </w:r>
    </w:p>
    <w:p>
      <w:pPr>
        <w:pStyle w:val="Normal"/>
        <w:suppressAutoHyphens w:val="false"/>
        <w:ind w:hanging="0" w:left="-284"/>
        <w:jc w:val="center"/>
        <w:rPr>
          <w:b/>
        </w:rPr>
      </w:pPr>
      <w:r>
        <w:rPr>
          <w:b/>
        </w:rPr>
        <w:t xml:space="preserve">Лот №: </w:t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20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Toc54647807">
            <w:r>
              <w:rPr>
                <w:webHidden/>
                <w:rStyle w:val="Style14"/>
                <w:vanish w:val="false"/>
              </w:rPr>
              <w:t>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rStyle w:val="Style14"/>
              </w:rPr>
              <w:t>Общие сведения</w:t>
              <w:tab/>
            </w:r>
          </w:hyperlink>
          <w:r>
            <w:rPr>
              <w:rFonts w:eastAsia="" w:cs="" w:ascii="Calibri" w:hAnsi="Calibri" w:asciiTheme="minorHAnsi" w:cstheme="minorBidi" w:eastAsiaTheme="minorEastAsia" w:hAnsiTheme="minorHAnsi"/>
              <w:b w:val="false"/>
              <w:bCs w:val="false"/>
            </w:rPr>
            <w:t>3</w:t>
          </w:r>
        </w:p>
        <w:p>
          <w:pPr>
            <w:pStyle w:val="TOC4"/>
            <w:tabs>
              <w:tab w:val="clear" w:pos="720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7808">
            <w:r>
              <w:rPr>
                <w:webHidden/>
                <w:rStyle w:val="Style14"/>
                <w:iCs/>
                <w:vanish w:val="false"/>
              </w:rPr>
              <w:t>1.1.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Обозначения и сокращения</w:t>
              <w:tab/>
            </w:r>
          </w:hyperlink>
          <w:r>
            <w:rPr/>
            <w:t>3</w:t>
          </w:r>
        </w:p>
        <w:p>
          <w:pPr>
            <w:pStyle w:val="TOC4"/>
            <w:tabs>
              <w:tab w:val="clear" w:pos="720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7809">
            <w:r>
              <w:rPr>
                <w:webHidden/>
                <w:rStyle w:val="Style14"/>
                <w:iCs/>
                <w:vanish w:val="false"/>
              </w:rPr>
              <w:t>1.2.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Наименование закупаемой продукции</w:t>
              <w:tab/>
            </w:r>
          </w:hyperlink>
          <w:r>
            <w:rPr/>
            <w:t>4</w:t>
          </w:r>
        </w:p>
        <w:p>
          <w:pPr>
            <w:pStyle w:val="TOC4"/>
            <w:tabs>
              <w:tab w:val="clear" w:pos="720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7810">
            <w:r>
              <w:rPr>
                <w:webHidden/>
                <w:rStyle w:val="Style14"/>
                <w:iCs/>
                <w:vanish w:val="false"/>
              </w:rPr>
              <w:t>1.3.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Наименование и место расположения функционального заказчика</w:t>
              <w:tab/>
            </w:r>
          </w:hyperlink>
          <w:r>
            <w:rPr>
              <w:rFonts w:eastAsia="" w:cs="" w:ascii="Calibri" w:hAnsi="Calibri" w:asciiTheme="minorHAnsi" w:cstheme="minorBidi" w:eastAsiaTheme="minorEastAsia" w:hAnsiTheme="minorHAnsi"/>
              <w:sz w:val="24"/>
              <w:szCs w:val="24"/>
            </w:rPr>
            <w:t>4</w:t>
          </w:r>
        </w:p>
        <w:p>
          <w:pPr>
            <w:pStyle w:val="TOC4"/>
            <w:tabs>
              <w:tab w:val="clear" w:pos="720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7811">
            <w:r>
              <w:rPr>
                <w:webHidden/>
                <w:rStyle w:val="Style14"/>
                <w:iCs/>
                <w:vanish w:val="false"/>
              </w:rPr>
              <w:t>1.4.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 xml:space="preserve"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 </w:t>
              <w:tab/>
            </w:r>
          </w:hyperlink>
          <w:r>
            <w:rPr/>
            <w:t>4</w:t>
          </w:r>
        </w:p>
        <w:p>
          <w:pPr>
            <w:pStyle w:val="TOC4"/>
            <w:tabs>
              <w:tab w:val="clear" w:pos="720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7812">
            <w:r>
              <w:rPr>
                <w:webHidden/>
                <w:rStyle w:val="Style14"/>
                <w:iCs/>
                <w:vanish w:val="false"/>
              </w:rPr>
              <w:t>1.5.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 xml:space="preserve">Иные требования и сведения общего характера </w:t>
              <w:tab/>
            </w:r>
          </w:hyperlink>
          <w:r>
            <w:rPr/>
            <w:t>4</w:t>
          </w:r>
        </w:p>
        <w:p>
          <w:pPr>
            <w:pStyle w:val="TOC1"/>
            <w:tabs>
              <w:tab w:val="clear" w:pos="720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7813">
            <w:r>
              <w:rPr>
                <w:webHidden/>
                <w:rStyle w:val="Style14"/>
                <w:vanish w:val="false"/>
              </w:rPr>
              <w:t>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_Toc54647813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20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7814">
            <w:r>
              <w:rPr>
                <w:webHidden/>
                <w:rStyle w:val="Style14"/>
                <w:iCs/>
                <w:vanish w:val="false"/>
              </w:rPr>
              <w:t>2.1.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_Toc54647814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этапам и срокам выполнения работ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20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7815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_Toc54647815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1. Требования по срокам выполнения работ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20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7816">
            <w:r>
              <w:rPr>
                <w:webHidden/>
                <w:rStyle w:val="Style14"/>
                <w:iCs/>
                <w:vanish w:val="false"/>
              </w:rPr>
              <w:t>2.2.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Требования к качеству продукции</w:t>
              <w:tab/>
            </w:r>
          </w:hyperlink>
          <w:r>
            <w:rPr>
              <w:rFonts w:eastAsia="" w:cs="" w:ascii="Calibri" w:hAnsi="Calibri" w:asciiTheme="minorHAnsi" w:cstheme="minorBidi" w:eastAsiaTheme="minorEastAsia" w:hAnsiTheme="minorHAnsi"/>
              <w:sz w:val="24"/>
              <w:szCs w:val="24"/>
            </w:rPr>
            <w:t>7</w:t>
          </w:r>
        </w:p>
        <w:p>
          <w:pPr>
            <w:pStyle w:val="TOC1"/>
            <w:tabs>
              <w:tab w:val="clear" w:pos="720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7817">
            <w:r>
              <w:rPr>
                <w:webHidden/>
                <w:rStyle w:val="Style14"/>
                <w:vanish w:val="false"/>
              </w:rPr>
              <w:t>Таблица 2. Требования к качеству продукции</w:t>
              <w:tab/>
            </w:r>
          </w:hyperlink>
          <w:r>
            <w:rPr/>
            <w:t>7</w:t>
          </w:r>
        </w:p>
        <w:p>
          <w:pPr>
            <w:pStyle w:val="TOC1"/>
            <w:tabs>
              <w:tab w:val="clear" w:pos="720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7818">
            <w:r>
              <w:rPr>
                <w:webHidden/>
                <w:rStyle w:val="Style14"/>
                <w:vanish w:val="false"/>
              </w:rPr>
              <w:t>3.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rStyle w:val="Style14"/>
              </w:rPr>
              <w:t>Требования к документации по ценообразованию на этапе закупки</w:t>
              <w:tab/>
            </w:r>
          </w:hyperlink>
          <w:r>
            <w:rPr>
              <w:rFonts w:eastAsia="" w:cs="" w:ascii="Calibri" w:hAnsi="Calibri" w:asciiTheme="minorHAnsi" w:cstheme="minorBidi" w:eastAsiaTheme="minorEastAsia" w:hAnsiTheme="minorHAnsi"/>
              <w:b w:val="false"/>
              <w:bCs w:val="false"/>
            </w:rPr>
            <w:t>18</w:t>
          </w:r>
        </w:p>
        <w:p>
          <w:pPr>
            <w:pStyle w:val="TOC1"/>
            <w:tabs>
              <w:tab w:val="clear" w:pos="720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7819">
            <w:r>
              <w:rPr>
                <w:webHidden/>
                <w:rStyle w:val="Style14"/>
                <w:vanish w:val="false"/>
              </w:rPr>
              <w:t>4.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rStyle w:val="Style14"/>
              </w:rPr>
              <w:t>Требования к документации по ценообразованию на этапе заключения (исполнения) договора</w:t>
              <w:tab/>
              <w:t>1</w:t>
            </w:r>
          </w:hyperlink>
          <w:r>
            <w:rPr/>
            <w:t>8</w:t>
          </w:r>
        </w:p>
        <w:p>
          <w:pPr>
            <w:pStyle w:val="TOC1"/>
            <w:tabs>
              <w:tab w:val="clear" w:pos="720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7820">
            <w:r>
              <w:rPr>
                <w:webHidden/>
                <w:rStyle w:val="Style14"/>
                <w:vanish w:val="false"/>
              </w:rPr>
              <w:t>5.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rStyle w:val="Style14"/>
                <w:iCs/>
              </w:rPr>
              <w:t>Приложения</w:t>
            </w:r>
            <w:r>
              <w:rPr>
                <w:rStyle w:val="Style14"/>
              </w:rPr>
              <w:tab/>
            </w:r>
          </w:hyperlink>
          <w:r>
            <w:rPr>
              <w:rFonts w:eastAsia="" w:cs="" w:ascii="Calibri" w:hAnsi="Calibri" w:asciiTheme="minorHAnsi" w:cstheme="minorBidi" w:eastAsiaTheme="minorEastAsia" w:hAnsiTheme="minorHAnsi"/>
              <w:b w:val="false"/>
              <w:bCs w:val="false"/>
            </w:rPr>
            <w:t>21</w:t>
          </w:r>
          <w:r>
            <w:rPr>
              <w:b w:val="false"/>
              <w:bCs w:val="false"/>
              <w:rFonts w:eastAsia="" w:cs="" w:ascii="Calibri" w:hAnsi="Calibri"/>
            </w:rPr>
            <w:fldChar w:fldCharType="end"/>
          </w:r>
        </w:p>
      </w:sdtContent>
    </w:sdt>
    <w:p>
      <w:pPr>
        <w:pStyle w:val="TOC1"/>
        <w:tabs>
          <w:tab w:val="clear" w:pos="720"/>
          <w:tab w:val="right" w:pos="9911" w:leader="dot"/>
        </w:tabs>
        <w:rPr>
          <w:rFonts w:ascii="Calibri" w:hAnsi="Calibri" w:eastAsia="" w:cs="" w:asciiTheme="minorHAnsi" w:cstheme="minorBidi" w:eastAsiaTheme="minorEastAsia" w:hAnsiTheme="minorHAnsi"/>
          <w:b w:val="false"/>
          <w:bCs w:val="false"/>
        </w:rPr>
      </w:pPr>
      <w:r>
        <w:rPr>
          <w:rFonts w:eastAsia="" w:cs="" w:cstheme="minorBidi" w:eastAsiaTheme="minorEastAsia" w:ascii="Calibri" w:hAnsi="Calibri"/>
          <w:b w:val="false"/>
          <w:bCs w:val="false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caps/>
          <w:lang w:val="ru-RU"/>
        </w:rPr>
      </w:pPr>
      <w:bookmarkStart w:id="0" w:name="_Toc54646395"/>
      <w:bookmarkStart w:id="1" w:name="_Toc167097330"/>
      <w:bookmarkStart w:id="2" w:name="_Toc51339692"/>
      <w:r>
        <w:rPr>
          <w:lang w:val="ru-RU"/>
        </w:rPr>
        <w:t>Общие сведения</w:t>
      </w:r>
      <w:bookmarkEnd w:id="0"/>
      <w:bookmarkEnd w:id="1"/>
      <w:bookmarkEnd w:id="2"/>
    </w:p>
    <w:p>
      <w:pPr>
        <w:pStyle w:val="Heading4"/>
        <w:numPr>
          <w:ilvl w:val="1"/>
          <w:numId w:val="3"/>
        </w:numPr>
        <w:rPr/>
      </w:pPr>
      <w:bookmarkStart w:id="3" w:name="_Toc46743505"/>
      <w:bookmarkStart w:id="4" w:name="_Toc54646396"/>
      <w:bookmarkStart w:id="5" w:name="_Toc167097331"/>
      <w:r>
        <w:rPr/>
        <w:t>Обозначения и сокращения</w:t>
      </w:r>
      <w:bookmarkEnd w:id="3"/>
      <w:bookmarkEnd w:id="4"/>
      <w:bookmarkEnd w:id="5"/>
    </w:p>
    <w:p>
      <w:pPr>
        <w:pStyle w:val="Normal"/>
        <w:rPr>
          <w:rStyle w:val="Style8"/>
          <w:b w:val="false"/>
          <w:bCs/>
          <w:iCs/>
          <w:sz w:val="26"/>
          <w:szCs w:val="26"/>
        </w:rPr>
      </w:pPr>
      <w:r>
        <w:rPr>
          <w:b w:val="false"/>
          <w:bCs/>
          <w:iCs/>
          <w:sz w:val="26"/>
          <w:szCs w:val="26"/>
        </w:rPr>
      </w:r>
    </w:p>
    <w:tbl>
      <w:tblPr>
        <w:tblW w:w="9725" w:type="dxa"/>
        <w:jc w:val="center"/>
        <w:tblInd w:w="0" w:type="dxa"/>
        <w:tblLayout w:type="fixed"/>
        <w:tblCellMar>
          <w:top w:w="0" w:type="dxa"/>
          <w:left w:w="103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63"/>
        <w:gridCol w:w="7961"/>
      </w:tblGrid>
      <w:tr>
        <w:trPr>
          <w:trHeight w:val="338" w:hRule="atLeast"/>
          <w:cantSplit w:val="true"/>
        </w:trPr>
        <w:tc>
          <w:tcPr>
            <w:tcW w:w="17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ПАО</w:t>
            </w:r>
          </w:p>
        </w:tc>
        <w:tc>
          <w:tcPr>
            <w:tcW w:w="79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Публичное акционерное общество</w:t>
            </w:r>
          </w:p>
        </w:tc>
      </w:tr>
      <w:tr>
        <w:trPr>
          <w:cantSplit w:val="true"/>
        </w:trPr>
        <w:tc>
          <w:tcPr>
            <w:tcW w:w="1763" w:type="dxa"/>
            <w:tcBorders>
              <w:left w:val="single" w:sz="4" w:space="0" w:color="00000A"/>
              <w:bottom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ГЭС</w:t>
            </w:r>
          </w:p>
        </w:tc>
        <w:tc>
          <w:tcPr>
            <w:tcW w:w="796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Гидроэлектростанция</w:t>
            </w:r>
          </w:p>
        </w:tc>
      </w:tr>
      <w:tr>
        <w:trPr>
          <w:cantSplit w:val="true"/>
        </w:trPr>
        <w:tc>
          <w:tcPr>
            <w:tcW w:w="1763" w:type="dxa"/>
            <w:tcBorders>
              <w:left w:val="single" w:sz="4" w:space="0" w:color="00000A"/>
              <w:bottom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ТТ</w:t>
            </w:r>
          </w:p>
        </w:tc>
        <w:tc>
          <w:tcPr>
            <w:tcW w:w="796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Технические требования</w:t>
            </w:r>
          </w:p>
        </w:tc>
      </w:tr>
      <w:tr>
        <w:trPr>
          <w:cantSplit w:val="true"/>
        </w:trPr>
        <w:tc>
          <w:tcPr>
            <w:tcW w:w="1763" w:type="dxa"/>
            <w:tcBorders>
              <w:left w:val="single" w:sz="4" w:space="0" w:color="00000A"/>
              <w:bottom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</w:t>
            </w:r>
          </w:p>
        </w:tc>
        <w:tc>
          <w:tcPr>
            <w:tcW w:w="796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Стандарт организации</w:t>
            </w:r>
          </w:p>
        </w:tc>
      </w:tr>
      <w:tr>
        <w:trPr>
          <w:cantSplit w:val="true"/>
        </w:trPr>
        <w:tc>
          <w:tcPr>
            <w:tcW w:w="1763" w:type="dxa"/>
            <w:tcBorders>
              <w:left w:val="single" w:sz="4" w:space="0" w:color="00000A"/>
              <w:bottom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ГОСТ</w:t>
            </w:r>
          </w:p>
        </w:tc>
        <w:tc>
          <w:tcPr>
            <w:tcW w:w="796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Национальный стандарт Российской Федерации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3"/>
        </w:numPr>
        <w:rPr>
          <w:sz w:val="24"/>
          <w:szCs w:val="24"/>
        </w:rPr>
      </w:pPr>
      <w:bookmarkStart w:id="6" w:name="_Toc54646397"/>
      <w:bookmarkStart w:id="7" w:name="_Toc46743506"/>
      <w:bookmarkStart w:id="8" w:name="_Toc167097332"/>
      <w:r>
        <w:rPr>
          <w:sz w:val="24"/>
          <w:szCs w:val="24"/>
        </w:rPr>
        <w:t>Наименование закупаемой продукции</w:t>
      </w:r>
      <w:bookmarkEnd w:id="6"/>
      <w:bookmarkEnd w:id="7"/>
      <w:bookmarkEnd w:id="8"/>
    </w:p>
    <w:p>
      <w:pPr>
        <w:pStyle w:val="Heading4"/>
        <w:ind w:firstLine="567" w:left="0"/>
        <w:jc w:val="both"/>
        <w:rPr/>
      </w:pPr>
      <w:r>
        <w:rPr>
          <w:b w:val="false"/>
          <w:sz w:val="26"/>
          <w:szCs w:val="26"/>
        </w:rPr>
        <w:t>ОКПД2 71.20.19.190. Подводно-техническое обследование ГТС и прилегающих участков русла в нижнем бьефе</w:t>
      </w:r>
      <w:r>
        <w:rPr>
          <w:rFonts w:cs="Calibri"/>
          <w:b w:val="false"/>
          <w:sz w:val="26"/>
          <w:szCs w:val="26"/>
        </w:rPr>
        <w:t xml:space="preserve"> (отводящие каналы здания ГЭС и ВСП, акватории земляной плотины).</w:t>
      </w:r>
    </w:p>
    <w:p>
      <w:pPr>
        <w:pStyle w:val="Heading4"/>
        <w:ind w:hanging="0" w:left="0"/>
        <w:jc w:val="both"/>
        <w:rPr/>
      </w:pPr>
      <w:r>
        <w:rPr>
          <w:rFonts w:eastAsia="Times New Roman"/>
          <w:sz w:val="24"/>
          <w:szCs w:val="24"/>
          <w:lang w:eastAsia="ru-RU"/>
        </w:rPr>
        <w:t xml:space="preserve">1.3. </w:t>
      </w:r>
      <w:bookmarkStart w:id="9" w:name="_Toc54646218"/>
      <w:bookmarkStart w:id="10" w:name="_Toc54647810"/>
      <w:r>
        <w:rPr>
          <w:rFonts w:eastAsia="Times New Roman"/>
          <w:sz w:val="24"/>
          <w:szCs w:val="24"/>
          <w:lang w:eastAsia="ru-RU"/>
        </w:rPr>
        <w:t>Наименование и место расположения функционального заказчика</w:t>
      </w:r>
      <w:bookmarkEnd w:id="9"/>
      <w:bookmarkEnd w:id="10"/>
      <w:r>
        <w:rPr>
          <w:rFonts w:eastAsia="Times New Roman"/>
          <w:sz w:val="24"/>
          <w:szCs w:val="24"/>
          <w:lang w:eastAsia="ru-RU"/>
        </w:rPr>
        <w:t xml:space="preserve">  </w:t>
      </w:r>
    </w:p>
    <w:p>
      <w:pPr>
        <w:pStyle w:val="Normal"/>
        <w:ind w:hanging="0" w:right="-2"/>
        <w:jc w:val="both"/>
        <w:rPr/>
      </w:pPr>
      <w:r>
        <w:rPr>
          <w:rFonts w:cs="Calibri"/>
          <w:sz w:val="24"/>
          <w:szCs w:val="24"/>
        </w:rPr>
        <w:t>Заказчик: ПАО «РусГидро», Российская Федерация, Красноярский край, г. Красноярск, ул. Дубровинского, д.43, корпус 1, 660017.</w:t>
      </w:r>
    </w:p>
    <w:p>
      <w:pPr>
        <w:pStyle w:val="Normal"/>
        <w:ind w:hanging="0" w:right="-2"/>
        <w:jc w:val="both"/>
        <w:rPr/>
      </w:pPr>
      <w:r>
        <w:rPr>
          <w:rFonts w:cs="Calibri"/>
          <w:sz w:val="24"/>
          <w:szCs w:val="24"/>
        </w:rPr>
        <w:t>Подразделение Заказчика:</w:t>
      </w:r>
      <w:r>
        <w:rPr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филиал ПАО «РусГидро» - «Жигулевская ГЭС» Российская Федерация, Самарская обл., г. Жигулевск, Московское шоссе, д.2, 445350.</w:t>
      </w:r>
    </w:p>
    <w:p>
      <w:pPr>
        <w:pStyle w:val="Normal"/>
        <w:ind w:hanging="0" w:right="-2"/>
        <w:jc w:val="both"/>
        <w:rPr/>
      </w:pPr>
      <w:r>
        <w:rPr>
          <w:rFonts w:cs="Calibri"/>
          <w:sz w:val="24"/>
          <w:szCs w:val="24"/>
        </w:rPr>
        <w:t>Подразделение-куратор: служба мониторинга оборудования и гидротехнических сооружений.</w:t>
      </w:r>
    </w:p>
    <w:p>
      <w:pPr>
        <w:pStyle w:val="Normal"/>
        <w:ind w:hanging="0" w:right="-2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ind w:hanging="0" w:right="-2"/>
        <w:jc w:val="both"/>
        <w:rPr/>
      </w:pPr>
      <w:r>
        <w:rPr>
          <w:rFonts w:cs="Calibri"/>
          <w:b/>
          <w:bCs/>
          <w:sz w:val="24"/>
          <w:szCs w:val="24"/>
        </w:rPr>
        <w:t>1.4.</w:t>
      </w:r>
      <w:r>
        <w:rPr>
          <w:rFonts w:cs="Calibri"/>
          <w:sz w:val="24"/>
          <w:szCs w:val="24"/>
        </w:rPr>
        <w:t xml:space="preserve"> </w:t>
      </w:r>
      <w:bookmarkStart w:id="11" w:name="_Toc54646401_Копия_1"/>
      <w:bookmarkStart w:id="12" w:name="_Toc46743509_Копия_1"/>
      <w:bookmarkStart w:id="13" w:name="_Hlk49857604_Копия_1"/>
      <w:r>
        <w:rPr>
          <w:rFonts w:cs="Calibri"/>
          <w:b/>
          <w:bCs/>
          <w:sz w:val="24"/>
          <w:szCs w:val="24"/>
        </w:rPr>
        <w:t xml:space="preserve">Информация в отношении исполнения договора, </w:t>
      </w:r>
      <w:bookmarkStart w:id="14" w:name="_Hlk46492347_Копия_1"/>
      <w:r>
        <w:rPr>
          <w:rFonts w:cs="Calibri"/>
          <w:b/>
          <w:bCs/>
          <w:sz w:val="24"/>
          <w:szCs w:val="24"/>
        </w:rPr>
        <w:t xml:space="preserve">которая должна быть учтена при подготовке заявки </w:t>
      </w:r>
      <w:bookmarkEnd w:id="14"/>
      <w:r>
        <w:rPr>
          <w:rFonts w:cs="Calibri"/>
          <w:b/>
          <w:bCs/>
          <w:sz w:val="24"/>
          <w:szCs w:val="24"/>
        </w:rPr>
        <w:t>(в том числе перечень ресурсов, услуг и документов, предоставляемых заказчиком на этапе исполнения договора)</w:t>
      </w:r>
      <w:bookmarkEnd w:id="12"/>
      <w:bookmarkEnd w:id="13"/>
      <w:r>
        <w:rPr>
          <w:rFonts w:cs="Calibri"/>
          <w:b/>
          <w:bCs/>
          <w:sz w:val="24"/>
          <w:szCs w:val="24"/>
        </w:rPr>
        <w:t xml:space="preserve"> </w:t>
      </w:r>
      <w:bookmarkEnd w:id="11"/>
    </w:p>
    <w:p>
      <w:pPr>
        <w:pStyle w:val="Normal"/>
        <w:widowControl w:val="false"/>
        <w:tabs>
          <w:tab w:val="clear" w:pos="720"/>
          <w:tab w:val="left" w:pos="426" w:leader="none"/>
        </w:tabs>
        <w:ind w:firstLine="567"/>
        <w:jc w:val="both"/>
        <w:rPr/>
      </w:pPr>
      <w:bookmarkStart w:id="15" w:name="_Hlk48209761_Копия_1"/>
      <w:bookmarkEnd w:id="15"/>
      <w:r>
        <w:rPr>
          <w:rFonts w:eastAsia="Calibri"/>
          <w:sz w:val="24"/>
          <w:szCs w:val="24"/>
          <w:lang w:eastAsia="x-none"/>
        </w:rPr>
        <w:t>На объекте действует пропускной режим: проход лиц, проезд транспортных средств на территорию Филиала и обратно, вноса (выноса), ввоза (вывоза) материальных ценностей осуществляется по письмам и пропускам установленного образца согласно положения по пропускному и внутри объектовому режимам Заказчика (Приложение №7 к ТТ).</w:t>
      </w:r>
    </w:p>
    <w:p>
      <w:pPr>
        <w:pStyle w:val="Normal"/>
        <w:suppressAutoHyphens w:val="false"/>
        <w:ind w:firstLine="567" w:right="-2"/>
        <w:jc w:val="both"/>
        <w:rPr/>
      </w:pPr>
      <w:r>
        <w:rPr>
          <w:bCs/>
          <w:sz w:val="24"/>
          <w:szCs w:val="24"/>
        </w:rPr>
        <w:t>Обязательства Заказчика</w:t>
      </w:r>
    </w:p>
    <w:p>
      <w:pPr>
        <w:pStyle w:val="Normal"/>
        <w:suppressAutoHyphens w:val="false"/>
        <w:ind w:firstLine="567" w:right="-2"/>
        <w:jc w:val="both"/>
        <w:rPr/>
      </w:pPr>
      <w:r>
        <w:rPr>
          <w:bCs/>
          <w:sz w:val="24"/>
          <w:szCs w:val="24"/>
        </w:rPr>
        <w:t>1. Перечень услуг, предоставляемых Заказчиком подрядным организациям:</w:t>
      </w:r>
    </w:p>
    <w:p>
      <w:pPr>
        <w:pStyle w:val="Normal"/>
        <w:suppressAutoHyphens w:val="false"/>
        <w:ind w:firstLine="567" w:right="-2"/>
        <w:jc w:val="both"/>
        <w:rPr/>
      </w:pPr>
      <w:r>
        <w:rPr>
          <w:bCs/>
          <w:sz w:val="24"/>
          <w:szCs w:val="24"/>
        </w:rPr>
        <w:t>Предоставление ресурсов:</w:t>
      </w:r>
    </w:p>
    <w:p>
      <w:pPr>
        <w:pStyle w:val="Normal"/>
        <w:suppressAutoHyphens w:val="false"/>
        <w:ind w:firstLine="567" w:right="-2"/>
        <w:jc w:val="both"/>
        <w:rPr/>
      </w:pPr>
      <w:r>
        <w:rPr>
          <w:bCs/>
          <w:sz w:val="24"/>
          <w:szCs w:val="24"/>
        </w:rPr>
        <w:t>- электроэнергия.</w:t>
      </w:r>
    </w:p>
    <w:p>
      <w:pPr>
        <w:pStyle w:val="Normal"/>
        <w:ind w:firstLine="567" w:right="-2"/>
        <w:jc w:val="both"/>
        <w:rPr/>
      </w:pPr>
      <w:r>
        <w:rPr>
          <w:rFonts w:cs="Calibri"/>
          <w:bCs/>
          <w:sz w:val="24"/>
          <w:szCs w:val="24"/>
        </w:rPr>
        <w:t>2. Обеспечение пожарной и сторожевой охраны.</w:t>
      </w:r>
    </w:p>
    <w:p>
      <w:pPr>
        <w:pStyle w:val="Normal"/>
        <w:ind w:firstLine="567" w:right="-2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ind w:hanging="0" w:right="-2"/>
        <w:jc w:val="both"/>
        <w:rPr/>
      </w:pPr>
      <w:r>
        <w:rPr>
          <w:rFonts w:cs="Calibri"/>
          <w:b/>
          <w:bCs/>
          <w:sz w:val="24"/>
          <w:szCs w:val="24"/>
        </w:rPr>
        <w:t>1.5. Иные требования и сведения общего характера</w:t>
      </w:r>
    </w:p>
    <w:p>
      <w:pPr>
        <w:pStyle w:val="Normal"/>
        <w:ind w:firstLine="567" w:right="-2"/>
        <w:jc w:val="both"/>
        <w:rPr/>
      </w:pPr>
      <w:r>
        <w:rPr>
          <w:sz w:val="24"/>
          <w:szCs w:val="24"/>
        </w:rPr>
        <w:t xml:space="preserve">1.5.1. В соответствии с п. 5.2.2. </w:t>
      </w:r>
      <w:r>
        <w:rPr>
          <w:iCs/>
          <w:sz w:val="24"/>
          <w:szCs w:val="24"/>
        </w:rPr>
        <w:t>ГОСТ Р 70750-2023 “Гидроэлектростанции. Гидротехнические сооружения. Подводно-техническое обследование состояния гидротехнических сооружений и примыкающих к ним участков неукрепленного русла”, необходимо проведение подводно-технического обследования гидротехнических сооружений ПАО «РусГидро» - «Жигулевская ГЭС» со стороны нижнего и верхнего бьефа для получения достоверной информации о состоянии железобетонных конструкций, береговых откосов, неукрепленных участков дна отводящих каналов ГЭС и ВСП, и акватория земляной плотины с целью оценки эксплуатационной безопасности гидроузла.</w:t>
      </w:r>
    </w:p>
    <w:p>
      <w:pPr>
        <w:pStyle w:val="Normal"/>
        <w:ind w:firstLine="567" w:right="-2"/>
        <w:jc w:val="both"/>
        <w:rPr/>
      </w:pPr>
      <w:r>
        <w:rPr>
          <w:sz w:val="24"/>
          <w:szCs w:val="24"/>
        </w:rPr>
        <w:t>1.5.5 Обследованию подлежат следующие сооружения гидроузла:</w:t>
      </w:r>
    </w:p>
    <w:p>
      <w:pPr>
        <w:pStyle w:val="Normal"/>
        <w:ind w:firstLine="567" w:right="-2"/>
        <w:jc w:val="both"/>
        <w:rPr/>
      </w:pPr>
      <w:r>
        <w:rPr>
          <w:sz w:val="24"/>
          <w:szCs w:val="24"/>
        </w:rPr>
        <w:t xml:space="preserve">1.5.5.1 </w:t>
      </w:r>
      <w:r>
        <w:rPr>
          <w:rFonts w:cs="Calibri"/>
          <w:sz w:val="24"/>
          <w:szCs w:val="24"/>
        </w:rPr>
        <w:t>раздельные стены и быки, сопрягающие устои, откосы и бермы, водобои и рисбермы, крепление ковша, подпорные стенки, шашки гасители (1 ряд – 129 шт, 2 ряд – 95 шт), рассекатели (20 шт), водобойные стенки (2 шт)</w:t>
      </w:r>
      <w:r>
        <w:rPr>
          <w:sz w:val="24"/>
          <w:szCs w:val="24"/>
        </w:rPr>
        <w:t>.</w:t>
      </w:r>
    </w:p>
    <w:p>
      <w:pPr>
        <w:pStyle w:val="Normal"/>
        <w:ind w:firstLine="567" w:right="-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1.5.6 </w:t>
      </w:r>
      <w:r>
        <w:rPr>
          <w:rFonts w:cs="Calibri"/>
          <w:sz w:val="24"/>
          <w:szCs w:val="24"/>
        </w:rPr>
        <w:t>Подводно-техническое обследование выполняется на участке общей площадью 165 га; отводящий канал ВСП: площадь 65 га, длина 650 м; ширина 1000 м; отводящий канал ГЭС: площадь 15 га, длина 250 м; ширина 600м; акватория нижнего бьефа земляной плотины: площадь 30 га длинна 300м, ширина 1000 м.; акватория верхнего бьефа земляной плотины: площадь 55 га, длинна 250м, ширина 2200 м</w:t>
      </w:r>
      <w:r>
        <w:rPr>
          <w:sz w:val="24"/>
          <w:szCs w:val="24"/>
        </w:rPr>
        <w:t xml:space="preserve">. </w:t>
      </w:r>
    </w:p>
    <w:p>
      <w:pPr>
        <w:pStyle w:val="Normal"/>
        <w:ind w:firstLine="567" w:right="-2"/>
        <w:jc w:val="both"/>
        <w:rPr/>
      </w:pPr>
      <w:r>
        <w:rPr>
          <w:sz w:val="24"/>
          <w:szCs w:val="24"/>
        </w:rPr>
        <w:t>1.5.7 В том числе:</w:t>
      </w:r>
    </w:p>
    <w:p>
      <w:pPr>
        <w:pStyle w:val="Normal"/>
        <w:ind w:firstLine="567" w:right="-2"/>
        <w:jc w:val="both"/>
        <w:rPr/>
      </w:pPr>
      <w:r>
        <w:rPr>
          <w:sz w:val="24"/>
          <w:szCs w:val="24"/>
        </w:rPr>
        <w:t>1.5.7.1 площадь, обследуемая гидроакустическим методом:</w:t>
      </w:r>
    </w:p>
    <w:p>
      <w:pPr>
        <w:pStyle w:val="Normal"/>
        <w:ind w:firstLine="567" w:right="-2"/>
        <w:jc w:val="both"/>
        <w:rPr/>
      </w:pPr>
      <w:r>
        <w:rPr>
          <w:sz w:val="24"/>
          <w:szCs w:val="24"/>
        </w:rPr>
        <w:t xml:space="preserve">1.5.7.1.1  </w:t>
      </w:r>
      <w:r>
        <w:rPr>
          <w:rFonts w:cs="Calibri"/>
          <w:sz w:val="24"/>
          <w:szCs w:val="24"/>
        </w:rPr>
        <w:t>отводящий канал ВСП - 65 га;</w:t>
      </w:r>
    </w:p>
    <w:p>
      <w:pPr>
        <w:pStyle w:val="Normal"/>
        <w:ind w:firstLine="567" w:right="-2"/>
        <w:jc w:val="both"/>
        <w:rPr/>
      </w:pPr>
      <w:r>
        <w:rPr>
          <w:sz w:val="24"/>
          <w:szCs w:val="24"/>
        </w:rPr>
        <w:t xml:space="preserve">1.5.7.1.2  </w:t>
      </w:r>
      <w:r>
        <w:rPr>
          <w:rFonts w:cs="Calibri"/>
          <w:sz w:val="24"/>
          <w:szCs w:val="24"/>
        </w:rPr>
        <w:t>отводящий канал ГЭС – 15 га.</w:t>
      </w:r>
      <w:r>
        <w:rPr>
          <w:sz w:val="24"/>
          <w:szCs w:val="24"/>
        </w:rPr>
        <w:t>;</w:t>
      </w:r>
    </w:p>
    <w:p>
      <w:pPr>
        <w:pStyle w:val="Normal"/>
        <w:ind w:firstLine="567" w:right="-2"/>
        <w:jc w:val="both"/>
        <w:rPr/>
      </w:pPr>
      <w:r>
        <w:rPr>
          <w:sz w:val="24"/>
          <w:szCs w:val="24"/>
        </w:rPr>
        <w:t xml:space="preserve">1.5.7.1.3 </w:t>
      </w:r>
      <w:r>
        <w:rPr>
          <w:rFonts w:cs="Calibri"/>
          <w:sz w:val="24"/>
          <w:szCs w:val="24"/>
        </w:rPr>
        <w:t>акватория нижнего бьефа земляной плотины – 30 га;</w:t>
      </w:r>
    </w:p>
    <w:p>
      <w:pPr>
        <w:pStyle w:val="Normal"/>
        <w:ind w:firstLine="567" w:right="-2"/>
        <w:jc w:val="both"/>
        <w:rPr/>
      </w:pPr>
      <w:r>
        <w:rPr>
          <w:sz w:val="24"/>
          <w:szCs w:val="24"/>
        </w:rPr>
        <w:t xml:space="preserve">1.5.7.1.4 </w:t>
      </w:r>
      <w:r>
        <w:rPr>
          <w:rFonts w:cs="Calibri"/>
          <w:sz w:val="24"/>
          <w:szCs w:val="24"/>
        </w:rPr>
        <w:t>акватория верхнего бьефа земляной плотины – 55 га;</w:t>
      </w:r>
    </w:p>
    <w:p>
      <w:pPr>
        <w:pStyle w:val="Normal"/>
        <w:ind w:firstLine="567" w:right="-2"/>
        <w:jc w:val="both"/>
        <w:rPr/>
      </w:pPr>
      <w:r>
        <w:rPr>
          <w:sz w:val="24"/>
          <w:szCs w:val="24"/>
        </w:rPr>
        <w:t xml:space="preserve">1.5.7.2 площадь, обследуемая площадной фото – видеосъемкой сопряжений откосов и подпорных вертикальных стен сооружений с горизонтальной поверхностью дна: </w:t>
      </w:r>
    </w:p>
    <w:p>
      <w:pPr>
        <w:pStyle w:val="Normal"/>
        <w:ind w:firstLine="567" w:right="-2"/>
        <w:jc w:val="both"/>
        <w:rPr/>
      </w:pPr>
      <w:r>
        <w:rPr>
          <w:sz w:val="24"/>
          <w:szCs w:val="24"/>
        </w:rPr>
        <w:t xml:space="preserve">1.5.7.2.1 </w:t>
      </w:r>
      <w:r>
        <w:rPr>
          <w:rFonts w:cs="Calibri"/>
          <w:sz w:val="24"/>
          <w:szCs w:val="24"/>
        </w:rPr>
        <w:t>отводящий канал ВСП – 10000 м² (1,0 га).</w:t>
      </w:r>
    </w:p>
    <w:p>
      <w:pPr>
        <w:pStyle w:val="Normal"/>
        <w:ind w:firstLine="567" w:right="-2"/>
        <w:jc w:val="both"/>
        <w:rPr/>
      </w:pPr>
      <w:r>
        <w:rPr>
          <w:sz w:val="24"/>
          <w:szCs w:val="24"/>
        </w:rPr>
        <w:t xml:space="preserve">1.5.7.2.2 </w:t>
      </w:r>
      <w:r>
        <w:rPr>
          <w:rFonts w:cs="Calibri"/>
          <w:sz w:val="24"/>
          <w:szCs w:val="24"/>
        </w:rPr>
        <w:t>отводящий канал ГЭС – 8000 м² (0,8 га)</w:t>
      </w:r>
      <w:r>
        <w:rPr>
          <w:sz w:val="24"/>
          <w:szCs w:val="24"/>
        </w:rPr>
        <w:t>.</w:t>
      </w:r>
    </w:p>
    <w:p>
      <w:pPr>
        <w:pStyle w:val="Normal"/>
        <w:ind w:firstLine="567" w:right="-2"/>
        <w:jc w:val="both"/>
        <w:rPr/>
      </w:pPr>
      <w:r>
        <w:rPr>
          <w:sz w:val="24"/>
          <w:szCs w:val="24"/>
        </w:rPr>
        <w:t xml:space="preserve">1.5.7.2.3 </w:t>
      </w:r>
      <w:r>
        <w:rPr>
          <w:rFonts w:cs="Calibri"/>
          <w:sz w:val="24"/>
          <w:szCs w:val="24"/>
        </w:rPr>
        <w:t>акватория верхнего бьефа земляной плотины – 10000 м² (1,0 га)</w:t>
      </w:r>
    </w:p>
    <w:p>
      <w:pPr>
        <w:pStyle w:val="Normal"/>
        <w:ind w:firstLine="567" w:right="-2"/>
        <w:jc w:val="both"/>
        <w:rPr/>
      </w:pPr>
      <w:r>
        <w:rPr>
          <w:sz w:val="24"/>
          <w:szCs w:val="24"/>
        </w:rPr>
        <w:t>1.5.8 Топографическая съемка надводных частей обследуемых поверхностей М 1:1000:</w:t>
      </w:r>
    </w:p>
    <w:p>
      <w:pPr>
        <w:pStyle w:val="Normal"/>
        <w:ind w:firstLine="567" w:right="-2"/>
        <w:jc w:val="both"/>
        <w:rPr/>
      </w:pPr>
      <w:r>
        <w:rPr>
          <w:sz w:val="24"/>
          <w:szCs w:val="24"/>
        </w:rPr>
        <w:t>1.5.8.1 крепления откосов – 20000 м².</w:t>
      </w:r>
    </w:p>
    <w:p>
      <w:pPr>
        <w:pStyle w:val="Normal"/>
        <w:ind w:firstLine="567" w:right="-2"/>
        <w:jc w:val="both"/>
        <w:rPr/>
      </w:pPr>
      <w:r>
        <w:rPr>
          <w:rFonts w:cs="Calibri"/>
          <w:sz w:val="24"/>
          <w:szCs w:val="24"/>
          <w:lang w:val="x-none"/>
        </w:rPr>
        <w:t>1.5.</w:t>
      </w:r>
      <w:r>
        <w:rPr>
          <w:rFonts w:cs="Calibri"/>
          <w:sz w:val="24"/>
          <w:szCs w:val="24"/>
        </w:rPr>
        <w:t>9</w:t>
      </w:r>
      <w:r>
        <w:rPr>
          <w:rFonts w:cs="Calibri"/>
          <w:sz w:val="24"/>
          <w:szCs w:val="24"/>
          <w:lang w:val="x-none"/>
        </w:rPr>
        <w:t>. Перечень объектов воздействия представлен в Таблице № 1 Технического задания.</w:t>
      </w:r>
    </w:p>
    <w:p>
      <w:pPr>
        <w:pStyle w:val="Normal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bookmarkStart w:id="16" w:name="_Toc54646400"/>
      <w:r>
        <w:rPr>
          <w:b/>
          <w:sz w:val="24"/>
          <w:szCs w:val="24"/>
        </w:rPr>
        <w:t>Таблица 1. Перечень объектов заказчика</w:t>
      </w:r>
      <w:bookmarkEnd w:id="16"/>
    </w:p>
    <w:p>
      <w:pPr>
        <w:pStyle w:val="Normal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tbl>
      <w:tblPr>
        <w:tblW w:w="1003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52"/>
        <w:gridCol w:w="1701"/>
        <w:gridCol w:w="4263"/>
        <w:gridCol w:w="1984"/>
        <w:gridCol w:w="1531"/>
      </w:tblGrid>
      <w:tr>
        <w:trPr/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Расположение объекта (место оказания услуг)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основного средства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>
        <w:trPr/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>
          <w:trHeight w:val="881" w:hRule="atLeast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29"/>
              <w:widowControl w:val="false"/>
              <w:snapToGrid w:val="false"/>
              <w:spacing w:lineRule="auto" w:line="240" w:before="0" w:after="200"/>
              <w:ind w:hanging="0" w:left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iCs/>
                <w:sz w:val="24"/>
                <w:szCs w:val="24"/>
              </w:rPr>
              <w:t>Отводящий канал Здания ГЭС</w:t>
            </w: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iCs/>
                <w:sz w:val="24"/>
                <w:szCs w:val="24"/>
              </w:rPr>
              <w:t>Филиал ПАО «РусГидро»- «Жигулевская ГЭС», Российская Федерация, Самарская обл.,г. Жигулевск, ул. Московское шоссе, д.2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iCs/>
                <w:sz w:val="24"/>
                <w:szCs w:val="24"/>
              </w:rPr>
              <w:t>Отводящий канал Здания ГЭС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881" w:hRule="atLeast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29"/>
              <w:widowControl w:val="false"/>
              <w:snapToGrid w:val="false"/>
              <w:spacing w:lineRule="auto" w:line="240" w:before="0" w:after="200"/>
              <w:ind w:hanging="0" w:left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2.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iCs/>
                <w:sz w:val="24"/>
                <w:szCs w:val="24"/>
                <w:lang w:val="en-US"/>
              </w:rPr>
              <w:t>Отводящий канал водосливной плотины</w:t>
            </w: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iCs/>
                <w:sz w:val="24"/>
                <w:szCs w:val="24"/>
              </w:rPr>
              <w:t>Филиал ПАО «РусГидро»- «Жигулевская ГЭС», Российская Федерация, Самарская обл.,г. Жигулевск, ул. Московское шоссе, д.2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iCs/>
                <w:sz w:val="24"/>
                <w:szCs w:val="24"/>
                <w:lang w:val="en-US"/>
              </w:rPr>
              <w:t>Водосливная плотина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881" w:hRule="atLeast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29"/>
              <w:widowControl w:val="false"/>
              <w:snapToGrid w:val="false"/>
              <w:spacing w:lineRule="auto" w:line="240" w:before="0" w:after="200"/>
              <w:ind w:hanging="0" w:left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3.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iCs/>
                <w:sz w:val="24"/>
                <w:szCs w:val="24"/>
                <w:lang w:val="en-US"/>
              </w:rPr>
              <w:t>Акватория земляной плотины</w:t>
            </w: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iCs/>
                <w:sz w:val="24"/>
                <w:szCs w:val="24"/>
              </w:rPr>
              <w:t>Филиал ПАО «РусГидро»- «Жигулевская ГЭС», Российская Федерация, Самарская обл.,г. Жигулевск, ул. Московское шоссе, д.2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iCs/>
                <w:sz w:val="24"/>
                <w:szCs w:val="24"/>
                <w:lang w:val="en-US"/>
              </w:rPr>
              <w:t>Земляная плотина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iCs/>
          <w:caps/>
          <w:lang w:val="ru-RU"/>
        </w:rPr>
      </w:pPr>
      <w:bookmarkStart w:id="17" w:name="_Toc54646403"/>
      <w:bookmarkStart w:id="18" w:name="_Toc51339693"/>
      <w:bookmarkStart w:id="19" w:name="_Toc167097336"/>
      <w:bookmarkStart w:id="20" w:name="_Toc46743510"/>
      <w:bookmarkStart w:id="21" w:name="_Toc50125126"/>
      <w:bookmarkStart w:id="22" w:name="_Hlk482097611"/>
      <w:bookmarkEnd w:id="20"/>
      <w:bookmarkEnd w:id="21"/>
      <w:bookmarkEnd w:id="22"/>
      <w:r>
        <w:rPr>
          <w:iCs/>
        </w:rPr>
        <w:t>Требования к продукции</w:t>
      </w:r>
      <w:bookmarkEnd w:id="17"/>
      <w:bookmarkEnd w:id="18"/>
      <w:bookmarkEnd w:id="19"/>
    </w:p>
    <w:p>
      <w:pPr>
        <w:pStyle w:val="Heading4"/>
        <w:numPr>
          <w:ilvl w:val="1"/>
          <w:numId w:val="3"/>
        </w:numPr>
        <w:rPr>
          <w:sz w:val="24"/>
          <w:szCs w:val="24"/>
        </w:rPr>
      </w:pPr>
      <w:bookmarkStart w:id="23" w:name="_Toc54646404"/>
      <w:bookmarkStart w:id="24" w:name="_Toc167097337"/>
      <w:r>
        <w:rPr>
          <w:sz w:val="24"/>
          <w:szCs w:val="24"/>
        </w:rPr>
        <w:t xml:space="preserve">Требования к этапам и срокам </w:t>
      </w:r>
      <w:bookmarkEnd w:id="23"/>
      <w:bookmarkEnd w:id="24"/>
      <w:r>
        <w:rPr>
          <w:sz w:val="24"/>
          <w:szCs w:val="24"/>
        </w:rPr>
        <w:t>выполнения работ</w:t>
      </w:r>
    </w:p>
    <w:p>
      <w:pPr>
        <w:pStyle w:val="Heading3"/>
        <w:ind w:hanging="0" w:left="0"/>
        <w:rPr/>
      </w:pPr>
      <w:r>
        <w:rPr>
          <w:lang w:val="ru-RU"/>
        </w:rPr>
        <w:t>Таблиц</w:t>
      </w:r>
      <w:r>
        <w:rPr>
          <w:shd w:fill="auto" w:val="clear"/>
          <w:lang w:val="ru-RU"/>
        </w:rPr>
        <w:t xml:space="preserve">а 1. </w:t>
      </w:r>
      <w:bookmarkStart w:id="25" w:name="_Toc54646405"/>
      <w:bookmarkStart w:id="26" w:name="_Toc167097338"/>
      <w:r>
        <w:rPr>
          <w:shd w:fill="auto" w:val="clear"/>
          <w:lang w:val="ru-RU"/>
        </w:rPr>
        <w:t xml:space="preserve">Требования </w:t>
      </w:r>
      <w:bookmarkEnd w:id="25"/>
      <w:bookmarkEnd w:id="26"/>
      <w:r>
        <w:rPr>
          <w:shd w:fill="auto" w:val="clear"/>
          <w:lang w:val="ru-RU"/>
        </w:rPr>
        <w:t>по срокам выполнения работ</w:t>
      </w:r>
    </w:p>
    <w:tbl>
      <w:tblPr>
        <w:tblW w:w="9975" w:type="dxa"/>
        <w:jc w:val="left"/>
        <w:tblInd w:w="2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32"/>
        <w:gridCol w:w="4640"/>
        <w:gridCol w:w="2226"/>
        <w:gridCol w:w="2376"/>
      </w:tblGrid>
      <w:tr>
        <w:trPr/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 xml:space="preserve">№ </w:t>
            </w:r>
            <w:r>
              <w:rPr>
                <w:sz w:val="24"/>
                <w:szCs w:val="24"/>
                <w:shd w:fill="auto" w:val="clear"/>
              </w:rPr>
              <w:t>п/п</w:t>
            </w:r>
          </w:p>
        </w:tc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Наименование работ/ этапа работ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Требования к началу срока выполнения работ/ этапа работ*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Требования к окончанию срока выполнения работ / этапа работ*</w:t>
            </w:r>
          </w:p>
        </w:tc>
      </w:tr>
      <w:tr>
        <w:trPr/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b/>
                <w:sz w:val="24"/>
                <w:szCs w:val="24"/>
                <w:shd w:fill="auto" w:val="clear"/>
              </w:rPr>
              <w:t>1</w:t>
            </w:r>
          </w:p>
        </w:tc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b/>
                <w:sz w:val="24"/>
                <w:szCs w:val="24"/>
                <w:shd w:fill="auto" w:val="clear"/>
              </w:rPr>
              <w:t>2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highlight w:val="none"/>
                <w:shd w:fill="auto" w:val="clear"/>
              </w:rPr>
            </w:pPr>
            <w:r>
              <w:rPr>
                <w:b/>
                <w:sz w:val="24"/>
                <w:szCs w:val="24"/>
                <w:shd w:fill="auto" w:val="clear"/>
              </w:rPr>
              <w:t>3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highlight w:val="none"/>
                <w:shd w:fill="auto" w:val="clear"/>
              </w:rPr>
            </w:pPr>
            <w:r>
              <w:rPr>
                <w:b/>
                <w:sz w:val="24"/>
                <w:szCs w:val="24"/>
                <w:shd w:fill="auto" w:val="clear"/>
              </w:rPr>
              <w:t>4</w:t>
            </w:r>
          </w:p>
        </w:tc>
      </w:tr>
      <w:tr>
        <w:trPr/>
        <w:tc>
          <w:tcPr>
            <w:tcW w:w="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center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4"/>
              <w:widowControl w:val="false"/>
              <w:spacing w:before="120" w:after="60"/>
              <w:ind w:hanging="0" w:left="0"/>
              <w:jc w:val="both"/>
              <w:rPr>
                <w:highlight w:val="none"/>
                <w:shd w:fill="auto" w:val="clear"/>
              </w:rPr>
            </w:pPr>
            <w:r>
              <w:rPr>
                <w:b w:val="false"/>
                <w:sz w:val="26"/>
                <w:szCs w:val="26"/>
                <w:shd w:fill="auto" w:val="clear"/>
              </w:rPr>
              <w:t>Подводно-техническое обследование подводящего канала здания Жигулевской ГЭС, подводящего канала водосливной плотины Жигулевской ГЭС</w:t>
            </w:r>
          </w:p>
        </w:tc>
        <w:tc>
          <w:tcPr>
            <w:tcW w:w="22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Не ранее</w:t>
            </w:r>
          </w:p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  <w:lang w:val="en-US"/>
              </w:rPr>
              <w:t>01.</w:t>
            </w:r>
            <w:r>
              <w:rPr>
                <w:sz w:val="24"/>
                <w:szCs w:val="24"/>
                <w:shd w:fill="auto" w:val="clear"/>
              </w:rPr>
              <w:t>0</w:t>
            </w:r>
            <w:r>
              <w:rPr>
                <w:sz w:val="24"/>
                <w:szCs w:val="24"/>
                <w:shd w:fill="auto" w:val="clear"/>
                <w:lang w:val="en-US"/>
              </w:rPr>
              <w:t>7</w:t>
            </w:r>
            <w:r>
              <w:rPr>
                <w:sz w:val="24"/>
                <w:szCs w:val="24"/>
                <w:shd w:fill="auto" w:val="clear"/>
              </w:rPr>
              <w:t>.202</w:t>
            </w:r>
            <w:r>
              <w:rPr>
                <w:sz w:val="24"/>
                <w:szCs w:val="24"/>
                <w:shd w:fill="auto" w:val="clear"/>
                <w:lang w:val="en-US"/>
              </w:rPr>
              <w:t>8</w:t>
            </w:r>
          </w:p>
        </w:tc>
        <w:tc>
          <w:tcPr>
            <w:tcW w:w="23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Не позднее 30.11.2028г.</w:t>
            </w:r>
          </w:p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Отчетный документ – технический отчет</w:t>
            </w:r>
          </w:p>
        </w:tc>
      </w:tr>
      <w:tr>
        <w:trPr/>
        <w:tc>
          <w:tcPr>
            <w:tcW w:w="997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ind w:hanging="0" w:left="0"/>
              <w:jc w:val="left"/>
              <w:rPr>
                <w:highlight w:val="none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* - дата проведения съемок уточняется за 3 дня до даты выполнения работ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567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rPr>
          <w:highlight w:val="none"/>
          <w:shd w:fill="auto" w:val="clear"/>
        </w:rPr>
      </w:pPr>
      <w:bookmarkStart w:id="27" w:name="_Toc167097340"/>
      <w:bookmarkStart w:id="28" w:name="_Toc54646410"/>
      <w:bookmarkEnd w:id="28"/>
      <w:r>
        <w:rPr>
          <w:shd w:fill="auto" w:val="clear"/>
        </w:rPr>
        <w:t xml:space="preserve">Требования к </w:t>
      </w:r>
      <w:r>
        <w:rPr>
          <w:shd w:fill="auto" w:val="clear"/>
          <w:lang w:val="ru-RU"/>
        </w:rPr>
        <w:t xml:space="preserve">качеству </w:t>
      </w:r>
      <w:bookmarkEnd w:id="27"/>
      <w:r>
        <w:rPr>
          <w:shd w:fill="auto" w:val="clear"/>
          <w:lang w:val="ru-RU"/>
        </w:rPr>
        <w:t>продукции</w:t>
      </w:r>
    </w:p>
    <w:p>
      <w:pPr>
        <w:pStyle w:val="Normal"/>
        <w:rPr>
          <w:highlight w:val="none"/>
          <w:shd w:fill="auto" w:val="clear"/>
          <w:lang w:eastAsia="x-none"/>
        </w:rPr>
      </w:pPr>
      <w:r>
        <w:rPr>
          <w:shd w:fill="auto" w:val="clear"/>
          <w:lang w:eastAsia="x-none"/>
        </w:rPr>
      </w:r>
      <w:bookmarkStart w:id="29" w:name="_Toc54646410_Копия_1"/>
      <w:bookmarkStart w:id="30" w:name="_Toc54646410_Копия_1"/>
      <w:bookmarkEnd w:id="30"/>
    </w:p>
    <w:p>
      <w:pPr>
        <w:pStyle w:val="Normal"/>
        <w:jc w:val="both"/>
        <w:rPr/>
      </w:pPr>
      <w:r>
        <w:rPr>
          <w:b/>
          <w:bCs/>
          <w:sz w:val="24"/>
          <w:szCs w:val="24"/>
          <w:shd w:fill="auto" w:val="clear"/>
        </w:rPr>
        <w:t xml:space="preserve">Наименование работ/этапа работ (позиции 2.1. -2 .3. Таблицы 1):   </w:t>
      </w:r>
      <w:r>
        <w:rPr>
          <w:b w:val="false"/>
          <w:bCs w:val="false"/>
          <w:sz w:val="24"/>
          <w:szCs w:val="24"/>
          <w:shd w:fill="auto" w:val="clear"/>
        </w:rPr>
        <w:t>«</w:t>
      </w:r>
      <w:r>
        <w:rPr>
          <w:b w:val="false"/>
          <w:bCs w:val="false"/>
          <w:sz w:val="26"/>
          <w:szCs w:val="26"/>
          <w:shd w:fill="auto" w:val="clear"/>
        </w:rPr>
        <w:t>ОКПД2 71.20.19.190. Подводно-техническое обследование ГТС и прилегающих участков русла в нижнем бьефе</w:t>
      </w:r>
      <w:r>
        <w:rPr>
          <w:rFonts w:cs="Calibri"/>
          <w:b w:val="false"/>
          <w:bCs w:val="false"/>
          <w:sz w:val="26"/>
          <w:szCs w:val="26"/>
          <w:shd w:fill="auto" w:val="clear"/>
        </w:rPr>
        <w:t xml:space="preserve"> (отводящие каналы здания ГЭС и ВСП, акватории земляной плотины)</w:t>
      </w:r>
      <w:r>
        <w:rPr>
          <w:b w:val="false"/>
          <w:bCs w:val="false"/>
          <w:sz w:val="24"/>
          <w:szCs w:val="24"/>
          <w:shd w:fill="auto" w:val="clear"/>
        </w:rPr>
        <w:t>»</w:t>
      </w:r>
      <w:r>
        <w:rPr>
          <w:rFonts w:eastAsia="Calibri"/>
          <w:b w:val="false"/>
          <w:bCs w:val="false"/>
          <w:sz w:val="26"/>
          <w:szCs w:val="26"/>
          <w:lang w:eastAsia="x-none"/>
        </w:rPr>
        <w:t>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affff8"/>
        <w:tblW w:w="15283" w:type="dxa"/>
        <w:jc w:val="left"/>
        <w:tblInd w:w="10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69"/>
        <w:gridCol w:w="2355"/>
        <w:gridCol w:w="8"/>
        <w:gridCol w:w="5858"/>
        <w:gridCol w:w="1844"/>
        <w:gridCol w:w="2221"/>
        <w:gridCol w:w="2127"/>
      </w:tblGrid>
      <w:tr>
        <w:trPr/>
        <w:tc>
          <w:tcPr>
            <w:tcW w:w="86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35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5866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406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12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6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35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5866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2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12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8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3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586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2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12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86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8221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выполнению работ</w:t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69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0" w:left="0"/>
              <w:contextualSpacing/>
              <w:jc w:val="center"/>
              <w:rPr>
                <w:b/>
                <w:lang w:eastAsia="x-none"/>
              </w:rPr>
            </w:pPr>
            <w:r>
              <w:rPr>
                <w:rFonts w:cs="Times New Roman"/>
                <w:b/>
                <w:kern w:val="0"/>
                <w:lang w:val="ru-RU" w:eastAsia="x-none" w:bidi="ar-SA"/>
              </w:rPr>
              <w:t>1.1.</w:t>
            </w:r>
          </w:p>
        </w:tc>
        <w:tc>
          <w:tcPr>
            <w:tcW w:w="8221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Style w:val="Style8"/>
                <w:bCs/>
                <w:i w:val="false"/>
                <w:i w:val="false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к наименованию и условному обозначению научно-технического результата</w:t>
            </w:r>
          </w:p>
        </w:tc>
        <w:tc>
          <w:tcPr>
            <w:tcW w:w="184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22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69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0" w:left="-283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b/>
                <w:bCs/>
                <w:kern w:val="0"/>
                <w:lang w:val="ru-RU" w:eastAsia="ru-RU" w:bidi="ar-SA"/>
              </w:rPr>
              <w:t xml:space="preserve">   </w:t>
            </w:r>
            <w:r>
              <w:rPr>
                <w:rFonts w:cs="Times New Roman"/>
                <w:b/>
                <w:bCs/>
                <w:kern w:val="0"/>
                <w:lang w:val="ru-RU" w:eastAsia="ru-RU" w:bidi="ar-SA"/>
              </w:rPr>
              <w:t>1.1.1.</w:t>
            </w:r>
          </w:p>
        </w:tc>
        <w:tc>
          <w:tcPr>
            <w:tcW w:w="2355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Требование к наименованию</w:t>
            </w:r>
          </w:p>
        </w:tc>
        <w:tc>
          <w:tcPr>
            <w:tcW w:w="5866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 xml:space="preserve">Наименование работы: </w:t>
            </w:r>
            <w:r>
              <w:rPr>
                <w:rFonts w:eastAsia="Times New Roman" w:cs="Times New Roman"/>
                <w:b/>
                <w:i/>
                <w:iCs/>
                <w:kern w:val="0"/>
                <w:sz w:val="24"/>
                <w:szCs w:val="24"/>
                <w:lang w:val="ru-RU" w:eastAsia="ru-RU" w:bidi="ar-SA"/>
              </w:rPr>
              <w:t xml:space="preserve"> «</w:t>
            </w:r>
            <w:r>
              <w:rPr>
                <w:rFonts w:eastAsia="Times New Roman" w:cs="Times New Roman"/>
                <w:i/>
                <w:iCs/>
                <w:kern w:val="0"/>
                <w:sz w:val="26"/>
                <w:szCs w:val="26"/>
                <w:lang w:val="ru-RU" w:eastAsia="ru-RU" w:bidi="ar-SA"/>
              </w:rPr>
              <w:t>ОКПД2 71.20.19.190. Подводно-техническое обследование ГТС и прилегающих участков русла в нижнем бьефе</w:t>
            </w:r>
            <w:r>
              <w:rPr>
                <w:rFonts w:eastAsia="Times New Roman" w:cs="Calibri"/>
                <w:i/>
                <w:iCs/>
                <w:kern w:val="0"/>
                <w:sz w:val="26"/>
                <w:szCs w:val="26"/>
                <w:lang w:val="ru-RU" w:eastAsia="ru-RU" w:bidi="ar-SA"/>
              </w:rPr>
              <w:t xml:space="preserve"> (отводящие каналы здания ГЭС и ВСП, акватории земляной плотины)</w:t>
            </w:r>
            <w:r>
              <w:rPr>
                <w:rFonts w:eastAsia="Times New Roman" w:cs="Times New Roman"/>
                <w:b/>
                <w:i/>
                <w:iCs/>
                <w:kern w:val="0"/>
                <w:sz w:val="24"/>
                <w:szCs w:val="24"/>
                <w:lang w:val="ru-RU" w:eastAsia="ru-RU" w:bidi="ar-SA"/>
              </w:rPr>
              <w:t>»</w:t>
            </w:r>
          </w:p>
        </w:tc>
        <w:tc>
          <w:tcPr>
            <w:tcW w:w="184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22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69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0" w:left="-283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b/>
                <w:bCs/>
                <w:kern w:val="0"/>
                <w:lang w:val="ru-RU" w:eastAsia="ru-RU" w:bidi="ar-SA"/>
              </w:rPr>
              <w:t>1.2.</w:t>
            </w:r>
          </w:p>
        </w:tc>
        <w:tc>
          <w:tcPr>
            <w:tcW w:w="8221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области применения</w:t>
            </w:r>
          </w:p>
        </w:tc>
        <w:tc>
          <w:tcPr>
            <w:tcW w:w="184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22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69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0" w:left="-283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b/>
                <w:bCs/>
                <w:kern w:val="0"/>
                <w:lang w:val="ru-RU" w:eastAsia="ru-RU" w:bidi="ar-SA"/>
              </w:rPr>
              <w:t xml:space="preserve">    </w:t>
            </w:r>
            <w:r>
              <w:rPr>
                <w:rFonts w:cs="Times New Roman"/>
                <w:b/>
                <w:bCs/>
                <w:kern w:val="0"/>
                <w:lang w:val="ru-RU" w:eastAsia="ru-RU" w:bidi="ar-SA"/>
              </w:rPr>
              <w:t>1.2.1.</w:t>
            </w:r>
          </w:p>
        </w:tc>
        <w:tc>
          <w:tcPr>
            <w:tcW w:w="2355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Требования к области применения</w:t>
            </w:r>
          </w:p>
        </w:tc>
        <w:tc>
          <w:tcPr>
            <w:tcW w:w="5866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В результате выполнения работ необходимо разработать: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i/>
                <w:iCs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Cs/>
                <w:i/>
                <w:iCs/>
                <w:kern w:val="0"/>
                <w:sz w:val="24"/>
                <w:szCs w:val="24"/>
                <w:lang w:val="ru-RU" w:eastAsia="ru-RU" w:bidi="ar-SA"/>
              </w:rPr>
              <w:t>1. Программа выполнения работ, согласованная с Заказчиком;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i/>
                <w:iCs/>
                <w:kern w:val="0"/>
                <w:sz w:val="24"/>
                <w:szCs w:val="24"/>
                <w:lang w:val="ru-RU" w:eastAsia="ru-RU" w:bidi="ar-SA"/>
              </w:rPr>
              <w:t>2. После проведения подводно-технического обследования исполнитель предоставляет технический отчет с приложениями.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i/>
                <w:iCs/>
                <w:kern w:val="0"/>
                <w:sz w:val="24"/>
                <w:szCs w:val="24"/>
                <w:lang w:val="ru-RU" w:eastAsia="ru-RU" w:bidi="ar-SA"/>
              </w:rPr>
              <w:t>3. Технический отчет должен содержать информацию о составе проведённых работ и полученных результатах обследований, методика проведения обследования, выводы и рекомендации. Выводы и рекомендации должны быть понятны и носить однозначный характер.</w:t>
            </w:r>
          </w:p>
        </w:tc>
        <w:tc>
          <w:tcPr>
            <w:tcW w:w="184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2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69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cs="Times New Roman"/>
                <w:b/>
                <w:kern w:val="0"/>
                <w:lang w:val="ru-RU" w:eastAsia="x-none" w:bidi="ar-SA"/>
              </w:rPr>
              <w:t>1.2.2.</w:t>
            </w:r>
          </w:p>
        </w:tc>
        <w:tc>
          <w:tcPr>
            <w:tcW w:w="235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Требования к  учету особых условий работы оборудования и производства работ</w:t>
            </w:r>
          </w:p>
        </w:tc>
        <w:tc>
          <w:tcPr>
            <w:tcW w:w="5866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/>
                <w:kern w:val="0"/>
                <w:lang w:val="ru-RU" w:eastAsia="ru-RU" w:bidi="ar-SA"/>
              </w:rPr>
            </w:pPr>
            <w:r>
              <w:rPr>
                <w:rFonts w:eastAsia="Times New Roman" w:cs="Calibri"/>
                <w:bCs/>
                <w:i/>
                <w:iCs/>
                <w:kern w:val="0"/>
                <w:sz w:val="24"/>
                <w:szCs w:val="24"/>
                <w:lang w:val="ru-RU" w:eastAsia="ru-RU" w:bidi="ar-SA"/>
              </w:rPr>
              <w:t>Производство работ осуществляется в условиях действующего предприятия.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 Производство работ вблизи объектов, находящихся под высоким напряжением, в том числе в охранной зоне действующей воздушной линии электропередачи.</w:t>
            </w:r>
          </w:p>
        </w:tc>
        <w:tc>
          <w:tcPr>
            <w:tcW w:w="18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21" w:type="dxa"/>
            <w:tcBorders/>
            <w:shd w:color="auto" w:fill="auto" w:val="clear"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1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69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cs="Times New Roman"/>
                <w:b/>
                <w:kern w:val="0"/>
                <w:lang w:val="ru-RU" w:eastAsia="x-none" w:bidi="ar-SA"/>
              </w:rPr>
              <w:t>1.3.</w:t>
            </w:r>
          </w:p>
        </w:tc>
        <w:tc>
          <w:tcPr>
            <w:tcW w:w="8221" w:type="dxa"/>
            <w:gridSpan w:val="3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целям и задачам работ</w:t>
            </w:r>
          </w:p>
        </w:tc>
        <w:tc>
          <w:tcPr>
            <w:tcW w:w="184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221" w:type="dxa"/>
            <w:tcBorders>
              <w:top w:val="nil"/>
            </w:tcBorders>
            <w:shd w:color="auto" w:fill="auto" w:val="clear"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12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69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cs="Times New Roman"/>
                <w:b/>
                <w:kern w:val="0"/>
                <w:lang w:val="ru-RU" w:eastAsia="x-none" w:bidi="ar-SA"/>
              </w:rPr>
              <w:t>1.3.1.</w:t>
            </w:r>
          </w:p>
        </w:tc>
        <w:tc>
          <w:tcPr>
            <w:tcW w:w="2355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Цель работ</w:t>
            </w:r>
          </w:p>
        </w:tc>
        <w:tc>
          <w:tcPr>
            <w:tcW w:w="5866" w:type="dxa"/>
            <w:gridSpan w:val="2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Проведение подводно-технического обследования гидротехнических сооружений ПАО «РусГидро» - «Жигулевская ГЭС» в нижнем бьефе</w:t>
            </w:r>
            <w:r>
              <w:rPr>
                <w:rFonts w:eastAsia="Times New Roman" w:cs="Calibri"/>
                <w:i/>
                <w:iCs/>
                <w:kern w:val="0"/>
                <w:sz w:val="24"/>
                <w:szCs w:val="24"/>
                <w:lang w:val="ru-RU" w:eastAsia="ru-RU" w:bidi="ar-SA"/>
              </w:rPr>
              <w:t xml:space="preserve"> (отводящие каналы здания ГЭС и ВСП, акватории земляной плотины)</w:t>
            </w: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 целью оценки эксплуатационной безопасности гидроузла.</w:t>
            </w:r>
          </w:p>
        </w:tc>
        <w:tc>
          <w:tcPr>
            <w:tcW w:w="184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21" w:type="dxa"/>
            <w:tcBorders>
              <w:top w:val="nil"/>
            </w:tcBorders>
            <w:shd w:color="auto" w:fill="auto" w:val="clear"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12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69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0" w:left="25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cs="Times New Roman"/>
                <w:b/>
                <w:kern w:val="0"/>
                <w:lang w:val="ru-RU" w:eastAsia="x-none" w:bidi="ar-SA"/>
              </w:rPr>
              <w:t>1.4.</w:t>
            </w:r>
          </w:p>
        </w:tc>
        <w:tc>
          <w:tcPr>
            <w:tcW w:w="8221" w:type="dxa"/>
            <w:gridSpan w:val="3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учету сведений о потребности</w:t>
            </w:r>
          </w:p>
        </w:tc>
        <w:tc>
          <w:tcPr>
            <w:tcW w:w="184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221" w:type="dxa"/>
            <w:tcBorders>
              <w:top w:val="nil"/>
            </w:tcBorders>
            <w:shd w:color="auto" w:fill="auto" w:val="clear"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12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69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0" w:left="25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cs="Times New Roman"/>
                <w:b/>
                <w:kern w:val="0"/>
                <w:lang w:val="ru-RU" w:eastAsia="x-none" w:bidi="ar-SA"/>
              </w:rPr>
              <w:t>1.4.1.</w:t>
            </w:r>
          </w:p>
        </w:tc>
        <w:tc>
          <w:tcPr>
            <w:tcW w:w="2355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i/>
                <w:iCs/>
                <w:kern w:val="0"/>
                <w:sz w:val="24"/>
                <w:szCs w:val="24"/>
                <w:lang w:val="ru-RU" w:eastAsia="ru-RU" w:bidi="ar-SA"/>
              </w:rPr>
              <w:t>Требование к потребности</w:t>
            </w:r>
          </w:p>
        </w:tc>
        <w:tc>
          <w:tcPr>
            <w:tcW w:w="5866" w:type="dxa"/>
            <w:gridSpan w:val="2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При выполнении работ исполнитель должен руководствоваться</w:t>
            </w:r>
            <w:r>
              <w:rPr>
                <w:rFonts w:eastAsia="Times New Roman" w:cs="Times New Roman"/>
                <w:bCs/>
                <w:i/>
                <w:iCs/>
                <w:kern w:val="0"/>
                <w:sz w:val="24"/>
                <w:szCs w:val="24"/>
                <w:lang w:val="ru-RU" w:eastAsia="ru-RU" w:bidi="ar-SA"/>
              </w:rPr>
              <w:t xml:space="preserve"> настоящими ТТ</w:t>
            </w: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 xml:space="preserve"> и следующими нормативно-техническими документами: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21" w:leader="none"/>
              </w:tabs>
              <w:suppressAutoHyphens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 Правила технической эксплуатации электрических станций и сетей Российской Федерации. Утверждены приказом № 1070 от 04.10.2022 Минэнерго России;</w:t>
            </w:r>
          </w:p>
          <w:p>
            <w:pPr>
              <w:pStyle w:val="ListParagraph"/>
              <w:widowControl w:val="false"/>
              <w:numPr>
                <w:ilvl w:val="0"/>
                <w:numId w:val="8"/>
              </w:numPr>
              <w:tabs>
                <w:tab w:val="clear" w:pos="720"/>
                <w:tab w:val="left" w:pos="73" w:leader="none"/>
                <w:tab w:val="left" w:pos="226" w:leader="none"/>
              </w:tabs>
              <w:suppressAutoHyphens w:val="false"/>
              <w:spacing w:before="0" w:after="0"/>
              <w:ind w:hanging="0" w:left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i/>
                <w:iCs/>
                <w:kern w:val="0"/>
                <w:lang w:val="ru-RU" w:eastAsia="ru-RU" w:bidi="ar-SA"/>
              </w:rPr>
              <w:t>СТО РусГидро 02.03.130-2021 «Электрические станции и сети. Техническое освидетельствование основного и вспомогательного оборудования, технологических систем, зданий и сооружений. Нормы и требования.»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i/>
                <w:iCs/>
                <w:color w:val="000000"/>
                <w:kern w:val="0"/>
                <w:lang w:val="ru-RU" w:eastAsia="ru-RU" w:bidi="ar-SA"/>
              </w:rPr>
              <w:t xml:space="preserve">- Приказ Минтруда России от 15.12.2022г. об утверждении Правил по охране труда при эксплуатации электроустановок </w:t>
            </w:r>
            <w:r>
              <w:rPr>
                <w:rFonts w:eastAsia="Times New Roman" w:cs="Times New Roman"/>
                <w:i/>
                <w:iCs/>
                <w:color w:val="000000"/>
                <w:kern w:val="0"/>
                <w:lang w:val="ru-RU" w:eastAsia="ru-RU" w:bidi="ar-SA"/>
              </w:rPr>
              <w:t>(в действующей редакции);</w:t>
            </w:r>
          </w:p>
          <w:p>
            <w:pPr>
              <w:pStyle w:val="Normal"/>
              <w:widowControl w:val="false"/>
              <w:suppressAutoHyphens w:val="false"/>
              <w:spacing w:lineRule="auto" w:line="276" w:before="0" w:after="200"/>
              <w:contextualSpacing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i/>
                <w:iCs/>
                <w:kern w:val="0"/>
                <w:sz w:val="24"/>
                <w:szCs w:val="24"/>
                <w:lang w:val="ru-RU" w:eastAsia="ru-RU" w:bidi="ar-SA"/>
              </w:rPr>
              <w:t>- Федеральный закон №117-ФЗ от 21.07.1997г. «О безопасности гидротехнических сооружений».</w:t>
            </w:r>
          </w:p>
          <w:p>
            <w:pPr>
              <w:pStyle w:val="Normal"/>
              <w:widowControl w:val="false"/>
              <w:suppressAutoHyphens w:val="false"/>
              <w:spacing w:lineRule="auto" w:line="276" w:before="0" w:after="200"/>
              <w:contextualSpacing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i/>
                <w:iCs/>
                <w:kern w:val="0"/>
                <w:sz w:val="24"/>
                <w:szCs w:val="24"/>
                <w:lang w:val="ru-RU" w:eastAsia="ru-RU" w:bidi="ar-SA"/>
              </w:rPr>
              <w:t>- СТО РусГидро 05.02.126-2020 «Правила организации безопасного обслуживания гидротехнических сооружений, гидросилового и гидромеханического оборудования гидроэлектростанций».</w:t>
            </w:r>
          </w:p>
          <w:p>
            <w:pPr>
              <w:pStyle w:val="Normal"/>
              <w:widowControl w:val="false"/>
              <w:suppressAutoHyphens w:val="false"/>
              <w:spacing w:lineRule="auto" w:line="276" w:before="0" w:after="200"/>
              <w:contextualSpacing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i/>
                <w:iCs/>
                <w:kern w:val="0"/>
                <w:sz w:val="24"/>
                <w:szCs w:val="24"/>
                <w:lang w:val="ru-RU" w:eastAsia="ru-RU" w:bidi="ar-SA"/>
              </w:rPr>
              <w:t>- Правилами по охране труда при работе на высоте (утв. приказом Министерства труда и социальной защиты Российской Федерации № 782н2 от 16.11.2020).</w:t>
            </w:r>
          </w:p>
          <w:p>
            <w:pPr>
              <w:pStyle w:val="Normal"/>
              <w:widowControl w:val="false"/>
              <w:suppressAutoHyphens w:val="false"/>
              <w:spacing w:lineRule="auto" w:line="276" w:before="0" w:after="200"/>
              <w:contextualSpacing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i/>
                <w:iCs/>
                <w:kern w:val="0"/>
                <w:sz w:val="24"/>
                <w:szCs w:val="24"/>
                <w:lang w:val="ru-RU" w:eastAsia="ru-RU" w:bidi="ar-SA"/>
              </w:rPr>
              <w:t>- Правил по охране труда при погрузочно-разгрузочных работах и размещении грузов (приказ Минтруда России от 28.10.2020 № 753н).</w:t>
            </w:r>
          </w:p>
          <w:p>
            <w:pPr>
              <w:pStyle w:val="Normal"/>
              <w:widowControl w:val="false"/>
              <w:suppressAutoHyphens w:val="false"/>
              <w:spacing w:lineRule="auto" w:line="276" w:before="0" w:after="200"/>
              <w:contextualSpacing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i/>
                <w:iCs/>
                <w:kern w:val="0"/>
                <w:sz w:val="24"/>
                <w:szCs w:val="24"/>
                <w:lang w:val="ru-RU" w:eastAsia="ru-RU" w:bidi="ar-SA"/>
              </w:rPr>
              <w:t>- Правила по охране труда при работе с инструментом и приспособлениями (приказ Минтруда России от 27.11.2020 № 835н).</w:t>
            </w:r>
          </w:p>
          <w:p>
            <w:pPr>
              <w:pStyle w:val="Normal"/>
              <w:widowControl w:val="false"/>
              <w:suppressAutoHyphens w:val="false"/>
              <w:spacing w:lineRule="auto" w:line="276" w:before="0" w:after="200"/>
              <w:contextualSpacing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i/>
                <w:iCs/>
                <w:kern w:val="0"/>
                <w:sz w:val="24"/>
                <w:szCs w:val="24"/>
                <w:lang w:val="ru-RU" w:eastAsia="ru-RU" w:bidi="ar-SA"/>
              </w:rPr>
              <w:t>- Правила противопожарного режима в РФ (утв. постановлением РФ от 16.09.2020 № 1479 в действующей редакции).</w:t>
            </w:r>
          </w:p>
          <w:p>
            <w:pPr>
              <w:pStyle w:val="Normal"/>
              <w:widowControl w:val="false"/>
              <w:suppressAutoHyphens w:val="false"/>
              <w:spacing w:lineRule="auto" w:line="276" w:before="0" w:after="200"/>
              <w:contextualSpacing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i/>
                <w:iCs/>
                <w:kern w:val="0"/>
                <w:sz w:val="24"/>
                <w:szCs w:val="24"/>
                <w:lang w:val="ru-RU" w:eastAsia="ru-RU" w:bidi="ar-SA"/>
              </w:rPr>
              <w:t>- Правила пожарной безопасности для энергетических предприятий (РД 153-34.0-03.301-00).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 «Правила противопожарного режима в Российской Федерации» утв. постановлением Правительства Российской Федерации от  16 сентября 2020 г. № 1479);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 Федеральный Закон от 21.12.1994 № 69-ФЗ «О пожарной безопасности»;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 ГОСТ Р 70750-2023 Гидроэлектростанции. Гидротехнические сооружения. Подводно-техническое обследование состояния гидротехнических сооружений и примыкающих к ним участков неукрепленного русла.</w:t>
            </w:r>
          </w:p>
        </w:tc>
        <w:tc>
          <w:tcPr>
            <w:tcW w:w="184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21" w:type="dxa"/>
            <w:tcBorders>
              <w:top w:val="nil"/>
            </w:tcBorders>
            <w:shd w:color="auto" w:fill="auto" w:val="clear"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12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69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0" w:left="1224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8221" w:type="dxa"/>
            <w:gridSpan w:val="3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Краткое описание характера работ</w:t>
            </w:r>
          </w:p>
        </w:tc>
        <w:tc>
          <w:tcPr>
            <w:tcW w:w="184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221" w:type="dxa"/>
            <w:tcBorders>
              <w:top w:val="nil"/>
            </w:tcBorders>
            <w:shd w:color="auto" w:fill="auto" w:val="clear"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12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69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1199" w:left="1224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2355" w:type="dxa"/>
            <w:tcBorders/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Подготовительные работы</w:t>
            </w:r>
          </w:p>
        </w:tc>
        <w:tc>
          <w:tcPr>
            <w:tcW w:w="5866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/>
                <w:kern w:val="0"/>
                <w:lang w:val="ru-RU" w:eastAsia="ru-RU" w:bidi="ar-SA"/>
              </w:rPr>
            </w:pPr>
            <w:r>
              <w:rPr>
                <w:rFonts w:eastAsia="Times New Roman" w:cs="Calibri"/>
                <w:i/>
                <w:iCs/>
                <w:kern w:val="0"/>
                <w:sz w:val="24"/>
                <w:szCs w:val="24"/>
                <w:lang w:val="ru-RU" w:eastAsia="ru-RU" w:bidi="ar-SA"/>
              </w:rPr>
              <w:t>1. Анализ проектной и исполнительной документации сооружений, результатов предыдущих обследований, ознакомление с ранее выполненными работами по ремонту и обследованиям объекта.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/>
                <w:kern w:val="0"/>
                <w:lang w:val="ru-RU" w:eastAsia="ru-RU" w:bidi="ar-SA"/>
              </w:rPr>
            </w:pPr>
            <w:r>
              <w:rPr>
                <w:rFonts w:eastAsia="Times New Roman" w:cs="Calibri"/>
                <w:i/>
                <w:iCs/>
                <w:kern w:val="0"/>
                <w:sz w:val="24"/>
                <w:szCs w:val="24"/>
                <w:lang w:val="ru-RU" w:eastAsia="ru-RU" w:bidi="ar-SA"/>
              </w:rPr>
              <w:t>2. Разработка программы проведения подводно-технического обследования. Программа в обязательном порядке должна быть согласована с Заказчиком.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/>
                <w:kern w:val="0"/>
                <w:lang w:val="ru-RU" w:eastAsia="ru-RU" w:bidi="ar-SA"/>
              </w:rPr>
            </w:pPr>
            <w:r>
              <w:rPr>
                <w:rFonts w:eastAsia="Times New Roman" w:cs="Calibri"/>
                <w:i/>
                <w:iCs/>
                <w:kern w:val="0"/>
                <w:sz w:val="24"/>
                <w:szCs w:val="24"/>
                <w:lang w:val="ru-RU" w:eastAsia="ru-RU" w:bidi="ar-SA"/>
              </w:rPr>
              <w:t>3. Создание в цифровом виде планово-высотной основы для выполнения работ на обследуемых участках в местной системе координат.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/>
                <w:kern w:val="0"/>
                <w:lang w:val="ru-RU" w:eastAsia="ru-RU" w:bidi="ar-SA"/>
              </w:rPr>
            </w:pPr>
            <w:r>
              <w:rPr>
                <w:rFonts w:eastAsia="Times New Roman" w:cs="Calibri"/>
                <w:i/>
                <w:iCs/>
                <w:kern w:val="0"/>
                <w:sz w:val="24"/>
                <w:szCs w:val="24"/>
                <w:lang w:val="ru-RU" w:eastAsia="ru-RU" w:bidi="ar-SA"/>
              </w:rPr>
              <w:t>4. Организация уровенных наблюдений. Для контроля трехмерного позиционирования гидрографического (телевизионного) комплекса при выполнении ПТО с помощью спутниковой геодезической аппаратуры должны быть использованы данные телеметрии со штатных уровенных постов ГТС.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/>
                <w:kern w:val="0"/>
                <w:lang w:val="ru-RU" w:eastAsia="ru-RU" w:bidi="ar-SA"/>
              </w:rPr>
            </w:pPr>
            <w:r>
              <w:rPr>
                <w:rFonts w:eastAsia="Times New Roman" w:cs="Calibri"/>
                <w:i/>
                <w:iCs/>
                <w:kern w:val="0"/>
                <w:sz w:val="24"/>
                <w:szCs w:val="24"/>
                <w:lang w:val="ru-RU" w:eastAsia="ru-RU" w:bidi="ar-SA"/>
              </w:rPr>
              <w:t>5. Создание каталога постоянных опорных точек геодезической сети; производство геодезических измерений (вычисление координат пунктов, выравнивание и сгущение сетки и т.д.)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/>
                <w:kern w:val="0"/>
                <w:lang w:val="ru-RU" w:eastAsia="ru-RU" w:bidi="ar-SA"/>
              </w:rPr>
            </w:pPr>
            <w:r>
              <w:rPr>
                <w:rFonts w:eastAsia="Times New Roman" w:cs="Calibri"/>
                <w:i/>
                <w:iCs/>
                <w:kern w:val="0"/>
                <w:sz w:val="24"/>
                <w:szCs w:val="24"/>
                <w:lang w:val="ru-RU" w:eastAsia="ru-RU" w:bidi="ar-SA"/>
              </w:rPr>
              <w:t>6. Работы необходимо выполнять в соответствии с ГОСТ Р 70750-2023 Гидроэлектростанции. Гидротехнические сооружения. Подводно-техническое обследование состояния гидротехнических сооружений и примыкающих к ним участков неукрепленного русла</w:t>
            </w:r>
          </w:p>
        </w:tc>
        <w:tc>
          <w:tcPr>
            <w:tcW w:w="18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69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1199" w:left="1224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2355" w:type="dxa"/>
            <w:tcBorders/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Проведение площадного гидроакустического обследования</w:t>
            </w:r>
          </w:p>
        </w:tc>
        <w:tc>
          <w:tcPr>
            <w:tcW w:w="5866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166" w:leader="none"/>
                <w:tab w:val="left" w:pos="436" w:leader="none"/>
                <w:tab w:val="left" w:pos="646" w:leader="none"/>
              </w:tabs>
              <w:suppressAutoHyphens w:val="true"/>
              <w:spacing w:before="0" w:after="0"/>
              <w:jc w:val="both"/>
              <w:rPr>
                <w:rFonts w:ascii="Times New Roman" w:hAnsi="Times New Roman" w:eastAsia="Times New Roman"/>
                <w:kern w:val="0"/>
                <w:lang w:val="ru-RU" w:eastAsia="ru-RU" w:bidi="ar-SA"/>
              </w:rPr>
            </w:pPr>
            <w:r>
              <w:rPr>
                <w:rFonts w:eastAsia="Times New Roman" w:cs="Calibri"/>
                <w:i/>
                <w:iCs/>
                <w:kern w:val="0"/>
                <w:sz w:val="24"/>
                <w:szCs w:val="24"/>
                <w:lang w:val="ru-RU" w:eastAsia="ru-RU" w:bidi="ar-SA"/>
              </w:rPr>
              <w:t xml:space="preserve">   </w:t>
            </w:r>
            <w:r>
              <w:rPr>
                <w:rFonts w:eastAsia="Times New Roman" w:cs="Calibri"/>
                <w:i/>
                <w:iCs/>
                <w:kern w:val="0"/>
                <w:sz w:val="24"/>
                <w:szCs w:val="24"/>
                <w:lang w:val="ru-RU" w:eastAsia="ru-RU" w:bidi="ar-SA"/>
              </w:rPr>
              <w:t>1. Подводно-техническое обследование поверхности дна, в том числе рекогносцировочный промер;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66" w:leader="none"/>
                <w:tab w:val="left" w:pos="436" w:leader="none"/>
              </w:tabs>
              <w:suppressAutoHyphens w:val="true"/>
              <w:spacing w:before="0" w:after="0"/>
              <w:jc w:val="both"/>
              <w:rPr>
                <w:rFonts w:ascii="Times New Roman" w:hAnsi="Times New Roman" w:eastAsia="Times New Roman"/>
                <w:kern w:val="0"/>
                <w:lang w:val="ru-RU" w:eastAsia="ru-RU" w:bidi="ar-SA"/>
              </w:rPr>
            </w:pPr>
            <w:r>
              <w:rPr>
                <w:rFonts w:eastAsia="Times New Roman" w:cs="Calibri"/>
                <w:i/>
                <w:iCs/>
                <w:kern w:val="0"/>
                <w:sz w:val="24"/>
                <w:szCs w:val="24"/>
                <w:lang w:val="ru-RU" w:eastAsia="ru-RU" w:bidi="ar-SA"/>
              </w:rPr>
              <w:t xml:space="preserve">  </w:t>
            </w:r>
            <w:r>
              <w:rPr>
                <w:rFonts w:eastAsia="Times New Roman" w:cs="Calibri"/>
                <w:i/>
                <w:iCs/>
                <w:kern w:val="0"/>
                <w:sz w:val="24"/>
                <w:szCs w:val="24"/>
                <w:lang w:val="ru-RU" w:eastAsia="ru-RU" w:bidi="ar-SA"/>
              </w:rPr>
              <w:t>2. При обнаружении гидроакустическим методом или другими методами разрушений и деформаций бетонных поверхностей, конструкций крепления дна и берегов и недостаточности гидроакустических данных следует выполнить дополнительное обследование с применением площадной фото-, видеосъемки локальных участков в местах разрушений и деформаций.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66" w:leader="none"/>
                <w:tab w:val="left" w:pos="436" w:leader="none"/>
              </w:tabs>
              <w:suppressAutoHyphens w:val="true"/>
              <w:spacing w:before="0" w:after="0"/>
              <w:jc w:val="both"/>
              <w:rPr>
                <w:rFonts w:ascii="Times New Roman" w:hAnsi="Times New Roman" w:eastAsia="Times New Roman"/>
                <w:kern w:val="0"/>
                <w:lang w:val="ru-RU" w:eastAsia="ru-RU" w:bidi="ar-SA"/>
              </w:rPr>
            </w:pPr>
            <w:r>
              <w:rPr>
                <w:rFonts w:eastAsia="Times New Roman" w:cs="Calibri"/>
                <w:i/>
                <w:iCs/>
                <w:kern w:val="0"/>
                <w:sz w:val="24"/>
                <w:szCs w:val="24"/>
                <w:lang w:val="ru-RU" w:eastAsia="ru-RU" w:bidi="ar-SA"/>
              </w:rPr>
              <w:t xml:space="preserve">   </w:t>
            </w:r>
            <w:r>
              <w:rPr>
                <w:rFonts w:eastAsia="Times New Roman" w:cs="Calibri"/>
                <w:i/>
                <w:iCs/>
                <w:kern w:val="0"/>
                <w:sz w:val="24"/>
                <w:szCs w:val="24"/>
                <w:lang w:val="ru-RU" w:eastAsia="ru-RU" w:bidi="ar-SA"/>
              </w:rPr>
              <w:t>3. При необходимости получения дополнительной информации о состоянии элементов ГТС или выявленных разрушений и деформаций проводится водолазное обследование с инструментальной оценкой дефектов (глубины, ширины, площади, объема).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66" w:leader="none"/>
                <w:tab w:val="left" w:pos="436" w:leader="none"/>
              </w:tabs>
              <w:suppressAutoHyphens w:val="true"/>
              <w:spacing w:before="0" w:after="0"/>
              <w:jc w:val="both"/>
              <w:rPr>
                <w:rFonts w:ascii="Times New Roman" w:hAnsi="Times New Roman" w:eastAsia="Times New Roman"/>
                <w:kern w:val="0"/>
                <w:lang w:val="ru-RU" w:eastAsia="ru-RU" w:bidi="ar-SA"/>
              </w:rPr>
            </w:pPr>
            <w:r>
              <w:rPr>
                <w:rFonts w:eastAsia="Times New Roman" w:cs="Calibri"/>
                <w:i/>
                <w:iCs/>
                <w:kern w:val="0"/>
                <w:sz w:val="24"/>
                <w:szCs w:val="24"/>
                <w:lang w:val="ru-RU" w:eastAsia="ru-RU" w:bidi="ar-SA"/>
              </w:rPr>
              <w:t xml:space="preserve">    </w:t>
            </w:r>
            <w:r>
              <w:rPr>
                <w:rFonts w:eastAsia="Times New Roman" w:cs="Calibri"/>
                <w:i/>
                <w:iCs/>
                <w:kern w:val="0"/>
                <w:sz w:val="24"/>
                <w:szCs w:val="24"/>
                <w:lang w:val="ru-RU" w:eastAsia="ru-RU" w:bidi="ar-SA"/>
              </w:rPr>
              <w:t>4. Требования к точности дообследования (п.2, п.3), его объемы, стоимость и сроки согласовываются с заказчиком дополнительно.</w:t>
            </w:r>
          </w:p>
        </w:tc>
        <w:tc>
          <w:tcPr>
            <w:tcW w:w="18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69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1199" w:left="1224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2355" w:type="dxa"/>
            <w:tcBorders/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Камеральная обработка результатов съемок</w:t>
            </w:r>
          </w:p>
        </w:tc>
        <w:tc>
          <w:tcPr>
            <w:tcW w:w="5866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/>
                <w:kern w:val="0"/>
                <w:lang w:val="ru-RU" w:eastAsia="ru-RU" w:bidi="ar-SA"/>
              </w:rPr>
            </w:pPr>
            <w:r>
              <w:rPr>
                <w:rFonts w:eastAsia="Times New Roman" w:cs="Calibri"/>
                <w:i/>
                <w:iCs/>
                <w:kern w:val="0"/>
                <w:sz w:val="24"/>
                <w:szCs w:val="24"/>
                <w:lang w:val="ru-RU" w:eastAsia="ru-RU" w:bidi="ar-SA"/>
              </w:rPr>
              <w:t>1. Подготовка картографических и других приложений в составе: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/>
                <w:kern w:val="0"/>
                <w:lang w:val="ru-RU" w:eastAsia="ru-RU" w:bidi="ar-SA"/>
              </w:rPr>
            </w:pPr>
            <w:r>
              <w:rPr>
                <w:rFonts w:eastAsia="Times New Roman" w:cs="Calibri"/>
                <w:i/>
                <w:iCs/>
                <w:kern w:val="0"/>
                <w:sz w:val="24"/>
                <w:szCs w:val="24"/>
                <w:lang w:val="ru-RU" w:eastAsia="ru-RU" w:bidi="ar-SA"/>
              </w:rPr>
              <w:t>1.1 конструктивная схема гидроузла: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/>
                <w:kern w:val="0"/>
                <w:lang w:val="ru-RU" w:eastAsia="ru-RU" w:bidi="ar-SA"/>
              </w:rPr>
            </w:pPr>
            <w:r>
              <w:rPr>
                <w:rFonts w:eastAsia="Times New Roman" w:cs="Calibri"/>
                <w:i/>
                <w:iCs/>
                <w:kern w:val="0"/>
                <w:sz w:val="24"/>
                <w:szCs w:val="24"/>
                <w:lang w:val="ru-RU" w:eastAsia="ru-RU" w:bidi="ar-SA"/>
              </w:rPr>
              <w:t>1.2 карта рельефа дна в масштабе М 1:1000 – с горизонталями сечением не менее общей погрешности съемки;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/>
                <w:kern w:val="0"/>
                <w:lang w:val="ru-RU" w:eastAsia="ru-RU" w:bidi="ar-SA"/>
              </w:rPr>
            </w:pPr>
            <w:r>
              <w:rPr>
                <w:rFonts w:eastAsia="Times New Roman" w:cs="Calibri"/>
                <w:i/>
                <w:iCs/>
                <w:kern w:val="0"/>
                <w:sz w:val="24"/>
                <w:szCs w:val="24"/>
                <w:lang w:val="ru-RU" w:eastAsia="ru-RU" w:bidi="ar-SA"/>
              </w:rPr>
              <w:t>1.3 карта отклонений отметок дна по результатам выполненного обследования от проектных отметок и от результатов предшествующего обследования 2023 (отводящие каналы здания ГЭС и ВСП) и 2018 года (акватория земляной плотины) в масштабе М 1:1000;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/>
                <w:kern w:val="0"/>
                <w:lang w:val="ru-RU" w:eastAsia="ru-RU" w:bidi="ar-SA"/>
              </w:rPr>
            </w:pPr>
            <w:r>
              <w:rPr>
                <w:rFonts w:eastAsia="Times New Roman" w:cs="Calibri"/>
                <w:i/>
                <w:iCs/>
                <w:kern w:val="0"/>
                <w:sz w:val="24"/>
                <w:szCs w:val="24"/>
                <w:lang w:val="ru-RU" w:eastAsia="ru-RU" w:bidi="ar-SA"/>
              </w:rPr>
              <w:t>1.4 схемы расположения профилей сечений;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/>
                <w:kern w:val="0"/>
                <w:lang w:val="ru-RU" w:eastAsia="ru-RU" w:bidi="ar-SA"/>
              </w:rPr>
            </w:pPr>
            <w:r>
              <w:rPr>
                <w:rFonts w:eastAsia="Times New Roman" w:cs="Calibri"/>
                <w:i/>
                <w:iCs/>
                <w:kern w:val="0"/>
                <w:sz w:val="24"/>
                <w:szCs w:val="24"/>
                <w:lang w:val="ru-RU" w:eastAsia="ru-RU" w:bidi="ar-SA"/>
              </w:rPr>
              <w:t>1.5 профилей (поперечные и продольные);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/>
                <w:kern w:val="0"/>
                <w:lang w:val="ru-RU" w:eastAsia="ru-RU" w:bidi="ar-SA"/>
              </w:rPr>
            </w:pPr>
            <w:r>
              <w:rPr>
                <w:rFonts w:eastAsia="Times New Roman" w:cs="Calibri"/>
                <w:i/>
                <w:iCs/>
                <w:kern w:val="0"/>
                <w:sz w:val="24"/>
                <w:szCs w:val="24"/>
                <w:lang w:val="ru-RU" w:eastAsia="ru-RU" w:bidi="ar-SA"/>
              </w:rPr>
              <w:t>1.6 акустического изображения дна. Акустическое изображение строится на основе мозаики ГБО/ГКО или светотеневой модели рельефа по данным МЛЭ, ЗО-сканера и т. п.;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/>
                <w:kern w:val="0"/>
                <w:lang w:val="ru-RU" w:eastAsia="ru-RU" w:bidi="ar-SA"/>
              </w:rPr>
            </w:pPr>
            <w:r>
              <w:rPr>
                <w:rFonts w:eastAsia="Times New Roman" w:cs="Calibri"/>
                <w:i/>
                <w:iCs/>
                <w:kern w:val="0"/>
                <w:sz w:val="24"/>
                <w:szCs w:val="24"/>
                <w:lang w:val="ru-RU" w:eastAsia="ru-RU" w:bidi="ar-SA"/>
              </w:rPr>
              <w:t>1.7 ведомостей дефектов;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/>
                <w:kern w:val="0"/>
                <w:lang w:val="ru-RU" w:eastAsia="ru-RU" w:bidi="ar-SA"/>
              </w:rPr>
            </w:pPr>
            <w:r>
              <w:rPr>
                <w:rFonts w:eastAsia="Times New Roman" w:cs="Calibri"/>
                <w:i/>
                <w:iCs/>
                <w:kern w:val="0"/>
                <w:sz w:val="24"/>
                <w:szCs w:val="24"/>
                <w:lang w:val="ru-RU" w:eastAsia="ru-RU" w:bidi="ar-SA"/>
              </w:rPr>
              <w:t>1.8 фотографических изображений участков подводной поверхности с отображением обнаруженных разрушений и деформаций, посторонних предметов (при наличии) с указанием их местоположения в системе координат обследуемого объекта.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/>
                <w:kern w:val="0"/>
                <w:lang w:val="ru-RU" w:eastAsia="ru-RU" w:bidi="ar-SA"/>
              </w:rPr>
            </w:pPr>
            <w:r>
              <w:rPr>
                <w:rFonts w:eastAsia="Times New Roman" w:cs="Calibri"/>
                <w:i/>
                <w:iCs/>
                <w:kern w:val="0"/>
                <w:sz w:val="24"/>
                <w:szCs w:val="24"/>
                <w:lang w:val="ru-RU" w:eastAsia="ru-RU" w:bidi="ar-SA"/>
              </w:rPr>
              <w:t>2. Подготовка и представление Заказчику технического отчета о выполненной работе.</w:t>
            </w:r>
          </w:p>
        </w:tc>
        <w:tc>
          <w:tcPr>
            <w:tcW w:w="18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6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8221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Основные требуемые параметры</w:t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69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0" w:left="1224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2363" w:type="dxa"/>
            <w:gridSpan w:val="2"/>
            <w:tcBorders>
              <w:right w:val="nil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i/>
                <w:iCs/>
                <w:kern w:val="0"/>
                <w:sz w:val="24"/>
                <w:szCs w:val="24"/>
                <w:lang w:val="ru-RU" w:eastAsia="ru-RU" w:bidi="ar-SA"/>
              </w:rPr>
              <w:t>Требования к выполнению работы</w:t>
            </w:r>
          </w:p>
        </w:tc>
        <w:tc>
          <w:tcPr>
            <w:tcW w:w="5858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4357" w:leader="none"/>
              </w:tabs>
              <w:suppressAutoHyphens w:val="false"/>
              <w:spacing w:before="0" w:after="0"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При оказании услуг на территории филиала ПАО «РусГидро»-«Жигулевская ГЭС» необходимо соблюдать: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357" w:leader="none"/>
              </w:tabs>
              <w:suppressAutoHyphens w:val="false"/>
              <w:spacing w:before="0" w:after="0"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 Правила внутреннего трудового распорядка и требования пропускного и внутри объектового режимов предприятия Заказчика (Приложение №7 к ТТ).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357" w:leader="none"/>
              </w:tabs>
              <w:suppressAutoHyphens w:val="false"/>
              <w:spacing w:before="0" w:after="0"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 Требования в области охраны окружающей среды к подрядным организациям, выполняющим работы (строительные, монтажные, ремонтные и др.) на территории Филиала (Приложение №2 к ТТ).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 Требования нормативных документов по охране труда, промышленной и пожарной безопасности.</w:t>
            </w:r>
            <w:r>
              <w:rPr>
                <w:rFonts w:eastAsia="Times New Roman" w:cs="Times New Roman"/>
                <w:bCs/>
                <w:i/>
                <w:iCs/>
                <w:kern w:val="0"/>
                <w:sz w:val="24"/>
                <w:szCs w:val="24"/>
                <w:lang w:val="ru-RU" w:eastAsia="ru-RU" w:bidi="ar-SA"/>
              </w:rPr>
              <w:t xml:space="preserve"> правил Ростехнадзора, а также другой действующей в настоящее время НТД.</w:t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21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69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14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2355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false"/>
              <w:spacing w:before="60" w:after="0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Организационно-технические мероприятия по допуску персонала исполнителя</w:t>
            </w:r>
          </w:p>
        </w:tc>
        <w:tc>
          <w:tcPr>
            <w:tcW w:w="5866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both"/>
              <w:rPr/>
            </w:pPr>
            <w:r>
              <w:rPr>
                <w:rFonts w:eastAsia="Times New Roman" w:cs="Times New Roman"/>
                <w:bCs/>
                <w:i/>
                <w:iCs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- Организационно-технические мероприятия по допуску персонала Исполнителя к оказанию услуг осуществляются на основании Регламента в соответствии с </w:t>
            </w:r>
            <w:r>
              <w:rPr>
                <w:rStyle w:val="Hyperlink"/>
                <w:rFonts w:eastAsia="Times New Roman" w:cs="Times New Roman"/>
                <w:bCs/>
                <w:i/>
                <w:iCs/>
                <w:color w:val="000000"/>
                <w:kern w:val="0"/>
                <w:sz w:val="24"/>
                <w:szCs w:val="24"/>
                <w:u w:val="none"/>
                <w:lang w:val="ru-RU" w:eastAsia="ru-RU" w:bidi="ar-SA"/>
              </w:rPr>
              <w:t>Приказом № 300 28.04.2023 «Методика допуска персонала подрядных организаций к выполнению работ на объектах Общества» (Приложение № 4 к ТТ).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both"/>
              <w:rPr/>
            </w:pPr>
            <w:r>
              <w:rPr>
                <w:rStyle w:val="Hyperlink"/>
                <w:rFonts w:eastAsia="Times New Roman" w:cs="Times New Roman"/>
                <w:bCs/>
                <w:i/>
                <w:iCs/>
                <w:color w:val="000000"/>
                <w:kern w:val="0"/>
                <w:sz w:val="24"/>
                <w:szCs w:val="24"/>
                <w:u w:val="none"/>
                <w:lang w:val="ru-RU" w:eastAsia="ru-RU" w:bidi="ar-SA"/>
              </w:rPr>
              <w:t xml:space="preserve">- </w:t>
            </w:r>
            <w:r>
              <w:rPr>
                <w:rStyle w:val="Hyperlink"/>
                <w:rFonts w:eastAsia="Calibri" w:cs="Times New Roman"/>
                <w:bCs/>
                <w:i/>
                <w:iCs/>
                <w:color w:val="000000"/>
                <w:kern w:val="0"/>
                <w:sz w:val="24"/>
                <w:szCs w:val="24"/>
                <w:u w:val="none"/>
                <w:lang w:val="ru-RU" w:eastAsia="ru-RU" w:bidi="ar-SA"/>
              </w:rPr>
              <w:t>Подготовку рабочих мест и допуск к оказанию услуг выполняет персонал Заказчика.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 Исполнитель должен обеспечить спецодеждой и средствами индивидуальной защиты свой персонал на время оказания услуги.</w:t>
            </w:r>
          </w:p>
        </w:tc>
        <w:tc>
          <w:tcPr>
            <w:tcW w:w="184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21" w:type="dxa"/>
            <w:tcBorders>
              <w:top w:val="nil"/>
            </w:tcBorders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127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69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14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235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Требование к способам оказания услуг охраны</w:t>
            </w:r>
          </w:p>
        </w:tc>
        <w:tc>
          <w:tcPr>
            <w:tcW w:w="5866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Применять досмотровые технические средства охраны (переносные и стационарные), имеющиеся на охраняемом Объекте, с целью недопущения проноса (провоза) на охраняемый Объект вооружения, взрывчатых веществ и самодельных взрывных устройств, и их элементов, а также других запрещенных предметов.</w:t>
            </w:r>
          </w:p>
        </w:tc>
        <w:tc>
          <w:tcPr>
            <w:tcW w:w="184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21" w:type="dxa"/>
            <w:tcBorders>
              <w:top w:val="nil"/>
            </w:tcBorders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127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69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14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235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 xml:space="preserve">Требования к </w:t>
            </w:r>
            <w:r>
              <w:rPr>
                <w:rFonts w:eastAsia="Times New Roman" w:cs="Times New Roman"/>
                <w:bCs/>
                <w:i/>
                <w:iCs/>
                <w:kern w:val="0"/>
                <w:sz w:val="24"/>
                <w:szCs w:val="24"/>
                <w:lang w:val="ru-RU" w:eastAsia="ru-RU" w:bidi="ar-SA"/>
              </w:rPr>
              <w:t xml:space="preserve">собственному или          арендуемому  </w:t>
            </w:r>
            <w:r>
              <w:rPr>
                <w:rFonts w:eastAsia="Times New Roman" w:cs="Times New Roman"/>
                <w:bCs/>
                <w:i/>
                <w:iCs/>
                <w:kern w:val="0"/>
                <w:sz w:val="24"/>
                <w:szCs w:val="24"/>
                <w:lang w:val="ru-RU" w:eastAsia="x-none" w:bidi="ar-SA"/>
              </w:rPr>
              <w:t>оборудованию</w:t>
            </w:r>
          </w:p>
        </w:tc>
        <w:tc>
          <w:tcPr>
            <w:tcW w:w="5866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x-none" w:bidi="ar-SA"/>
              </w:rPr>
              <w:t>До заключения договора исполнитель представляет документы, подтверждающие наличие необходимого методического, инструментального, приборного обеспечения (Приложение 8):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x-none" w:bidi="ar-SA"/>
              </w:rPr>
              <w:t>- Наличие сертифицированных гидрографических, геодезических и подводных комплексов. Изготовленные в зарубежных странах измерительные и телевизионные комплексы должны иметь официальные технические характеристики, обеспечивающие по данным фирмы-изготовителя заданную точность. Копии паспортов с указанием технических характеристик аппаратуры должны быть представлены в конкурсной документации. Технические характеристики аппаратуры для профессиональных подводно-технических обследований должны соответствовать требованиям ГОСТ Р 70750-2023 Гидроэлектростанции. Гидротехнические сооружения. Подводно-техническое обследование состояния гидротехнических сооружений и примыкающих к ним участков неукрепленного русла (Приложение В). Копии паспортов с указанием технических характеристик аппаратуры должны быть представлены в конкурсной документации.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x-none" w:bidi="ar-SA"/>
              </w:rPr>
              <w:t>- Наличие специализированных плавсредств: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x-none" w:bidi="ar-SA"/>
              </w:rPr>
              <w:t>1) обеспечивающих навигационную безопасность в специфических условиях нижнего бьефа водопропускного сооружения;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x-none" w:bidi="ar-SA"/>
              </w:rPr>
              <w:t>2) имеющих регистрацию в государственной инспекции по маломерным судам МЧС России (ГИМС) с судовым билетом с отметкой о годности плавания или в Российском Речном Регистре (РРР) со свидетельством о годности к плаванию.</w:t>
            </w:r>
          </w:p>
        </w:tc>
        <w:tc>
          <w:tcPr>
            <w:tcW w:w="184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21" w:type="dxa"/>
            <w:tcBorders>
              <w:top w:val="nil"/>
            </w:tcBorders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i/>
                <w:iCs/>
                <w:kern w:val="0"/>
                <w:sz w:val="20"/>
                <w:szCs w:val="20"/>
                <w:lang w:val="ru-RU" w:eastAsia="ru-RU" w:bidi="ar-SA"/>
              </w:rPr>
              <w:t>Копии паспортов с указанием технических характеристик аппаратуры</w:t>
            </w:r>
          </w:p>
        </w:tc>
        <w:tc>
          <w:tcPr>
            <w:tcW w:w="2127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69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14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235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Наличие СРО</w:t>
            </w:r>
          </w:p>
        </w:tc>
        <w:tc>
          <w:tcPr>
            <w:tcW w:w="5866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x-none" w:bidi="ar-SA"/>
              </w:rPr>
              <w:t>В соответствии со ст. 55.8 Градостроительного кодекса РФ от 29.12.2004 No 190-ФЗ: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x-none" w:bidi="ar-SA"/>
              </w:rPr>
              <w:t>Участник закупки должен быть членом саморегулируемой организации, основанной на членстве лиц, выполняющих инженерные изыскания;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x-none" w:bidi="ar-SA"/>
              </w:rPr>
              <w:t>Участник должен иметь право выполнять работы в отношении объектов особо опасных, технически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x-none" w:bidi="ar-SA"/>
              </w:rPr>
              <w:t>сложных и уникальных объектов капитального строительства (кроме объектов использования атомной энергии).</w:t>
            </w:r>
          </w:p>
        </w:tc>
        <w:tc>
          <w:tcPr>
            <w:tcW w:w="184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21" w:type="dxa"/>
            <w:tcBorders>
              <w:top w:val="nil"/>
            </w:tcBorders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i/>
                <w:i/>
                <w:iCs/>
              </w:rPr>
            </w:pPr>
            <w:r>
              <w:rPr>
                <w:rFonts w:eastAsia="Times New Roman" w:cs="Times New Roman"/>
                <w:b w:val="false"/>
                <w:i/>
                <w:iCs/>
                <w:kern w:val="0"/>
                <w:sz w:val="20"/>
                <w:szCs w:val="20"/>
                <w:lang w:val="ru-RU" w:eastAsia="ru-RU" w:bidi="ar-SA"/>
              </w:rPr>
              <w:t>Выписка из СРО</w:t>
            </w:r>
          </w:p>
        </w:tc>
        <w:tc>
          <w:tcPr>
            <w:tcW w:w="2127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69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14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235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Требования к технологии и точности</w:t>
            </w:r>
          </w:p>
        </w:tc>
        <w:tc>
          <w:tcPr>
            <w:tcW w:w="5866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x-none" w:bidi="ar-SA"/>
              </w:rPr>
              <w:t>1. ПТО должно проводиться с охватом 100 % подводной поверхности ГТС, т.е. без пропусков в пределах заданного участка при достоверности конечных результатов не ниже 95 % каждым применяемым методом.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x-none" w:bidi="ar-SA"/>
              </w:rPr>
              <w:t>2. При обследовании гидроакустическим методом следует использовать специализированные гидроакустические комплексы совместно с приемниками ГНСС в режиме дифференциальных поправок с точностью измерений в плане и по высоте на обследуемой акватории не более 0,10 м (относительно пунктов съемочного обоснования) с частотой не менее 1 Гц при доверительной вероятности 95 % в соответствии с ГОСТ Р 70750—2023 (приложение В).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x-none" w:bidi="ar-SA"/>
              </w:rPr>
              <w:t>3. Площадная фото- и видеосъемка должна выполняться с помощью фото- и видеоаппаратуры для подводной съемки, при помощи телевизионных подводных комплексов, ТИПА или водолазами в соответствии с ГОСТ Р 70750—2023 (пункты В.5 и В.6).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x-none" w:bidi="ar-SA"/>
              </w:rPr>
              <w:t>4. Общая погрешность результатов обследования должна быть не более 0,25 м при доверительной вероятности не менее 95 % в соответствии с ГОСТ Р 70750—2023 (пункт 5.3.8).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x-none" w:bidi="ar-SA"/>
              </w:rPr>
              <w:t>5. При отсутствии возможности трехмерного позиционирования гидрографического (телевизионного) комплекса с помощью спутниковой геодезической аппаратуры и штатных уровенных постов ГТС должны быть организованы временные уровенные посты с привязкой отметок их нулей к существующим высотным пунктам ГТС. Точность измерения уровня воды — не менее 0,02 м.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x-none" w:bidi="ar-SA"/>
              </w:rPr>
              <w:t>6. Система высот — Балтийская.</w:t>
            </w:r>
          </w:p>
        </w:tc>
        <w:tc>
          <w:tcPr>
            <w:tcW w:w="184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21" w:type="dxa"/>
            <w:tcBorders>
              <w:top w:val="nil"/>
            </w:tcBorders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127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69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14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2363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Требования к форме предоставления результата</w:t>
            </w:r>
          </w:p>
        </w:tc>
        <w:tc>
          <w:tcPr>
            <w:tcW w:w="585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false"/>
              <w:spacing w:before="0" w:after="0"/>
              <w:ind w:hanging="0" w:right="-2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Приемка работ по каждому этапу производится по факту предоставления технического отчета о выполненных работах. Документация должна быть предоставлена не позднее, чем за 14 календарных дней до окончания этапа в текущем году, в котором проводится обследование. Работы, выполняемые в рамках настоящих технических требований, считаются выполненными после подписания Акта приемки.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 xml:space="preserve">Документы представить </w:t>
            </w:r>
            <w:r>
              <w:rPr>
                <w:rFonts w:eastAsia="Times New Roman" w:cs="Times New Roman"/>
                <w:i/>
                <w:iCs/>
                <w:color w:val="000000"/>
                <w:kern w:val="0"/>
                <w:sz w:val="24"/>
                <w:szCs w:val="24"/>
                <w:lang w:val="ru-RU" w:eastAsia="ru-RU" w:bidi="ar-SA"/>
              </w:rPr>
              <w:t>на бумажном носителе в 2-х экземплярах и</w:t>
            </w: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 xml:space="preserve"> на электронном носителе в форматах *.dwg, *.vsd, *.doc, *.xls. *.</w:t>
            </w: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en-US" w:eastAsia="ru-RU" w:bidi="ar-SA"/>
              </w:rPr>
              <w:t>pdf</w:t>
            </w: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. Необходимо предоставить материалы в электронном виде в формате бесконфликтно работающих (в не редактируемом формате и  в режиме чтения, редактирования) в операционных системах «</w:t>
            </w: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en-US" w:eastAsia="ru-RU" w:bidi="ar-SA"/>
              </w:rPr>
              <w:t>Windows</w:t>
            </w: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», «</w:t>
            </w: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en-US" w:eastAsia="ru-RU" w:bidi="ar-SA"/>
              </w:rPr>
              <w:t>AlterOS</w:t>
            </w: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».</w:t>
            </w:r>
          </w:p>
        </w:tc>
        <w:tc>
          <w:tcPr>
            <w:tcW w:w="184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21" w:type="dxa"/>
            <w:tcBorders>
              <w:top w:val="nil"/>
            </w:tcBorders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127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69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14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2363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Документы, передаваемые заказчику по результатам оказанных услуг</w:t>
            </w:r>
          </w:p>
        </w:tc>
        <w:tc>
          <w:tcPr>
            <w:tcW w:w="5858" w:type="dxa"/>
            <w:tcBorders>
              <w:top w:val="nil"/>
            </w:tcBorders>
          </w:tcPr>
          <w:p>
            <w:pPr>
              <w:pStyle w:val="ListParagraph"/>
              <w:widowControl w:val="false"/>
              <w:tabs>
                <w:tab w:val="clear" w:pos="720"/>
                <w:tab w:val="left" w:pos="256" w:leader="none"/>
              </w:tabs>
              <w:suppressAutoHyphens w:val="true"/>
              <w:spacing w:before="0" w:after="0"/>
              <w:ind w:hanging="0" w:left="58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i/>
                <w:iCs/>
                <w:kern w:val="0"/>
                <w:lang w:val="ru-RU" w:eastAsia="ru-RU" w:bidi="ar-SA"/>
              </w:rPr>
              <w:t>1. Программа выполнения работ, согласованная с Заказчиком;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56" w:leader="none"/>
              </w:tabs>
              <w:suppressAutoHyphens w:val="false"/>
              <w:spacing w:before="0" w:after="0"/>
              <w:ind w:hanging="0" w:left="58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2. После проведения подводно-технического обследования исполнитель предоставляет технический отчет с приложениями (конструктивная схема гидроузла, карты рельефа дна, карты отклонений отметок дна по результатам выполненного обследования от проектных отметок и от результатов предшествующего обследования, схемы расположения профилей сечений, профили (поперечные и продольные),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акустическое изображение дна, изображения участков вертикальных поверхностей с обозначением дефектов, ведомость дефектов, фотографические изображения участков подводной поверхности с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56" w:leader="none"/>
              </w:tabs>
              <w:suppressAutoHyphens w:val="false"/>
              <w:spacing w:before="0" w:after="0"/>
              <w:ind w:hanging="0" w:left="58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отображением обнаруженных разрушений и деформаций).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56" w:leader="none"/>
              </w:tabs>
              <w:suppressAutoHyphens w:val="false"/>
              <w:spacing w:before="0" w:after="0"/>
              <w:ind w:hanging="0" w:left="58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3. Технический отчет должен содержать информацию о составе проведённых работ и полученных результатах обследований, методика проведения обследования, выводы и рекомендации. Выводы и рекомендации должны быть понятны и носить однозначный характер.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56" w:leader="none"/>
              </w:tabs>
              <w:suppressAutoHyphens w:val="false"/>
              <w:spacing w:before="0" w:after="0"/>
              <w:ind w:hanging="0" w:left="58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4. Акт приемки-сдачи оказанных услуг в двух экземплярах.</w:t>
            </w:r>
          </w:p>
        </w:tc>
        <w:tc>
          <w:tcPr>
            <w:tcW w:w="184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21" w:type="dxa"/>
            <w:tcBorders>
              <w:top w:val="nil"/>
            </w:tcBorders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127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69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14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2363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Требование к информационной безопасности</w:t>
            </w:r>
          </w:p>
        </w:tc>
        <w:tc>
          <w:tcPr>
            <w:tcW w:w="585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При пересылке файлов не допускается использование открытых файлообменных сервисов.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Требования информационной безопасности должны обеспечиваться на всех стадиях оказания услуг с учетом всех сторон, вовлеченных в процессы жизненного цикла (разработчиков, заказчиков, поставщиков продуктов и услуг, эксплуатирующих и надзорных подразделений Общества) в соответствии с Федеральными законами №152 от 27.07.2006 «О персональных данных» и № 98 от 29.07.2004 «О коммерческой тайне», а также Политикой информационной безопасности ПАО «РусГидро» в новой редакции (Приложение № 3)</w:t>
            </w:r>
          </w:p>
        </w:tc>
        <w:tc>
          <w:tcPr>
            <w:tcW w:w="184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21" w:type="dxa"/>
            <w:tcBorders>
              <w:top w:val="nil"/>
            </w:tcBorders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127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6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8221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персоналу исполнителя</w:t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6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14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20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Наличие квалифицированного персонала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i/>
                <w:i/>
                <w:iCs/>
                <w:sz w:val="24"/>
                <w:szCs w:val="24"/>
              </w:rPr>
            </w:pPr>
            <w:r>
              <w:rPr>
                <w:b/>
                <w:i/>
                <w:iCs/>
                <w:sz w:val="24"/>
                <w:szCs w:val="24"/>
              </w:rPr>
            </w:r>
          </w:p>
        </w:tc>
        <w:tc>
          <w:tcPr>
            <w:tcW w:w="5866" w:type="dxa"/>
            <w:gridSpan w:val="2"/>
            <w:tcBorders/>
          </w:tcPr>
          <w:p>
            <w:pPr>
              <w:pStyle w:val="Style17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lang w:val="ru-RU" w:eastAsia="ru-RU" w:bidi="ar-SA"/>
              </w:rPr>
              <w:t>Наличие у исполнителя или у привлекаемых субисполнителей собственного или привлеченного (по трудовым либо гражданско-правовым договорам) квалифицированного персонала в количестве и в соответствии с требованиями, указанными в Приложении №9 к ТТ. Соответствие установленному требованию подтверждается путем представления Участником закупки в составе заявки сведений по форме «Справка о кадровых ресурсах».</w:t>
            </w:r>
          </w:p>
          <w:p>
            <w:pPr>
              <w:pStyle w:val="Style17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lang w:val="ru-RU" w:eastAsia="ru-RU" w:bidi="ar-SA"/>
              </w:rPr>
              <w:t>К списку персонала, указанному в приложении № 9 к ТТ, предоставить подтверждающие документы (копии дипломов, удостоверений, свидетельств).</w:t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21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Справка о кадровых ресурсах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6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14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20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Наличие персонала согласно постановления правительства РФ № 13 от 13.01.2023</w:t>
            </w:r>
          </w:p>
        </w:tc>
        <w:tc>
          <w:tcPr>
            <w:tcW w:w="5866" w:type="dxa"/>
            <w:gridSpan w:val="2"/>
            <w:tcBorders/>
          </w:tcPr>
          <w:p>
            <w:pPr>
              <w:pStyle w:val="Style17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</w:rPr>
            </w:pPr>
            <w:r>
              <w:rPr>
                <w:rFonts w:eastAsia="Times New Roman" w:cs="Times New Roman"/>
                <w:i/>
                <w:iCs/>
                <w:kern w:val="0"/>
                <w:lang w:val="ru-RU" w:eastAsia="ru-RU" w:bidi="ar-SA"/>
              </w:rPr>
              <w:t>Наличие у исполнителя или у привлекаемых субисполнителей собственного или привлеченного (по трудовым либо гражданско-правовым договорам) квалифицированного персонала в соответствии с п. 2 положения об аттестации в области промышленной безопасности, по вопросам безопасности гидротехнических сооружений, безопасности в сфере электроэнергетики (Постановлнение правительства № 13 от 13.01.2023)</w:t>
            </w:r>
          </w:p>
          <w:p>
            <w:pPr>
              <w:pStyle w:val="Style17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</w:rPr>
            </w:pPr>
            <w:r>
              <w:rPr>
                <w:rFonts w:eastAsia="Times New Roman" w:cs="Times New Roman"/>
                <w:i/>
                <w:iCs/>
                <w:kern w:val="0"/>
                <w:lang w:val="ru-RU" w:eastAsia="ru-RU" w:bidi="ar-SA"/>
              </w:rPr>
              <w:t>Аттестацию, в том числе первичную аттестацию, в случаях, предусмотренных пунктом 3 статьи 14.1 Федерального закона "О промышленной безопасности опасных производственных объектов", абзацами третьим - шестым статьи 9.1 Федерального закона "О безопасности гидротехнических сооружений", проходят следующие категории работников:</w:t>
            </w:r>
          </w:p>
          <w:p>
            <w:pPr>
              <w:pStyle w:val="Style17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</w:rPr>
            </w:pPr>
            <w:r>
              <w:rPr>
                <w:rFonts w:eastAsia="Times New Roman" w:cs="Times New Roman"/>
                <w:i/>
                <w:iCs/>
                <w:kern w:val="0"/>
                <w:lang w:val="ru-RU" w:eastAsia="ru-RU" w:bidi="ar-SA"/>
              </w:rPr>
              <w:t>а)руководители организаций (обособленных подразделений организаций), осуществляющих проектирование, строительство, эксплуатацию, реконструкцию, капитальный ремонт, техническое перевооружение, консервацию и ликвидацию опасных производственных объектов I, II или III класса опасности, а также монтаж, наладку, обслуживание и ремонт технических устройств, применяемых на опасных производственных объектах I, II или III класса опасности, проектирование, строительство, капитальный ремонт, эксплуатацию, реконструкцию, консервацию и ликвидацию, а также техническое обслуживание, эксплуатационный контроль и текущий ремонт гидротехнических сооружений, а также индивидуальные предприниматели, осуществляющие профессиональную деятельность, указанную в настоящем подпункте (далее - организации);</w:t>
            </w:r>
          </w:p>
          <w:p>
            <w:pPr>
              <w:pStyle w:val="Style17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  <w:p>
            <w:pPr>
              <w:pStyle w:val="Style17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</w:rPr>
            </w:pPr>
            <w:r>
              <w:rPr>
                <w:rFonts w:eastAsia="Times New Roman" w:cs="Times New Roman"/>
                <w:i/>
                <w:iCs/>
                <w:kern w:val="0"/>
                <w:lang w:val="ru-RU" w:eastAsia="ru-RU" w:bidi="ar-SA"/>
              </w:rPr>
              <w:t>б)работник, на которого возложены функции лица, ответственного за осуществление производственного контроля за соблюдением требований промышленной безопасности на опасных производственных объектах, эксплуатационного контроля и контроля за показателями состояния гидротехнических сооружений, авторского надзора в процессе строительства, реконструкции, капитального ремонта, технического перевооружения, консервации и ликвидации опасных производственных объектов, гидротехнических сооружений, строительного контроля при осуществлении строительства, реконструкции и капитального ремонта опасных производственных объектов, гидротехнических сооружений;</w:t>
            </w:r>
          </w:p>
          <w:p>
            <w:pPr>
              <w:pStyle w:val="Style17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  <w:p>
            <w:pPr>
              <w:pStyle w:val="Style17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</w:rPr>
            </w:pPr>
            <w:r>
              <w:rPr>
                <w:rFonts w:eastAsia="Times New Roman" w:cs="Times New Roman"/>
                <w:i/>
                <w:iCs/>
                <w:kern w:val="0"/>
                <w:lang w:val="ru-RU" w:eastAsia="ru-RU" w:bidi="ar-SA"/>
              </w:rPr>
              <w:t>в)работники, на которых возложено руководство производственной деятельностью при осуществлении видов деятельности, отнесенных к предмету регулирования законодательства в области промышленной безопасности опасных производственных объектов, безопасности гидротехнических сооружений (инженерно- технические работники); (в ред. Постановления Правительства РФ от 21.10.2024 N 1416).</w:t>
            </w:r>
          </w:p>
          <w:p>
            <w:pPr>
              <w:pStyle w:val="Style17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lang w:val="ru-RU" w:eastAsia="ru-RU" w:bidi="ar-SA"/>
              </w:rPr>
              <w:t>Соответствие установленному требованию подтверждается путем представления Участником закупки в составе заявки сведений по форме «Справка о кадровых ресурсах».</w:t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21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Справка о кадровых ресурсах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6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14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2355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i/>
                <w:iCs/>
                <w:kern w:val="0"/>
                <w:sz w:val="24"/>
                <w:szCs w:val="24"/>
                <w:lang w:val="ru-RU" w:eastAsia="ru-RU" w:bidi="ar-SA"/>
              </w:rPr>
              <w:t>Требования к опыту</w:t>
            </w:r>
          </w:p>
        </w:tc>
        <w:tc>
          <w:tcPr>
            <w:tcW w:w="5866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1276" w:leader="none"/>
                <w:tab w:val="left" w:pos="1418" w:leader="none"/>
              </w:tabs>
              <w:suppressAutoHyphens w:val="fals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Обязательное наличие опыта выполнения аналогичных ПТО ГТС. При этом за последние 3 года, предшествующие дате окончания срока подачи заявок на участие в конкурентной закупке, участником должны быть исполнены обязательства (выполнены указанные работы) минимум по трем договорам, в объеме по каждому из договоров не менее 50 % от начальной (максимальной) цены договора, указанной в извещении.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276" w:leader="none"/>
                <w:tab w:val="left" w:pos="1418" w:leader="none"/>
              </w:tabs>
              <w:suppressAutoHyphens w:val="fals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Соответствие установленному требованию подтверждается путем предоставления участником закупки в составе заявки сведений о ранее выполненных договорах по форме «Справка о перечне и годовых объемах выполнения договоров». При этом заказчик вправе запросить подтверждающие документы (копии договоров и/или актов выполненных работ, подписанных с обеих сторон). Сведения, не позволяющие однозначно определить опыт участника, не оцениваются.</w:t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21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Справка о перечне и годовых объемах выполнения договоров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6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8221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процедурам оказания услуг</w:t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69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2363" w:type="dxa"/>
            <w:gridSpan w:val="2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false"/>
              <w:spacing w:before="60" w:after="0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Организационно-технические мероприятия по допуску персонала исполнителя</w:t>
            </w:r>
          </w:p>
        </w:tc>
        <w:tc>
          <w:tcPr>
            <w:tcW w:w="585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both"/>
              <w:rPr/>
            </w:pPr>
            <w:r>
              <w:rPr>
                <w:rFonts w:eastAsia="Times New Roman" w:cs="Times New Roman"/>
                <w:bCs/>
                <w:i/>
                <w:iCs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Организационно-технические мероприятия по допуску персонала Исполнителя к оказанию услуг осуществляются на основании Регламента в соответствии с </w:t>
            </w:r>
            <w:r>
              <w:rPr>
                <w:rStyle w:val="Hyperlink"/>
                <w:rFonts w:eastAsia="Times New Roman" w:cs="Times New Roman"/>
                <w:bCs/>
                <w:i/>
                <w:iCs/>
                <w:color w:val="000000"/>
                <w:kern w:val="0"/>
                <w:sz w:val="24"/>
                <w:szCs w:val="24"/>
                <w:u w:val="none"/>
                <w:lang w:val="ru-RU" w:eastAsia="ru-RU" w:bidi="ar-SA"/>
              </w:rPr>
              <w:t>Приказом № 300 28.04.2023 «Методика допуска персонала подрядных организаций к выполнению работ на объектах Общества» (Приложение № 4 к ТТ).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both"/>
              <w:rPr/>
            </w:pPr>
            <w:r>
              <w:rPr>
                <w:rStyle w:val="Hyperlink"/>
                <w:rFonts w:eastAsia="Calibri" w:cs="Times New Roman"/>
                <w:bCs/>
                <w:i/>
                <w:iCs/>
                <w:color w:val="000000"/>
                <w:kern w:val="0"/>
                <w:sz w:val="24"/>
                <w:szCs w:val="24"/>
                <w:u w:val="none"/>
                <w:lang w:val="ru-RU" w:eastAsia="ru-RU" w:bidi="ar-SA"/>
              </w:rPr>
              <w:t>Подготовку рабочих мест и допуск к оказанию услуг выполняет персонал Заказчика.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Исполнитель должен обеспечить спецодеждой и средствами индивидуальной защиты свой персонал на время оказания услуги.</w:t>
            </w:r>
          </w:p>
        </w:tc>
        <w:tc>
          <w:tcPr>
            <w:tcW w:w="184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2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12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Style36"/>
        <w:keepLines/>
        <w:ind w:hanging="357" w:left="357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Style36"/>
        <w:ind w:hanging="357" w:left="357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Style36"/>
        <w:ind w:hanging="357" w:left="357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Style3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3. Требования к документации по ценообразованию на этапе закупки</w:t>
      </w:r>
    </w:p>
    <w:p>
      <w:pPr>
        <w:pStyle w:val="Style3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Heading4"/>
        <w:ind w:hanging="0" w:left="0"/>
        <w:jc w:val="both"/>
        <w:rPr>
          <w:sz w:val="24"/>
          <w:szCs w:val="24"/>
        </w:rPr>
      </w:pPr>
      <w:r>
        <w:rPr>
          <w:b w:val="false"/>
          <w:bCs w:val="false"/>
          <w:i/>
          <w:iCs/>
          <w:sz w:val="24"/>
          <w:szCs w:val="24"/>
        </w:rPr>
        <w:t>3.1. В обоснование стоимости своей заявки Участник предоставляет Коммерческое предложение, а также приложение к нему «Перечень работ с единичными расценками»</w:t>
      </w:r>
      <w:r>
        <w:rPr>
          <w:b w:val="false"/>
          <w:bCs w:val="false"/>
          <w:i/>
          <w:iCs/>
          <w:sz w:val="24"/>
          <w:szCs w:val="24"/>
          <w:lang w:val="ru-RU"/>
        </w:rPr>
        <w:t xml:space="preserve"> по установленным в Документации о закупке формам (с учетом прилагаемых к ним инструкций по заполнению),</w:t>
      </w:r>
      <w:r>
        <w:rPr>
          <w:b w:val="false"/>
          <w:bCs w:val="false"/>
          <w:i/>
          <w:iCs/>
          <w:sz w:val="24"/>
          <w:szCs w:val="24"/>
        </w:rPr>
        <w:t xml:space="preserve"> </w:t>
      </w:r>
      <w:r>
        <w:rPr>
          <w:b w:val="false"/>
          <w:bCs w:val="false"/>
          <w:i/>
          <w:iCs/>
          <w:sz w:val="24"/>
          <w:szCs w:val="24"/>
          <w:lang w:val="ru-RU"/>
        </w:rPr>
        <w:t>с</w:t>
      </w:r>
      <w:r>
        <w:rPr>
          <w:b w:val="false"/>
          <w:bCs w:val="false"/>
          <w:i/>
          <w:iCs/>
          <w:sz w:val="24"/>
          <w:szCs w:val="24"/>
        </w:rPr>
        <w:t xml:space="preserve"> </w:t>
      </w:r>
      <w:r>
        <w:rPr>
          <w:b w:val="false"/>
          <w:bCs w:val="false"/>
          <w:i/>
          <w:iCs/>
          <w:sz w:val="24"/>
          <w:szCs w:val="24"/>
          <w:lang w:val="ru-RU"/>
        </w:rPr>
        <w:t>указанием</w:t>
      </w:r>
      <w:r>
        <w:rPr>
          <w:b w:val="false"/>
          <w:bCs w:val="false"/>
          <w:i/>
          <w:iCs/>
          <w:sz w:val="24"/>
          <w:szCs w:val="24"/>
        </w:rPr>
        <w:t xml:space="preserve"> </w:t>
      </w:r>
      <w:r>
        <w:rPr>
          <w:b w:val="false"/>
          <w:bCs w:val="false"/>
          <w:i/>
          <w:iCs/>
          <w:sz w:val="24"/>
          <w:szCs w:val="24"/>
          <w:lang w:val="ru-RU"/>
        </w:rPr>
        <w:t xml:space="preserve">в приложении </w:t>
      </w:r>
      <w:r>
        <w:rPr>
          <w:b w:val="false"/>
          <w:bCs w:val="false"/>
          <w:i/>
          <w:iCs/>
          <w:sz w:val="24"/>
          <w:szCs w:val="24"/>
        </w:rPr>
        <w:t xml:space="preserve">в отношении каждого наименования работ коэффициента снижения </w:t>
      </w:r>
      <w:r>
        <w:rPr>
          <w:b w:val="false"/>
          <w:bCs w:val="false"/>
          <w:i/>
          <w:iCs/>
          <w:sz w:val="24"/>
          <w:szCs w:val="24"/>
          <w:lang w:val="ru-RU"/>
        </w:rPr>
        <w:t xml:space="preserve">стоимости за единицу продукции </w:t>
      </w:r>
      <w:r>
        <w:rPr>
          <w:b w:val="false"/>
          <w:bCs w:val="false"/>
          <w:i/>
          <w:iCs/>
          <w:sz w:val="24"/>
          <w:szCs w:val="24"/>
          <w:lang w:val="en-US"/>
        </w:rPr>
        <w:t>Ki</w:t>
      </w:r>
      <w:r>
        <w:rPr>
          <w:b w:val="false"/>
          <w:bCs w:val="false"/>
          <w:i/>
          <w:iCs/>
          <w:sz w:val="24"/>
          <w:szCs w:val="24"/>
        </w:rPr>
        <w:t xml:space="preserve"> (%) (определяется по установленной в инструкции формуле).</w:t>
      </w:r>
    </w:p>
    <w:p>
      <w:pPr>
        <w:pStyle w:val="Heading4"/>
        <w:tabs>
          <w:tab w:val="clear" w:pos="0"/>
          <w:tab w:val="left" w:pos="360" w:leader="none"/>
        </w:tabs>
        <w:ind w:hanging="0" w:left="0"/>
        <w:jc w:val="both"/>
        <w:rPr>
          <w:sz w:val="24"/>
          <w:szCs w:val="24"/>
        </w:rPr>
      </w:pPr>
      <w:r>
        <w:rPr>
          <w:b w:val="false"/>
          <w:bCs w:val="false"/>
          <w:i/>
          <w:iCs/>
          <w:sz w:val="24"/>
          <w:szCs w:val="24"/>
          <w:lang w:val="ru-RU"/>
        </w:rPr>
        <w:t>3.2. Коэффициенты</w:t>
      </w:r>
      <w:r>
        <w:rPr>
          <w:b w:val="false"/>
          <w:bCs w:val="false"/>
          <w:i/>
          <w:iCs/>
          <w:sz w:val="24"/>
          <w:szCs w:val="24"/>
        </w:rPr>
        <w:t xml:space="preserve"> снижения служ</w:t>
      </w:r>
      <w:r>
        <w:rPr>
          <w:b w:val="false"/>
          <w:bCs w:val="false"/>
          <w:i/>
          <w:iCs/>
          <w:sz w:val="24"/>
          <w:szCs w:val="24"/>
          <w:lang w:val="ru-RU"/>
        </w:rPr>
        <w:t>а</w:t>
      </w:r>
      <w:r>
        <w:rPr>
          <w:b w:val="false"/>
          <w:bCs w:val="false"/>
          <w:i/>
          <w:iCs/>
          <w:sz w:val="24"/>
          <w:szCs w:val="24"/>
        </w:rPr>
        <w:t xml:space="preserve">т только для оценки и сопоставления предложений Участников по </w:t>
      </w:r>
      <w:r>
        <w:rPr>
          <w:b w:val="false"/>
          <w:bCs w:val="false"/>
          <w:i/>
          <w:iCs/>
          <w:sz w:val="24"/>
          <w:szCs w:val="24"/>
          <w:lang w:val="ru-RU"/>
        </w:rPr>
        <w:t xml:space="preserve">соответствующим </w:t>
      </w:r>
      <w:r>
        <w:rPr>
          <w:b w:val="false"/>
          <w:bCs w:val="false"/>
          <w:i/>
          <w:iCs/>
          <w:sz w:val="24"/>
          <w:szCs w:val="24"/>
        </w:rPr>
        <w:t>ценов</w:t>
      </w:r>
      <w:r>
        <w:rPr>
          <w:b w:val="false"/>
          <w:bCs w:val="false"/>
          <w:i/>
          <w:iCs/>
          <w:sz w:val="24"/>
          <w:szCs w:val="24"/>
          <w:lang w:val="ru-RU"/>
        </w:rPr>
        <w:t>ым</w:t>
      </w:r>
      <w:r>
        <w:rPr>
          <w:b w:val="false"/>
          <w:bCs w:val="false"/>
          <w:i/>
          <w:iCs/>
          <w:sz w:val="24"/>
          <w:szCs w:val="24"/>
        </w:rPr>
        <w:t xml:space="preserve"> (стоимостн</w:t>
      </w:r>
      <w:r>
        <w:rPr>
          <w:b w:val="false"/>
          <w:bCs w:val="false"/>
          <w:i/>
          <w:iCs/>
          <w:sz w:val="24"/>
          <w:szCs w:val="24"/>
          <w:lang w:val="ru-RU"/>
        </w:rPr>
        <w:t>ым</w:t>
      </w:r>
      <w:r>
        <w:rPr>
          <w:b w:val="false"/>
          <w:bCs w:val="false"/>
          <w:i/>
          <w:iCs/>
          <w:sz w:val="24"/>
          <w:szCs w:val="24"/>
        </w:rPr>
        <w:t>) критери</w:t>
      </w:r>
      <w:r>
        <w:rPr>
          <w:b w:val="false"/>
          <w:bCs w:val="false"/>
          <w:i/>
          <w:iCs/>
          <w:sz w:val="24"/>
          <w:szCs w:val="24"/>
          <w:lang w:val="ru-RU"/>
        </w:rPr>
        <w:t>ям</w:t>
      </w:r>
      <w:r>
        <w:rPr>
          <w:b w:val="false"/>
          <w:bCs w:val="false"/>
          <w:i/>
          <w:iCs/>
          <w:sz w:val="24"/>
          <w:szCs w:val="24"/>
        </w:rPr>
        <w:t xml:space="preserve"> оценки </w:t>
      </w:r>
      <w:r>
        <w:rPr>
          <w:b w:val="false"/>
          <w:bCs w:val="false"/>
          <w:i/>
          <w:iCs/>
          <w:sz w:val="24"/>
          <w:szCs w:val="24"/>
          <w:lang w:val="ru-RU"/>
        </w:rPr>
        <w:t xml:space="preserve">второго уровня </w:t>
      </w:r>
      <w:bookmarkStart w:id="31" w:name="_Hlk87537450"/>
      <w:r>
        <w:rPr>
          <w:b w:val="false"/>
          <w:bCs w:val="false"/>
          <w:i/>
          <w:iCs/>
          <w:sz w:val="24"/>
          <w:szCs w:val="24"/>
          <w:lang w:val="ru-RU"/>
        </w:rPr>
        <w:t>в соответствии с Приложением №6 к Документации о закупке «Порядок и критерии оценки и сопоставления заявок»</w:t>
      </w:r>
      <w:bookmarkEnd w:id="31"/>
      <w:r>
        <w:rPr>
          <w:b w:val="false"/>
          <w:bCs w:val="false"/>
          <w:i/>
          <w:iCs/>
          <w:sz w:val="24"/>
          <w:szCs w:val="24"/>
        </w:rPr>
        <w:t xml:space="preserve"> </w:t>
        <w:br/>
        <w:t xml:space="preserve">(в договоре закрепляются единичные расценки </w:t>
      </w:r>
      <w:r>
        <w:rPr>
          <w:b w:val="false"/>
          <w:bCs w:val="false"/>
          <w:i/>
          <w:iCs/>
          <w:sz w:val="24"/>
          <w:szCs w:val="24"/>
          <w:lang w:val="ru-RU"/>
        </w:rPr>
        <w:t>работ</w:t>
      </w:r>
      <w:r>
        <w:rPr>
          <w:b w:val="false"/>
          <w:bCs w:val="false"/>
          <w:i/>
          <w:iCs/>
          <w:sz w:val="24"/>
          <w:szCs w:val="24"/>
        </w:rPr>
        <w:t>, предложенные в заявке Победителем).</w:t>
      </w:r>
    </w:p>
    <w:p>
      <w:pPr>
        <w:pStyle w:val="Heading4"/>
        <w:tabs>
          <w:tab w:val="clear" w:pos="0"/>
          <w:tab w:val="left" w:pos="360" w:leader="none"/>
        </w:tabs>
        <w:ind w:hanging="0" w:left="0"/>
        <w:jc w:val="both"/>
        <w:rPr>
          <w:sz w:val="24"/>
          <w:szCs w:val="24"/>
        </w:rPr>
      </w:pPr>
      <w:r>
        <w:rPr>
          <w:b w:val="false"/>
          <w:bCs w:val="false"/>
          <w:i/>
          <w:iCs/>
          <w:sz w:val="24"/>
          <w:szCs w:val="24"/>
          <w:lang w:val="ru-RU"/>
        </w:rPr>
        <w:t>3.3. Стоимость</w:t>
      </w:r>
      <w:r>
        <w:rPr>
          <w:b w:val="false"/>
          <w:bCs w:val="false"/>
          <w:i/>
          <w:iCs/>
          <w:sz w:val="24"/>
          <w:szCs w:val="24"/>
        </w:rPr>
        <w:t xml:space="preserve"> за единицу продукции </w:t>
      </w:r>
      <w:r>
        <w:rPr>
          <w:b w:val="false"/>
          <w:bCs w:val="false"/>
          <w:i/>
          <w:iCs/>
          <w:sz w:val="24"/>
          <w:szCs w:val="24"/>
          <w:lang w:val="ru-RU"/>
        </w:rPr>
        <w:t xml:space="preserve">(работы) </w:t>
      </w:r>
      <w:r>
        <w:rPr>
          <w:b w:val="false"/>
          <w:bCs w:val="false"/>
          <w:i/>
          <w:iCs/>
          <w:sz w:val="24"/>
          <w:szCs w:val="24"/>
        </w:rPr>
        <w:t>должна включать в себя налоги, сборы, пошлины и другие обязательные платежи, расходы на содержание, эксплуатацию, перебазировку автотранспорта, спецтехники и механизмов, заправка горюче-смазочными материалами, и прочие расходы</w:t>
      </w:r>
      <w:r>
        <w:rPr>
          <w:b w:val="false"/>
          <w:bCs w:val="false"/>
          <w:i/>
          <w:iCs/>
          <w:sz w:val="24"/>
          <w:szCs w:val="24"/>
          <w:lang w:val="ru-RU"/>
        </w:rPr>
        <w:t xml:space="preserve">, </w:t>
      </w:r>
      <w:r>
        <w:rPr>
          <w:b w:val="false"/>
          <w:bCs w:val="false"/>
          <w:i/>
          <w:iCs/>
          <w:sz w:val="24"/>
          <w:szCs w:val="24"/>
        </w:rPr>
        <w:t xml:space="preserve">связанные с </w:t>
      </w:r>
      <w:r>
        <w:rPr>
          <w:b w:val="false"/>
          <w:bCs w:val="false"/>
          <w:i/>
          <w:iCs/>
          <w:sz w:val="24"/>
          <w:szCs w:val="24"/>
          <w:lang w:val="ru-RU"/>
        </w:rPr>
        <w:t>выполнением работ</w:t>
      </w:r>
      <w:r>
        <w:rPr>
          <w:b w:val="false"/>
          <w:bCs w:val="false"/>
          <w:i/>
          <w:iCs/>
          <w:sz w:val="24"/>
          <w:szCs w:val="24"/>
        </w:rPr>
        <w:t>, предусмотренные Проектом договора (Приложение №2 к Документации о закупке)».</w:t>
      </w:r>
    </w:p>
    <w:p>
      <w:pPr>
        <w:pStyle w:val="Heading4"/>
        <w:tabs>
          <w:tab w:val="clear" w:pos="0"/>
          <w:tab w:val="left" w:pos="360" w:leader="none"/>
        </w:tabs>
        <w:ind w:hanging="0" w:left="0"/>
        <w:jc w:val="both"/>
        <w:rPr>
          <w:sz w:val="24"/>
          <w:szCs w:val="24"/>
        </w:rPr>
      </w:pPr>
      <w:r>
        <w:rPr>
          <w:b w:val="false"/>
          <w:i/>
          <w:iCs/>
          <w:sz w:val="24"/>
          <w:szCs w:val="24"/>
          <w:lang w:val="ru-RU"/>
        </w:rPr>
        <w:t>3.4. Дополнительные документы по ценообразованию (сметная документация) в состав заявки Участника не включается</w:t>
      </w:r>
      <w:r>
        <w:rPr>
          <w:b w:val="false"/>
          <w:bCs w:val="false"/>
          <w:i/>
          <w:iCs/>
          <w:sz w:val="24"/>
          <w:szCs w:val="24"/>
          <w:lang w:val="ru-RU"/>
        </w:rPr>
        <w:t>.»</w:t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360" w:leader="none"/>
        </w:tabs>
        <w:spacing w:before="120" w:after="60"/>
        <w:ind w:hanging="0" w:left="0"/>
        <w:jc w:val="both"/>
        <w:outlineLvl w:val="3"/>
        <w:rPr>
          <w:i/>
          <w:i/>
          <w:iCs/>
          <w:sz w:val="24"/>
          <w:szCs w:val="24"/>
        </w:rPr>
      </w:pPr>
      <w:r>
        <w:rPr>
          <w:i/>
          <w:iCs/>
          <w:sz w:val="24"/>
          <w:szCs w:val="24"/>
        </w:rPr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360" w:leader="none"/>
        </w:tabs>
        <w:spacing w:before="120" w:after="60"/>
        <w:ind w:hanging="0" w:left="0"/>
        <w:jc w:val="both"/>
        <w:outlineLvl w:val="3"/>
        <w:rPr>
          <w:highlight w:val="none"/>
          <w:shd w:fill="auto" w:val="clear"/>
        </w:rPr>
      </w:pPr>
      <w:r>
        <w:rPr>
          <w:i/>
          <w:iCs/>
          <w:color w:val="000000"/>
          <w:sz w:val="28"/>
          <w:szCs w:val="24"/>
          <w:shd w:fill="auto" w:val="clear"/>
        </w:rPr>
        <w:t>При определении стоимости услуг и оформлению сметной документации применять в обязательном порядке «Требования к оформлению и составлению смет или расчетов на выполнение услуг по программе научно-исследовательских работ» (Приложения №1 к Техническим требованиям).</w:t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360" w:leader="none"/>
        </w:tabs>
        <w:spacing w:before="120" w:after="60"/>
        <w:ind w:hanging="0" w:left="0"/>
        <w:jc w:val="both"/>
        <w:outlineLvl w:val="3"/>
        <w:rPr>
          <w:i/>
          <w:i/>
          <w:iCs/>
          <w:sz w:val="24"/>
          <w:szCs w:val="24"/>
          <w:highlight w:val="none"/>
          <w:shd w:fill="auto" w:val="clear"/>
        </w:rPr>
      </w:pPr>
      <w:r>
        <w:rPr>
          <w:i/>
          <w:iCs/>
          <w:sz w:val="24"/>
          <w:szCs w:val="24"/>
          <w:shd w:fill="auto" w:val="clear"/>
        </w:rPr>
      </w:r>
    </w:p>
    <w:p>
      <w:pPr>
        <w:pStyle w:val="Style3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3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4.    Требования к документации по ценообразованию на этапе заключения (исполнения) договора</w:t>
      </w:r>
    </w:p>
    <w:p>
      <w:pPr>
        <w:pStyle w:val="Normal"/>
        <w:numPr>
          <w:ilvl w:val="1"/>
          <w:numId w:val="9"/>
        </w:numPr>
        <w:spacing w:before="0" w:after="120"/>
        <w:ind w:hanging="0" w:left="0"/>
        <w:jc w:val="both"/>
        <w:rPr>
          <w:i/>
          <w:i/>
          <w:iCs/>
          <w:sz w:val="24"/>
          <w:szCs w:val="24"/>
          <w:lang w:eastAsia="x-none"/>
        </w:rPr>
      </w:pPr>
      <w:r>
        <w:rPr>
          <w:i/>
          <w:iCs/>
          <w:sz w:val="24"/>
          <w:szCs w:val="24"/>
          <w:lang w:eastAsia="x-none"/>
        </w:rPr>
        <w:t>По результатам настоящей закупки заключается договор с предельной ценой, равной начальной (максимальной) цене договора, установленной в Документации о закупке, а также с единичными расценками (ценой за единицу продукции по каждому наименованию работ), предложенными в заявке Победителем.</w:t>
      </w:r>
    </w:p>
    <w:p>
      <w:pPr>
        <w:pStyle w:val="Normal"/>
        <w:numPr>
          <w:ilvl w:val="1"/>
          <w:numId w:val="9"/>
        </w:numPr>
        <w:ind w:hanging="0" w:left="0"/>
        <w:jc w:val="both"/>
        <w:rPr>
          <w:i/>
          <w:i/>
          <w:iCs/>
          <w:sz w:val="24"/>
          <w:szCs w:val="24"/>
          <w:lang w:eastAsia="x-none"/>
        </w:rPr>
      </w:pPr>
      <w:r>
        <w:rPr>
          <w:rFonts w:eastAsia="Calibri"/>
          <w:i/>
          <w:iCs/>
          <w:sz w:val="24"/>
          <w:szCs w:val="24"/>
          <w:lang w:val="x-none" w:eastAsia="x-none"/>
        </w:rPr>
        <w:t>Порядок формировани</w:t>
      </w:r>
      <w:r>
        <w:rPr>
          <w:i/>
          <w:iCs/>
          <w:sz w:val="24"/>
          <w:szCs w:val="24"/>
        </w:rPr>
        <w:t>я</w:t>
      </w:r>
      <w:r>
        <w:rPr>
          <w:rFonts w:eastAsia="Calibri"/>
          <w:i/>
          <w:iCs/>
          <w:sz w:val="24"/>
          <w:szCs w:val="24"/>
          <w:lang w:val="x-none" w:eastAsia="x-none"/>
        </w:rPr>
        <w:t xml:space="preserve"> </w:t>
      </w:r>
      <w:r>
        <w:rPr>
          <w:rFonts w:eastAsia="Calibri"/>
          <w:i/>
          <w:iCs/>
          <w:sz w:val="24"/>
          <w:szCs w:val="24"/>
          <w:lang w:eastAsia="x-none"/>
        </w:rPr>
        <w:t xml:space="preserve">на этапе исполнения договора </w:t>
      </w:r>
      <w:r>
        <w:rPr>
          <w:rFonts w:eastAsia="Calibri"/>
          <w:i/>
          <w:iCs/>
          <w:sz w:val="24"/>
          <w:szCs w:val="24"/>
          <w:lang w:val="x-none" w:eastAsia="x-none"/>
        </w:rPr>
        <w:t>стоимост</w:t>
      </w:r>
      <w:r>
        <w:rPr>
          <w:i/>
          <w:iCs/>
          <w:sz w:val="24"/>
          <w:szCs w:val="24"/>
        </w:rPr>
        <w:t>и</w:t>
      </w:r>
      <w:r>
        <w:rPr>
          <w:rFonts w:eastAsia="Calibri"/>
          <w:i/>
          <w:iCs/>
          <w:sz w:val="24"/>
          <w:szCs w:val="24"/>
          <w:lang w:val="x-none" w:eastAsia="x-none"/>
        </w:rPr>
        <w:t xml:space="preserve"> </w:t>
      </w:r>
      <w:r>
        <w:rPr>
          <w:rFonts w:eastAsia="Calibri"/>
          <w:i/>
          <w:iCs/>
          <w:sz w:val="24"/>
          <w:szCs w:val="24"/>
          <w:lang w:eastAsia="x-none"/>
        </w:rPr>
        <w:t>выполняемых работ</w:t>
      </w:r>
      <w:r>
        <w:rPr>
          <w:rFonts w:eastAsia="Calibri"/>
          <w:i/>
          <w:iCs/>
          <w:sz w:val="24"/>
          <w:szCs w:val="24"/>
          <w:lang w:val="x-none" w:eastAsia="x-none"/>
        </w:rPr>
        <w:t xml:space="preserve"> </w:t>
      </w:r>
      <w:r>
        <w:rPr>
          <w:rFonts w:eastAsia="Calibri"/>
          <w:i/>
          <w:iCs/>
          <w:sz w:val="24"/>
          <w:szCs w:val="24"/>
          <w:lang w:eastAsia="x-none"/>
        </w:rPr>
        <w:t xml:space="preserve">по заданию заказчика </w:t>
      </w:r>
      <w:r>
        <w:rPr>
          <w:i/>
          <w:iCs/>
          <w:sz w:val="24"/>
          <w:szCs w:val="24"/>
        </w:rPr>
        <w:t>установлен в Проекте договора (Приложение № 2 к Документации о закупке)».</w:t>
      </w:r>
    </w:p>
    <w:p>
      <w:pPr>
        <w:pStyle w:val="Normal"/>
        <w:jc w:val="both"/>
        <w:rPr>
          <w:i/>
          <w:i/>
          <w:iCs/>
          <w:sz w:val="24"/>
          <w:szCs w:val="24"/>
          <w:lang w:eastAsia="x-none"/>
        </w:rPr>
      </w:pPr>
      <w:r>
        <w:rPr>
          <w:i/>
          <w:iCs/>
          <w:sz w:val="24"/>
          <w:szCs w:val="24"/>
          <w:lang w:eastAsia="x-none"/>
        </w:rPr>
      </w:r>
    </w:p>
    <w:p>
      <w:pPr>
        <w:pStyle w:val="Normal"/>
        <w:jc w:val="both"/>
        <w:rPr>
          <w:i/>
          <w:i/>
          <w:iCs/>
          <w:sz w:val="24"/>
          <w:szCs w:val="24"/>
          <w:lang w:eastAsia="x-none"/>
        </w:rPr>
      </w:pPr>
      <w:r>
        <w:rPr>
          <w:i/>
          <w:iCs/>
          <w:sz w:val="24"/>
          <w:szCs w:val="24"/>
          <w:lang w:eastAsia="x-none"/>
        </w:rPr>
      </w:r>
    </w:p>
    <w:p>
      <w:pPr>
        <w:pStyle w:val="Normal"/>
        <w:jc w:val="both"/>
        <w:rPr>
          <w:i/>
          <w:i/>
          <w:iCs/>
          <w:sz w:val="24"/>
          <w:szCs w:val="24"/>
          <w:lang w:eastAsia="x-none"/>
        </w:rPr>
      </w:pPr>
      <w:r>
        <w:rPr>
          <w:i/>
          <w:iCs/>
          <w:sz w:val="24"/>
          <w:szCs w:val="24"/>
          <w:lang w:eastAsia="x-none"/>
        </w:rPr>
      </w:r>
    </w:p>
    <w:p>
      <w:pPr>
        <w:pStyle w:val="Normal"/>
        <w:jc w:val="both"/>
        <w:rPr>
          <w:i/>
          <w:i/>
          <w:iCs/>
          <w:sz w:val="24"/>
          <w:szCs w:val="24"/>
          <w:lang w:eastAsia="x-none"/>
        </w:rPr>
      </w:pPr>
      <w:r>
        <w:rPr>
          <w:i/>
          <w:iCs/>
          <w:sz w:val="24"/>
          <w:szCs w:val="24"/>
          <w:lang w:eastAsia="x-none"/>
        </w:rPr>
      </w:r>
    </w:p>
    <w:p>
      <w:pPr>
        <w:pStyle w:val="Normal"/>
        <w:jc w:val="both"/>
        <w:rPr>
          <w:i/>
          <w:i/>
          <w:iCs/>
          <w:sz w:val="24"/>
          <w:szCs w:val="24"/>
          <w:lang w:eastAsia="x-none"/>
        </w:rPr>
      </w:pPr>
      <w:r>
        <w:rPr>
          <w:i/>
          <w:iCs/>
          <w:sz w:val="24"/>
          <w:szCs w:val="24"/>
          <w:lang w:eastAsia="x-none"/>
        </w:rPr>
      </w:r>
    </w:p>
    <w:p>
      <w:pPr>
        <w:pStyle w:val="Normal"/>
        <w:jc w:val="both"/>
        <w:rPr>
          <w:i/>
          <w:i/>
          <w:iCs/>
          <w:sz w:val="24"/>
          <w:szCs w:val="24"/>
          <w:lang w:eastAsia="x-none"/>
        </w:rPr>
      </w:pPr>
      <w:r>
        <w:rPr>
          <w:i/>
          <w:iCs/>
          <w:sz w:val="24"/>
          <w:szCs w:val="24"/>
          <w:lang w:eastAsia="x-none"/>
        </w:rPr>
      </w:r>
    </w:p>
    <w:p>
      <w:pPr>
        <w:pStyle w:val="Normal"/>
        <w:jc w:val="both"/>
        <w:rPr>
          <w:i/>
          <w:i/>
          <w:iCs/>
          <w:sz w:val="24"/>
          <w:szCs w:val="24"/>
          <w:lang w:eastAsia="x-none"/>
        </w:rPr>
      </w:pPr>
      <w:r>
        <w:rPr>
          <w:i/>
          <w:iCs/>
          <w:sz w:val="24"/>
          <w:szCs w:val="24"/>
          <w:lang w:eastAsia="x-none"/>
        </w:rPr>
      </w:r>
    </w:p>
    <w:p>
      <w:pPr>
        <w:pStyle w:val="Normal"/>
        <w:jc w:val="both"/>
        <w:rPr>
          <w:i/>
          <w:i/>
          <w:iCs/>
          <w:sz w:val="24"/>
          <w:szCs w:val="24"/>
          <w:lang w:eastAsia="x-none"/>
        </w:rPr>
      </w:pPr>
      <w:r>
        <w:rPr>
          <w:i/>
          <w:iCs/>
          <w:sz w:val="24"/>
          <w:szCs w:val="24"/>
          <w:lang w:eastAsia="x-none"/>
        </w:rPr>
      </w:r>
    </w:p>
    <w:p>
      <w:pPr>
        <w:pStyle w:val="Normal"/>
        <w:jc w:val="both"/>
        <w:rPr>
          <w:i/>
          <w:i/>
          <w:iCs/>
          <w:sz w:val="24"/>
          <w:szCs w:val="24"/>
          <w:lang w:eastAsia="x-none"/>
        </w:rPr>
      </w:pPr>
      <w:r>
        <w:rPr>
          <w:i/>
          <w:iCs/>
          <w:sz w:val="24"/>
          <w:szCs w:val="24"/>
          <w:lang w:eastAsia="x-none"/>
        </w:rPr>
      </w:r>
    </w:p>
    <w:p>
      <w:pPr>
        <w:pStyle w:val="Normal"/>
        <w:jc w:val="both"/>
        <w:rPr>
          <w:i/>
          <w:i/>
          <w:iCs/>
          <w:sz w:val="24"/>
          <w:szCs w:val="24"/>
          <w:lang w:eastAsia="x-none"/>
        </w:rPr>
      </w:pPr>
      <w:r>
        <w:rPr>
          <w:i/>
          <w:iCs/>
          <w:sz w:val="24"/>
          <w:szCs w:val="24"/>
          <w:lang w:eastAsia="x-none"/>
        </w:rPr>
      </w:r>
    </w:p>
    <w:p>
      <w:pPr>
        <w:pStyle w:val="Normal"/>
        <w:jc w:val="both"/>
        <w:rPr>
          <w:i/>
          <w:i/>
          <w:iCs/>
          <w:sz w:val="24"/>
          <w:szCs w:val="24"/>
          <w:lang w:eastAsia="x-none"/>
        </w:rPr>
      </w:pPr>
      <w:r>
        <w:rPr>
          <w:i/>
          <w:iCs/>
          <w:sz w:val="24"/>
          <w:szCs w:val="24"/>
          <w:lang w:eastAsia="x-none"/>
        </w:rPr>
      </w:r>
    </w:p>
    <w:p>
      <w:pPr>
        <w:pStyle w:val="Normal"/>
        <w:jc w:val="both"/>
        <w:rPr>
          <w:i/>
          <w:i/>
          <w:iCs/>
          <w:sz w:val="24"/>
          <w:szCs w:val="24"/>
          <w:lang w:eastAsia="x-none"/>
        </w:rPr>
      </w:pPr>
      <w:r>
        <w:rPr>
          <w:i/>
          <w:iCs/>
          <w:sz w:val="24"/>
          <w:szCs w:val="24"/>
          <w:lang w:eastAsia="x-none"/>
        </w:rPr>
      </w:r>
    </w:p>
    <w:p>
      <w:pPr>
        <w:pStyle w:val="Normal"/>
        <w:jc w:val="both"/>
        <w:rPr>
          <w:i/>
          <w:i/>
          <w:iCs/>
          <w:sz w:val="24"/>
          <w:szCs w:val="24"/>
          <w:lang w:eastAsia="x-none"/>
        </w:rPr>
      </w:pPr>
      <w:r>
        <w:rPr>
          <w:i/>
          <w:iCs/>
          <w:sz w:val="24"/>
          <w:szCs w:val="24"/>
          <w:lang w:eastAsia="x-none"/>
        </w:rPr>
      </w:r>
    </w:p>
    <w:p>
      <w:pPr>
        <w:pStyle w:val="Normal"/>
        <w:jc w:val="both"/>
        <w:rPr>
          <w:i/>
          <w:i/>
          <w:iCs/>
          <w:sz w:val="24"/>
          <w:szCs w:val="24"/>
          <w:lang w:eastAsia="x-none"/>
        </w:rPr>
      </w:pPr>
      <w:r>
        <w:rPr>
          <w:i/>
          <w:iCs/>
          <w:sz w:val="24"/>
          <w:szCs w:val="24"/>
          <w:lang w:eastAsia="x-none"/>
        </w:rPr>
      </w:r>
    </w:p>
    <w:p>
      <w:pPr>
        <w:pStyle w:val="Normal"/>
        <w:jc w:val="both"/>
        <w:rPr>
          <w:i/>
          <w:i/>
          <w:iCs/>
          <w:sz w:val="24"/>
          <w:szCs w:val="24"/>
          <w:lang w:eastAsia="x-none"/>
        </w:rPr>
      </w:pPr>
      <w:r>
        <w:rPr>
          <w:i/>
          <w:iCs/>
          <w:sz w:val="24"/>
          <w:szCs w:val="24"/>
          <w:lang w:eastAsia="x-none"/>
        </w:rPr>
      </w:r>
    </w:p>
    <w:p>
      <w:pPr>
        <w:pStyle w:val="Heading1"/>
        <w:keepLines/>
        <w:ind w:hanging="0" w:left="0"/>
        <w:rPr>
          <w:sz w:val="24"/>
          <w:szCs w:val="24"/>
        </w:rPr>
      </w:pPr>
      <w:r>
        <w:rPr>
          <w:iCs/>
          <w:sz w:val="24"/>
          <w:szCs w:val="24"/>
        </w:rPr>
        <w:t xml:space="preserve">5.     </w:t>
      </w:r>
      <w:bookmarkStart w:id="32" w:name="_Toc167097342"/>
      <w:r>
        <w:rPr>
          <w:iCs/>
          <w:sz w:val="24"/>
          <w:szCs w:val="24"/>
        </w:rPr>
        <w:t>Приложения</w:t>
      </w:r>
      <w:bookmarkEnd w:id="32"/>
    </w:p>
    <w:p>
      <w:pPr>
        <w:pStyle w:val="Normal"/>
        <w:jc w:val="both"/>
        <w:rPr>
          <w:sz w:val="24"/>
          <w:szCs w:val="24"/>
          <w:lang w:val="x-none" w:eastAsia="x-none"/>
        </w:rPr>
      </w:pPr>
      <w:r>
        <w:rPr>
          <w:b/>
          <w:sz w:val="24"/>
          <w:szCs w:val="24"/>
          <w:lang w:val="x-none" w:eastAsia="x-none"/>
        </w:rPr>
        <w:t>Приложение №</w:t>
      </w:r>
      <w:r>
        <w:rPr>
          <w:b/>
          <w:sz w:val="24"/>
          <w:szCs w:val="24"/>
          <w:lang w:eastAsia="x-none"/>
        </w:rPr>
        <w:t xml:space="preserve"> </w:t>
      </w:r>
      <w:r>
        <w:rPr>
          <w:b/>
          <w:sz w:val="24"/>
          <w:szCs w:val="24"/>
          <w:lang w:val="x-none" w:eastAsia="x-none"/>
        </w:rPr>
        <w:t>1</w:t>
      </w:r>
      <w:r>
        <w:rPr>
          <w:sz w:val="24"/>
          <w:szCs w:val="24"/>
          <w:lang w:val="x-none" w:eastAsia="x-none"/>
        </w:rPr>
        <w:t xml:space="preserve"> - </w:t>
      </w:r>
      <w:bookmarkStart w:id="33" w:name="_Toc167097341_Копия_1"/>
      <w:bookmarkStart w:id="34" w:name="_Toc122080354_Копия_1"/>
      <w:r>
        <w:rPr>
          <w:sz w:val="24"/>
          <w:szCs w:val="24"/>
          <w:highlight w:val="white"/>
          <w:shd w:fill="FFFFFF" w:val="clear"/>
          <w:lang w:eastAsia="x-none"/>
        </w:rPr>
        <w:t>Требования к оформлению и составлению</w:t>
      </w:r>
      <w:bookmarkEnd w:id="34"/>
      <w:r>
        <w:rPr>
          <w:sz w:val="24"/>
          <w:szCs w:val="24"/>
          <w:highlight w:val="white"/>
          <w:shd w:fill="FFFFFF" w:val="clear"/>
          <w:lang w:eastAsia="x-none"/>
        </w:rPr>
        <w:t xml:space="preserve"> смет или расчетов на выполнение услуг по программе научно-исследовательских работ</w:t>
      </w:r>
      <w:bookmarkEnd w:id="33"/>
      <w:r>
        <w:rPr>
          <w:sz w:val="24"/>
          <w:szCs w:val="24"/>
          <w:highlight w:val="white"/>
          <w:shd w:fill="FFFFFF" w:val="clear"/>
          <w:lang w:eastAsia="x-none"/>
        </w:rPr>
        <w:t>.</w:t>
      </w:r>
    </w:p>
    <w:p>
      <w:pPr>
        <w:pStyle w:val="Normal"/>
        <w:jc w:val="both"/>
        <w:rPr>
          <w:sz w:val="24"/>
          <w:szCs w:val="24"/>
          <w:lang w:val="x-none" w:eastAsia="x-none"/>
        </w:rPr>
      </w:pPr>
      <w:r>
        <w:rPr>
          <w:b/>
          <w:sz w:val="24"/>
          <w:szCs w:val="24"/>
          <w:lang w:val="x-none" w:eastAsia="x-none"/>
        </w:rPr>
        <w:t>Приложение №</w:t>
      </w:r>
      <w:r>
        <w:rPr>
          <w:b/>
          <w:sz w:val="24"/>
          <w:szCs w:val="24"/>
          <w:lang w:eastAsia="x-none"/>
        </w:rPr>
        <w:t xml:space="preserve"> </w:t>
      </w:r>
      <w:r>
        <w:rPr>
          <w:b/>
          <w:sz w:val="24"/>
          <w:szCs w:val="24"/>
          <w:lang w:val="x-none" w:eastAsia="x-none"/>
        </w:rPr>
        <w:t>2</w:t>
      </w:r>
      <w:r>
        <w:rPr>
          <w:sz w:val="24"/>
          <w:szCs w:val="24"/>
          <w:lang w:val="x-none" w:eastAsia="x-none"/>
        </w:rPr>
        <w:t xml:space="preserve"> – </w:t>
      </w:r>
      <w:r>
        <w:rPr>
          <w:rFonts w:eastAsia="Calibri"/>
          <w:sz w:val="24"/>
          <w:szCs w:val="24"/>
          <w:lang w:val="x-none" w:eastAsia="x-none"/>
        </w:rPr>
        <w:t>Требования в области охраны окружающей среды к подрядным организациям, выполняющим работы (строительные, монтажные, ремонтные и др.) на территории Филиала ПАО «РусГидро» - «Жигулевская ГЭС.</w:t>
      </w:r>
    </w:p>
    <w:p>
      <w:pPr>
        <w:pStyle w:val="Normal"/>
        <w:widowControl w:val="false"/>
        <w:shd w:val="clear" w:color="auto" w:fill="FFFFFF" w:themeFill="background1"/>
        <w:tabs>
          <w:tab w:val="clear" w:pos="720"/>
          <w:tab w:val="left" w:pos="426" w:leader="none"/>
        </w:tabs>
        <w:spacing w:before="60" w:after="0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b/>
          <w:sz w:val="24"/>
          <w:szCs w:val="24"/>
          <w:lang w:eastAsia="x-none"/>
        </w:rPr>
        <w:t>Приложение № 3</w:t>
      </w:r>
      <w:r>
        <w:rPr>
          <w:rFonts w:eastAsia="Calibri"/>
          <w:sz w:val="24"/>
          <w:szCs w:val="24"/>
          <w:lang w:eastAsia="x-none"/>
        </w:rPr>
        <w:t xml:space="preserve"> - Политика информационной безопасности ПАО «РусГидро». </w:t>
      </w:r>
    </w:p>
    <w:p>
      <w:pPr>
        <w:pStyle w:val="Normal"/>
        <w:widowControl w:val="false"/>
        <w:shd w:val="clear" w:color="auto" w:fill="FFFFFF" w:themeFill="background1"/>
        <w:tabs>
          <w:tab w:val="clear" w:pos="720"/>
          <w:tab w:val="left" w:pos="426" w:leader="none"/>
        </w:tabs>
        <w:spacing w:before="60" w:after="0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b/>
          <w:sz w:val="24"/>
          <w:szCs w:val="24"/>
          <w:lang w:eastAsia="x-none"/>
        </w:rPr>
        <w:t>Приложение № 4</w:t>
      </w:r>
      <w:r>
        <w:rPr>
          <w:rFonts w:eastAsia="Calibri"/>
          <w:sz w:val="24"/>
          <w:szCs w:val="24"/>
          <w:lang w:eastAsia="x-none"/>
        </w:rPr>
        <w:t xml:space="preserve"> - Методика допуска персонала подрядных организаций к выполнению работ на объектах Общества. </w:t>
      </w:r>
    </w:p>
    <w:p>
      <w:pPr>
        <w:pStyle w:val="Normal"/>
        <w:widowControl w:val="false"/>
        <w:shd w:val="clear" w:color="auto" w:fill="FFFFFF" w:themeFill="background1"/>
        <w:tabs>
          <w:tab w:val="clear" w:pos="720"/>
          <w:tab w:val="left" w:pos="426" w:leader="none"/>
        </w:tabs>
        <w:spacing w:before="60" w:after="0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b/>
          <w:sz w:val="24"/>
          <w:szCs w:val="24"/>
          <w:lang w:eastAsia="x-none"/>
        </w:rPr>
        <w:t>Приложение № 5</w:t>
      </w:r>
      <w:r>
        <w:rPr>
          <w:rFonts w:eastAsia="Calibri"/>
          <w:sz w:val="24"/>
          <w:szCs w:val="24"/>
          <w:lang w:eastAsia="x-none"/>
        </w:rPr>
        <w:t xml:space="preserve"> - Порядок разработки и согласования проектов производства работ.</w:t>
      </w:r>
    </w:p>
    <w:p>
      <w:pPr>
        <w:pStyle w:val="Normal"/>
        <w:widowControl w:val="false"/>
        <w:shd w:val="clear" w:color="auto" w:fill="FFFFFF" w:themeFill="background1"/>
        <w:tabs>
          <w:tab w:val="clear" w:pos="720"/>
          <w:tab w:val="left" w:pos="426" w:leader="none"/>
        </w:tabs>
        <w:spacing w:before="60" w:after="0"/>
        <w:jc w:val="both"/>
        <w:rPr>
          <w:rFonts w:eastAsia="Calibri"/>
          <w:sz w:val="24"/>
          <w:lang w:eastAsia="x-none"/>
        </w:rPr>
      </w:pPr>
      <w:r>
        <w:rPr>
          <w:rFonts w:eastAsia="Calibri"/>
          <w:b/>
          <w:sz w:val="24"/>
          <w:lang w:eastAsia="x-none"/>
        </w:rPr>
        <w:t>Приложение № 6</w:t>
      </w:r>
      <w:r>
        <w:rPr>
          <w:rFonts w:eastAsia="Calibri"/>
          <w:sz w:val="24"/>
          <w:lang w:eastAsia="x-none"/>
        </w:rPr>
        <w:t xml:space="preserve"> – </w:t>
      </w:r>
      <w:r>
        <w:rPr>
          <w:rFonts w:eastAsia="Calibri"/>
          <w:sz w:val="24"/>
          <w:szCs w:val="24"/>
          <w:lang w:eastAsia="x-none"/>
        </w:rPr>
        <w:t>Положение по пропускному и внутри объектовому режимам Филиала ПАО «РусГидро» - «Жигулёвская ГЭС».</w:t>
      </w:r>
    </w:p>
    <w:p>
      <w:pPr>
        <w:pStyle w:val="Normal"/>
        <w:widowControl w:val="false"/>
        <w:shd w:val="clear" w:color="auto" w:fill="FFFFFF" w:themeFill="background1"/>
        <w:tabs>
          <w:tab w:val="clear" w:pos="720"/>
          <w:tab w:val="left" w:pos="426" w:leader="none"/>
        </w:tabs>
        <w:spacing w:before="60" w:after="0"/>
        <w:jc w:val="both"/>
        <w:rPr>
          <w:b/>
          <w:bCs/>
        </w:rPr>
      </w:pPr>
      <w:r>
        <w:rPr>
          <w:rFonts w:eastAsia="Calibri"/>
          <w:b/>
          <w:bCs/>
          <w:sz w:val="24"/>
          <w:szCs w:val="24"/>
          <w:lang w:eastAsia="x-none"/>
        </w:rPr>
        <w:t xml:space="preserve">Приложение № 7 - </w:t>
      </w:r>
      <w:r>
        <w:rPr>
          <w:sz w:val="26"/>
          <w:szCs w:val="26"/>
        </w:rPr>
        <w:t>Требования к материально-техническим ресурсам, необходимым для выполнения работ по Подводно-технического обследования участка №1 отводящего канала здания ГЭС Жигулевской ГЭС, подводящего канала здания Жигулевской ГЭС, подводящего канала водосливной плотины Жигулевской ГЭС.</w:t>
      </w:r>
    </w:p>
    <w:p>
      <w:pPr>
        <w:pStyle w:val="Normal"/>
        <w:widowControl w:val="false"/>
        <w:shd w:val="clear" w:color="auto" w:fill="FFFFFF" w:themeFill="background1"/>
        <w:tabs>
          <w:tab w:val="clear" w:pos="720"/>
          <w:tab w:val="left" w:pos="426" w:leader="none"/>
        </w:tabs>
        <w:spacing w:before="60" w:after="0"/>
        <w:jc w:val="both"/>
        <w:rPr>
          <w:b/>
          <w:bCs/>
        </w:rPr>
      </w:pPr>
      <w:r>
        <w:rPr>
          <w:rFonts w:eastAsia="Calibri"/>
          <w:b/>
          <w:bCs/>
          <w:sz w:val="24"/>
          <w:szCs w:val="24"/>
          <w:lang w:eastAsia="x-none"/>
        </w:rPr>
        <w:t xml:space="preserve">Приложение № 8 </w:t>
      </w:r>
      <w:r>
        <w:rPr>
          <w:rFonts w:eastAsia="Calibri"/>
          <w:sz w:val="24"/>
          <w:szCs w:val="24"/>
          <w:lang w:eastAsia="x-none"/>
        </w:rPr>
        <w:t xml:space="preserve">- </w:t>
      </w:r>
      <w:r>
        <w:rPr>
          <w:sz w:val="26"/>
          <w:szCs w:val="26"/>
        </w:rPr>
        <w:t>Требования к наличию квалифицированного персонала на выполнение работ по  Подводно-техническому обследованию участка №1 отводящего канала здания ГЭС Жигулевской ГЭС, подводящего канала здания Жигулевской ГЭС, подводящего канала водосливной плотины Жигулевской ГЭС.</w:t>
      </w:r>
    </w:p>
    <w:p>
      <w:pPr>
        <w:pStyle w:val="Normal"/>
        <w:widowControl w:val="false"/>
        <w:shd w:val="clear" w:color="auto" w:fill="FFFFFF" w:themeFill="background1"/>
        <w:tabs>
          <w:tab w:val="clear" w:pos="720"/>
          <w:tab w:val="left" w:pos="426" w:leader="none"/>
        </w:tabs>
        <w:spacing w:before="60" w:after="0"/>
        <w:jc w:val="both"/>
        <w:rPr>
          <w:rFonts w:eastAsia="Calibri"/>
          <w:b/>
          <w:bCs/>
          <w:sz w:val="24"/>
          <w:lang w:eastAsia="x-none"/>
        </w:rPr>
      </w:pPr>
      <w:r>
        <w:rPr>
          <w:rFonts w:eastAsia="Calibri"/>
          <w:b/>
          <w:bCs/>
          <w:sz w:val="24"/>
          <w:lang w:eastAsia="x-none"/>
        </w:rPr>
      </w:r>
    </w:p>
    <w:p>
      <w:pPr>
        <w:pStyle w:val="Normal"/>
        <w:widowControl w:val="false"/>
        <w:shd w:val="clear" w:color="auto" w:fill="FFFFFF" w:themeFill="background1"/>
        <w:tabs>
          <w:tab w:val="clear" w:pos="720"/>
          <w:tab w:val="left" w:pos="426" w:leader="none"/>
        </w:tabs>
        <w:spacing w:before="60" w:after="0"/>
        <w:jc w:val="both"/>
        <w:rPr>
          <w:rFonts w:eastAsia="Calibri"/>
          <w:sz w:val="24"/>
          <w:lang w:eastAsia="x-none"/>
        </w:rPr>
      </w:pPr>
      <w:r>
        <w:rPr>
          <w:rFonts w:eastAsia="Calibri"/>
          <w:sz w:val="24"/>
          <w:lang w:eastAsia="x-none"/>
        </w:rPr>
      </w:r>
    </w:p>
    <w:p>
      <w:pPr>
        <w:pStyle w:val="Normal"/>
        <w:widowControl w:val="false"/>
        <w:tabs>
          <w:tab w:val="clear" w:pos="720"/>
          <w:tab w:val="left" w:pos="426" w:leader="none"/>
        </w:tabs>
        <w:spacing w:lineRule="atLeast" w:line="0" w:before="60" w:after="0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</w:r>
    </w:p>
    <w:p>
      <w:pPr>
        <w:pStyle w:val="Normal"/>
        <w:suppressAutoHyphens w:val="false"/>
        <w:ind w:hanging="0" w:left="-34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</w:r>
    </w:p>
    <w:tbl>
      <w:tblPr>
        <w:tblW w:w="991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4955"/>
        <w:gridCol w:w="4954"/>
      </w:tblGrid>
      <w:tr>
        <w:trPr>
          <w:trHeight w:val="1959" w:hRule="atLeast"/>
        </w:trPr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Согласовано: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jc w:val="both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Заместитель главного инженера по технической части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должность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jc w:val="both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___________ / М.В. Блинов/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      </w:t>
            </w:r>
            <w:r>
              <w:rPr>
                <w:sz w:val="20"/>
                <w:szCs w:val="20"/>
              </w:rPr>
              <w:t>подпись                   Ф.И.О.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jc w:val="both"/>
              <w:rPr/>
            </w:pPr>
            <w:r>
              <w:rPr>
                <w:sz w:val="24"/>
                <w:szCs w:val="24"/>
              </w:rPr>
              <w:t>«____»___________  20___ г.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Согласовано: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jc w:val="both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Начальник службы МОиГТС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должность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jc w:val="both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___________ / Н.В. Бекин/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        </w:t>
            </w:r>
            <w:r>
              <w:rPr>
                <w:sz w:val="20"/>
                <w:szCs w:val="20"/>
              </w:rPr>
              <w:t>подпись               Ф.И.О.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jc w:val="both"/>
              <w:rPr/>
            </w:pPr>
            <w:r>
              <w:rPr>
                <w:sz w:val="24"/>
                <w:szCs w:val="24"/>
              </w:rPr>
              <w:t>«____»___________  20___ г.</w:t>
            </w:r>
          </w:p>
        </w:tc>
      </w:tr>
      <w:tr>
        <w:trPr>
          <w:trHeight w:val="1986" w:hRule="atLeast"/>
        </w:trPr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Согласовано: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jc w:val="both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Начальник службы безопасности /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должность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___________ / А.Н. Пуртов/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>
              <w:rPr>
                <w:sz w:val="20"/>
                <w:szCs w:val="20"/>
              </w:rPr>
              <w:t>подпись                   Ф.И.О.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jc w:val="both"/>
              <w:rPr/>
            </w:pPr>
            <w:r>
              <w:rPr>
                <w:sz w:val="24"/>
                <w:szCs w:val="24"/>
              </w:rPr>
              <w:t>«____»___________  20___ г.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Согласовано: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jc w:val="both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Начальник СПСР, ТПиР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должность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jc w:val="both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___________ / Т.И. Лукоянова/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       </w:t>
            </w:r>
            <w:r>
              <w:rPr>
                <w:sz w:val="20"/>
                <w:szCs w:val="20"/>
              </w:rPr>
              <w:t>подпись                  Ф.И.О.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jc w:val="both"/>
              <w:rPr/>
            </w:pPr>
            <w:r>
              <w:rPr>
                <w:sz w:val="24"/>
                <w:szCs w:val="24"/>
              </w:rPr>
              <w:t>«____»___________  20___ г.</w:t>
            </w:r>
          </w:p>
        </w:tc>
      </w:tr>
      <w:tr>
        <w:trPr>
          <w:trHeight w:val="1973" w:hRule="atLeast"/>
        </w:trPr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Согласовано: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jc w:val="both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Начальник производственно- технической службы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должность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___________ / Р.Е. Лессик/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>
              <w:rPr>
                <w:sz w:val="20"/>
                <w:szCs w:val="20"/>
              </w:rPr>
              <w:t>подпись                   Ф.И.О.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jc w:val="both"/>
              <w:rPr/>
            </w:pPr>
            <w:r>
              <w:rPr>
                <w:sz w:val="24"/>
                <w:szCs w:val="24"/>
              </w:rPr>
              <w:t>«____»___________  20___ г.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Согласовано: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jc w:val="both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Руководитель юридической группы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должность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___________ / Д.В. Давыдов/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>
              <w:rPr>
                <w:sz w:val="20"/>
                <w:szCs w:val="20"/>
              </w:rPr>
              <w:t>подпись                  Ф.И.О.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jc w:val="both"/>
              <w:rPr/>
            </w:pPr>
            <w:r>
              <w:rPr>
                <w:sz w:val="24"/>
                <w:szCs w:val="24"/>
              </w:rPr>
              <w:t>«____»___________  20___ г.</w:t>
            </w:r>
          </w:p>
        </w:tc>
      </w:tr>
      <w:tr>
        <w:trPr>
          <w:trHeight w:val="1675" w:hRule="atLeast"/>
        </w:trPr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Согласовано: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jc w:val="both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Начальник отдела закупок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должность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___________ / А.В. Ефремов/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>
              <w:rPr>
                <w:sz w:val="20"/>
                <w:szCs w:val="20"/>
              </w:rPr>
              <w:t>подпись                   Ф.И.О.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jc w:val="both"/>
              <w:rPr/>
            </w:pPr>
            <w:r>
              <w:rPr>
                <w:sz w:val="24"/>
                <w:szCs w:val="24"/>
              </w:rPr>
              <w:t>«____»___________  20___ г.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Согласовано: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jc w:val="both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Руководитель группы ГТС и ПЗ ПТС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должность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___________ / А.В. Солдатов/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>
              <w:rPr>
                <w:sz w:val="20"/>
                <w:szCs w:val="20"/>
              </w:rPr>
              <w:t>подпись                 Ф.И.О.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jc w:val="both"/>
              <w:rPr/>
            </w:pPr>
            <w:r>
              <w:rPr>
                <w:sz w:val="24"/>
                <w:szCs w:val="24"/>
              </w:rPr>
              <w:t>«____»___________  20___ г.</w:t>
            </w:r>
          </w:p>
        </w:tc>
      </w:tr>
      <w:tr>
        <w:trPr>
          <w:trHeight w:val="1862" w:hRule="atLeast"/>
        </w:trPr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Согласовано: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jc w:val="both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Начальник СОТ и ПК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должность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___________ / С.Л. Михайлов/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>
              <w:rPr>
                <w:sz w:val="20"/>
                <w:szCs w:val="20"/>
              </w:rPr>
              <w:t>подпись                     Ф.И.О.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jc w:val="both"/>
              <w:rPr/>
            </w:pPr>
            <w:r>
              <w:rPr>
                <w:sz w:val="24"/>
                <w:szCs w:val="24"/>
              </w:rPr>
              <w:t>«____»___________  20___ г.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Согласовано:</w:t>
            </w:r>
          </w:p>
          <w:p>
            <w:pPr>
              <w:pStyle w:val="Normal"/>
              <w:widowControl w:val="false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директора Департамента эксплуатации</w:t>
            </w:r>
          </w:p>
          <w:p>
            <w:pPr>
              <w:pStyle w:val="Normal"/>
              <w:widowControl w:val="false"/>
              <w:spacing w:lineRule="auto" w:line="276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по оборудованию и сооружениям</w:t>
            </w:r>
          </w:p>
          <w:p>
            <w:pPr>
              <w:pStyle w:val="Normal"/>
              <w:widowControl w:val="false"/>
              <w:spacing w:lineRule="auto" w:line="276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должность</w:t>
            </w:r>
          </w:p>
          <w:p>
            <w:pPr>
              <w:pStyle w:val="Normal"/>
              <w:widowControl w:val="false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___________ / Колпаков А.Ю./</w:t>
            </w:r>
          </w:p>
          <w:p>
            <w:pPr>
              <w:pStyle w:val="Normal"/>
              <w:widowControl w:val="false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>
              <w:rPr>
                <w:sz w:val="24"/>
                <w:szCs w:val="24"/>
              </w:rPr>
              <w:t>подпись               Ф.И.О.</w:t>
            </w:r>
          </w:p>
          <w:p>
            <w:pPr>
              <w:pStyle w:val="Normal"/>
              <w:widowControl w:val="false"/>
              <w:spacing w:lineRule="auto" w:line="276"/>
              <w:rPr/>
            </w:pPr>
            <w:r>
              <w:rPr>
                <w:sz w:val="24"/>
                <w:szCs w:val="24"/>
              </w:rPr>
              <w:t>«____»___________  20___ г.</w:t>
            </w:r>
          </w:p>
        </w:tc>
      </w:tr>
    </w:tbl>
    <w:p>
      <w:pPr>
        <w:pStyle w:val="Heading1"/>
        <w:keepLines/>
        <w:tabs>
          <w:tab w:val="clear" w:pos="0"/>
        </w:tabs>
        <w:spacing w:before="120" w:after="60"/>
        <w:ind w:hanging="0" w:left="0"/>
        <w:rPr>
          <w:lang w:val="ru-RU"/>
        </w:rPr>
      </w:pPr>
      <w:r>
        <w:rPr>
          <w:lang w:val="ru-RU"/>
        </w:rPr>
      </w:r>
    </w:p>
    <w:sectPr>
      <w:headerReference w:type="default" r:id="rId7"/>
      <w:headerReference w:type="first" r:id="rId8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Courier New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4445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635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18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t>10</w:t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21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t>18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 w:val="false"/>
        <w:szCs w:val="24"/>
        <w:iCs/>
        <w:bCs w:val="fals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90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i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lvl w:ilvl="0">
      <w:start w:val="4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40" w:hanging="42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1800"/>
      </w:pPr>
      <w:rPr/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22bd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/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20"/>
        <w:tab w:val="left" w:pos="0" w:leader="none"/>
      </w:tabs>
      <w:spacing w:before="120" w:after="60"/>
      <w:ind w:hanging="504" w:left="1224"/>
      <w:outlineLvl w:val="2"/>
    </w:pPr>
    <w:rPr>
      <w:rFonts w:eastAsia="Calibri"/>
      <w:b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basedOn w:val="DefaultParagraphFont"/>
    <w:uiPriority w:val="99"/>
    <w:unhideWhenUsed/>
    <w:rsid w:val="0069403c"/>
    <w:rPr>
      <w:color w:val="0563C1" w:themeColor="hyperlink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Blk1" w:customStyle="1">
    <w:name w:val="blk1"/>
    <w:qFormat/>
    <w:rsid w:val="008d7cca"/>
    <w:rPr>
      <w:vanish w:val="false"/>
    </w:rPr>
  </w:style>
  <w:style w:type="character" w:styleId="Style14" w:customStyle="1">
    <w:name w:val="Ссылка указателя"/>
    <w:qFormat/>
    <w:rPr/>
  </w:style>
  <w:style w:type="character" w:styleId="WW8Num4z1" w:customStyle="1">
    <w:name w:val="WW8Num4z1"/>
    <w:qFormat/>
    <w:rsid w:val="00471253"/>
    <w:rPr>
      <w:rFonts w:ascii="Courier New" w:hAnsi="Courier New" w:cs="Courier New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Indexheading1111" w:customStyle="1">
    <w:name w:val="index heading1111"/>
    <w:basedOn w:val="Title"/>
    <w:qFormat/>
    <w:pPr/>
    <w:rPr/>
  </w:style>
  <w:style w:type="paragraph" w:styleId="Style17" w:customStyle="1">
    <w:name w:val="Название раздела инструкции"/>
    <w:basedOn w:val="Normal"/>
    <w:autoRedefine/>
    <w:qFormat/>
    <w:rsid w:val="00e24304"/>
    <w:pPr/>
    <w:rPr>
      <w:sz w:val="24"/>
      <w:szCs w:val="24"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20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20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20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1567af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hanging="0" w:left="28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20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 w:customStyle="1">
    <w:name w:val="Содержимое врезки"/>
    <w:basedOn w:val="Normal"/>
    <w:qFormat/>
    <w:pPr/>
    <w:rPr/>
  </w:style>
  <w:style w:type="paragraph" w:styleId="110" w:customStyle="1">
    <w:name w:val="Текст1"/>
    <w:basedOn w:val="Normal"/>
    <w:qFormat/>
    <w:pPr/>
    <w:rPr>
      <w:rFonts w:ascii="Calibri" w:hAnsi="Calibri" w:eastAsia="Calibri" w:cs="Calibri"/>
      <w:sz w:val="22"/>
      <w:szCs w:val="21"/>
    </w:rPr>
  </w:style>
  <w:style w:type="paragraph" w:styleId="Style34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5" w:customStyle="1">
    <w:name w:val="Заголовок таблицы"/>
    <w:basedOn w:val="Style34"/>
    <w:qFormat/>
    <w:pPr>
      <w:jc w:val="center"/>
    </w:pPr>
    <w:rPr>
      <w:b/>
      <w:bCs/>
    </w:rPr>
  </w:style>
  <w:style w:type="paragraph" w:styleId="Style36" w:customStyle="1">
    <w:name w:val="Текст в заданном формате"/>
    <w:basedOn w:val="Normal"/>
    <w:qFormat/>
    <w:pPr/>
    <w:rPr>
      <w:rFonts w:ascii="Liberation Mono" w:hAnsi="Liberation Mono" w:eastAsia="Liberation Mono" w:cs="Liberation Mono"/>
      <w:sz w:val="20"/>
      <w:szCs w:val="20"/>
    </w:rPr>
  </w:style>
  <w:style w:type="paragraph" w:styleId="29" w:customStyle="1">
    <w:name w:val="Абзац списка2"/>
    <w:basedOn w:val="Normal"/>
    <w:qFormat/>
    <w:rsid w:val="00471253"/>
    <w:pPr>
      <w:spacing w:lineRule="auto" w:line="276" w:before="0" w:after="200"/>
      <w:ind w:hanging="0" w:left="720"/>
      <w:contextualSpacing/>
    </w:pPr>
    <w:rPr>
      <w:rFonts w:ascii="Calibri" w:hAnsi="Calibri" w:cs="Calibri"/>
      <w:sz w:val="22"/>
      <w:szCs w:val="22"/>
      <w:lang w:eastAsia="zh-CN"/>
    </w:rPr>
  </w:style>
  <w:style w:type="numbering" w:styleId="NoList" w:default="1">
    <w:name w:val="No List"/>
    <w:uiPriority w:val="99"/>
    <w:semiHidden/>
    <w:unhideWhenUsed/>
    <w:qFormat/>
  </w:style>
  <w:style w:type="numbering" w:styleId="111" w:customStyle="1">
    <w:name w:val="Стиль1"/>
    <w:uiPriority w:val="99"/>
    <w:qFormat/>
    <w:rsid w:val="00f001e4"/>
  </w:style>
  <w:style w:type="numbering" w:styleId="210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8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d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4434C6-6E83-4099-BDD0-80857D631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828</TotalTime>
  <Application>AlterOffice/2026.2.0.0$Linux_X86_64 LibreOffice_project/bc4ef1adf80b36c7a6365f8ed6cbf29021361edd</Application>
  <AppVersion>15.0000</AppVersion>
  <Pages>21</Pages>
  <Words>3790</Words>
  <Characters>27061</Characters>
  <CharactersWithSpaces>30988</CharactersWithSpaces>
  <Paragraphs>389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2024-05-21T12:01:00Z</dcterms:created>
  <dc:creator>Быстров Олег Геннадьевич</dc:creator>
  <dc:description/>
  <dc:language>ru-RU</dc:language>
  <cp:lastModifiedBy>logunovsa@corp.gidroogk.com</cp:lastModifiedBy>
  <cp:lastPrinted>2024-05-20T07:27:00Z</cp:lastPrinted>
  <dcterms:modified xsi:type="dcterms:W3CDTF">2026-09-16T14:14:36Z</dcterms:modified>
  <cp:revision>242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