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</w:rPr>
      </w:pPr>
      <w:r>
        <w:rPr>
          <w:rFonts w:eastAsia="Calibri"/>
          <w:b/>
          <w:sz w:val="26"/>
          <w:szCs w:val="26"/>
        </w:rPr>
        <w:t>ОКПД2 27.40.24 Поставка дорожных и предупредительных знаков для нужд Волжск</w:t>
      </w:r>
      <w:r>
        <w:rPr>
          <w:rFonts w:eastAsia="Calibri"/>
          <w:b/>
          <w:sz w:val="26"/>
          <w:szCs w:val="26"/>
        </w:rPr>
        <w:t>о</w:t>
      </w:r>
      <w:r>
        <w:rPr>
          <w:rFonts w:eastAsia="Calibri"/>
          <w:b/>
          <w:sz w:val="26"/>
          <w:szCs w:val="26"/>
        </w:rPr>
        <w:t>го филиала АО «Гидроремонт-ВКК»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560_4042686126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2_4042686126">
            <w:r>
              <w:rPr>
                <w:rStyle w:val="Style14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4_4042686126">
            <w:r>
              <w:rPr>
                <w:rStyle w:val="Style14"/>
              </w:rPr>
              <w:t>1.2.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66_4042686126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68_4042686126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570_4042686126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72_4042686126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574_4042686126">
            <w:r>
              <w:rPr>
                <w:rStyle w:val="Style14"/>
              </w:rPr>
              <w:t>2.1.2. Требования к срокам поставки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76_4042686126">
            <w:r>
              <w:rPr>
                <w:rStyle w:val="Style14"/>
              </w:rPr>
              <w:t>Таблица 2.2 Требования по срокам поставки продукции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578_4042686126">
            <w:r>
              <w:rPr>
                <w:rStyle w:val="Style14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80_4042686126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7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2582_4042686126">
            <w:r>
              <w:rPr>
                <w:rStyle w:val="Style14"/>
              </w:rPr>
      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        <w:tab/>
              <w:t>7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2584_4042686126">
            <w:r>
              <w:rPr>
                <w:rStyle w:val="Style14"/>
              </w:rPr>
              <w:t>3.2. Дополнительные документы по ценообразованию в состав заявки не включаются.</w:t>
              <w:tab/>
              <w:t>7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2"/>
        <w:tabs>
          <w:tab w:val="clear" w:pos="708"/>
          <w:tab w:val="right" w:pos="9921" w:leader="dot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60"/>
        <w:ind w:hanging="357" w:left="357"/>
        <w:contextualSpacing/>
        <w:jc w:val="center"/>
        <w:rPr>
          <w:lang w:val="ru-RU"/>
        </w:rPr>
      </w:pPr>
      <w:bookmarkStart w:id="0" w:name="__RefHeading___Toc2560_4042686126"/>
      <w:bookmarkStart w:id="1" w:name="_Toc127778163"/>
      <w:bookmarkStart w:id="2" w:name="_Toc51339692"/>
      <w:bookmarkStart w:id="3" w:name="_Toc164844462"/>
      <w:bookmarkEnd w:id="0"/>
      <w:r>
        <w:rPr>
          <w:lang w:val="ru-RU"/>
        </w:rPr>
        <w:t>Общие сведения</w:t>
      </w:r>
      <w:bookmarkEnd w:id="1"/>
      <w:bookmarkEnd w:id="2"/>
      <w:bookmarkEnd w:id="3"/>
    </w:p>
    <w:p>
      <w:pPr>
        <w:pStyle w:val="Heading4"/>
        <w:numPr>
          <w:ilvl w:val="1"/>
          <w:numId w:val="3"/>
        </w:numPr>
        <w:spacing w:before="120" w:after="60"/>
        <w:contextualSpacing/>
        <w:rPr/>
      </w:pPr>
      <w:bookmarkStart w:id="4" w:name="__RefHeading___Toc2562_4042686126"/>
      <w:bookmarkStart w:id="5" w:name="_Toc164844463"/>
      <w:bookmarkStart w:id="6" w:name="_Toc127778164"/>
      <w:bookmarkStart w:id="7" w:name="_Toc46743506"/>
      <w:bookmarkEnd w:id="4"/>
      <w:r>
        <w:rPr/>
        <w:t>Наименование закупаемой продукции</w:t>
      </w:r>
      <w:bookmarkEnd w:id="5"/>
      <w:bookmarkEnd w:id="6"/>
      <w:bookmarkEnd w:id="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contextualSpacing/>
        <w:rPr/>
      </w:pPr>
      <w:r>
        <w:rPr>
          <w:rFonts w:eastAsia="Calibri"/>
          <w:b/>
          <w:bCs/>
          <w:sz w:val="26"/>
          <w:szCs w:val="26"/>
          <w:lang w:eastAsia="x-none"/>
        </w:rPr>
        <w:t>ОКПД2 27.40.24 Поставка дорожных и предупредительных знаков</w:t>
      </w:r>
      <w:r>
        <w:rPr>
          <w:rFonts w:eastAsia="Calibri"/>
          <w:i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contextualSpacing/>
        <w:rPr/>
      </w:pPr>
      <w:bookmarkStart w:id="8" w:name="__RefHeading___Toc2564_4042686126"/>
      <w:bookmarkStart w:id="9" w:name="_Toc164844464"/>
      <w:bookmarkStart w:id="10" w:name="_Toc127778165"/>
      <w:bookmarkStart w:id="11" w:name="_Toc46743507"/>
      <w:bookmarkEnd w:id="8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9"/>
      <w:bookmarkEnd w:id="10"/>
      <w:r>
        <w:rPr>
          <w:lang w:val="ru-RU"/>
        </w:rPr>
        <w:t xml:space="preserve"> </w:t>
      </w:r>
      <w:r>
        <w:rPr/>
        <w:t xml:space="preserve"> </w:t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spacing w:before="0" w:after="0"/>
        <w:contextualSpacing/>
        <w:rPr/>
      </w:pPr>
      <w:r>
        <w:rPr>
          <w:rStyle w:val="Style8"/>
          <w:b w:val="false"/>
          <w:i w:val="false"/>
          <w:sz w:val="24"/>
          <w:shd w:fill="auto" w:val="clear"/>
        </w:rPr>
        <w:t xml:space="preserve">Продукция предназначена устройства автомобильного досмотрового шлюза поста охраны №8  Волжской ГЭС". </w:t>
      </w:r>
      <w:r>
        <w:rPr>
          <w:rStyle w:val="Style8"/>
          <w:b w:val="false"/>
          <w:i w:val="false"/>
          <w:sz w:val="24"/>
          <w:shd w:fill="FFFF00" w:val="clear"/>
        </w:rPr>
        <w:t>В рамках</w:t>
      </w:r>
    </w:p>
    <w:p>
      <w:pPr>
        <w:pStyle w:val="Heading1"/>
        <w:keepLines/>
        <w:numPr>
          <w:ilvl w:val="0"/>
          <w:numId w:val="3"/>
        </w:numPr>
        <w:ind w:hanging="357" w:left="357"/>
        <w:rPr>
          <w:iCs/>
          <w:sz w:val="24"/>
          <w:szCs w:val="24"/>
        </w:rPr>
      </w:pPr>
      <w:bookmarkStart w:id="12" w:name="__RefHeading___Toc2566_4042686126"/>
      <w:bookmarkStart w:id="13" w:name="_Toc51339693"/>
      <w:bookmarkStart w:id="14" w:name="_Toc127778166"/>
      <w:bookmarkStart w:id="15" w:name="_Toc164844465"/>
      <w:bookmarkStart w:id="16" w:name="_Toc50125126"/>
      <w:bookmarkStart w:id="17" w:name="_Toc46743510"/>
      <w:bookmarkEnd w:id="12"/>
      <w:bookmarkEnd w:id="16"/>
      <w:bookmarkEnd w:id="17"/>
      <w:r>
        <w:rPr>
          <w:iCs/>
          <w:sz w:val="24"/>
          <w:szCs w:val="24"/>
        </w:rPr>
        <w:t>Требования к продукции</w:t>
      </w:r>
      <w:bookmarkEnd w:id="13"/>
      <w:bookmarkEnd w:id="14"/>
      <w:bookmarkEnd w:id="15"/>
    </w:p>
    <w:p>
      <w:pPr>
        <w:pStyle w:val="Heading4"/>
        <w:numPr>
          <w:ilvl w:val="1"/>
          <w:numId w:val="3"/>
        </w:numPr>
        <w:rPr/>
      </w:pPr>
      <w:bookmarkStart w:id="18" w:name="__RefHeading___Toc2568_4042686126"/>
      <w:bookmarkStart w:id="19" w:name="_Toc164844466"/>
      <w:bookmarkStart w:id="20" w:name="_Toc127778167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  <w:bookmarkEnd w:id="20"/>
    </w:p>
    <w:p>
      <w:pPr>
        <w:pStyle w:val="Heading3"/>
        <w:numPr>
          <w:ilvl w:val="2"/>
          <w:numId w:val="3"/>
        </w:numPr>
        <w:rPr>
          <w:b w:val="false"/>
          <w:lang w:val="ru-RU"/>
        </w:rPr>
      </w:pPr>
      <w:bookmarkStart w:id="21" w:name="__RefHeading___Toc2570_4042686126"/>
      <w:bookmarkStart w:id="22" w:name="_Toc164844467"/>
      <w:bookmarkStart w:id="23" w:name="_Toc127778168"/>
      <w:bookmarkEnd w:id="21"/>
      <w:r>
        <w:rPr>
          <w:b w:val="false"/>
          <w:lang w:val="ru-RU"/>
        </w:rPr>
        <w:t>Перечень и объем закупаемой продукции</w:t>
      </w:r>
      <w:bookmarkEnd w:id="22"/>
      <w:bookmarkEnd w:id="23"/>
    </w:p>
    <w:p>
      <w:pPr>
        <w:pStyle w:val="Heading1"/>
        <w:tabs>
          <w:tab w:val="clear" w:pos="0"/>
        </w:tabs>
        <w:spacing w:before="240" w:after="60"/>
        <w:ind w:hanging="0" w:left="0"/>
        <w:rPr/>
      </w:pPr>
      <w:bookmarkStart w:id="24" w:name="__RefHeading___Toc2572_4042686126"/>
      <w:bookmarkStart w:id="25" w:name="_Toc164844468"/>
      <w:bookmarkStart w:id="26" w:name="_Toc127778169"/>
      <w:bookmarkStart w:id="27" w:name="_Toc51339695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7"/>
      <w:r>
        <w:rPr>
          <w:sz w:val="24"/>
          <w:szCs w:val="24"/>
          <w:lang w:val="ru-RU"/>
        </w:rPr>
        <w:t>и объем закупаемой продукции</w:t>
      </w:r>
      <w:bookmarkEnd w:id="25"/>
      <w:bookmarkEnd w:id="26"/>
    </w:p>
    <w:p>
      <w:pPr>
        <w:pStyle w:val="Normal"/>
        <w:tabs>
          <w:tab w:val="clear" w:pos="708"/>
        </w:tabs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W w:w="14505" w:type="dxa"/>
        <w:jc w:val="left"/>
        <w:tblInd w:w="3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9"/>
        <w:gridCol w:w="8781"/>
        <w:gridCol w:w="2956"/>
        <w:gridCol w:w="972"/>
        <w:gridCol w:w="1007"/>
      </w:tblGrid>
      <w:tr>
        <w:trPr>
          <w:trHeight w:val="619" w:hRule="atLeast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п/п</w:t>
            </w:r>
          </w:p>
        </w:tc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продукции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Обозначение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Ед. изм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Кол-во</w:t>
            </w:r>
          </w:p>
        </w:tc>
      </w:tr>
      <w:tr>
        <w:trPr>
          <w:trHeight w:val="448" w:hRule="atLeast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</w:t>
            </w:r>
          </w:p>
        </w:tc>
      </w:tr>
      <w:tr>
        <w:trPr>
          <w:trHeight w:val="479" w:hRule="atLeast"/>
        </w:trPr>
        <w:tc>
          <w:tcPr>
            <w:tcW w:w="14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36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Дорожные и предупредительные знаки</w:t>
            </w:r>
          </w:p>
        </w:tc>
      </w:tr>
      <w:tr>
        <w:trPr>
          <w:trHeight w:val="495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приоритета (" Движение без остановки запрещено")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2.5 ГОСТ 52290-2004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Запрещающий знак (" Контроль")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3.17.3 ГОСТ 52290-2004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Запрещающий знак (" Обгон запрещен")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3.20 ГОСТ 52290-2004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Запрещающий знак (" Ограничение максимальной скорости")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 3.24 ГОСТ 52290-2004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52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Металлическая стойка d=40x3, l=3500мм, оцинкованная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СКМ1.35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448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Болт М10х40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</w:tr>
      <w:tr>
        <w:trPr>
          <w:trHeight w:val="572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Гайка М 10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</w:tr>
      <w:tr>
        <w:trPr>
          <w:trHeight w:val="449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Хомут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ТК 3.503.9-80.I-II</w:t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>
        <w:trPr>
          <w:trHeight w:val="634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Предупредительный знак " ЗАПРЕТНАЯ ЗОНА" в комплекте с гайками, шайбами и болтами RAL 9006.Оцинкованный с полимерным покрытием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>
        <w:trPr>
          <w:trHeight w:val="897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Предупредительный знак " ЗАПРЕТНАЯ ЗОНА. ПРОХОД ЗАПРЕЩЕН " в комплекте с шайбами, гайками и болтами RAL 9006. Оцинкованный с полимерным покрытием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Планка крепления на сетчатом ограждении предупредительных знаков</w:t>
            </w:r>
          </w:p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600х45х2 RAL 9006. Оцинкованный сполимерным покрытием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Колесотбойное заграждение L=4000 мм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>
          <w:trHeight w:val="396" w:hRule="atLeast"/>
        </w:trPr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Анкерный болт 12х140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</w:tbl>
    <w:p>
      <w:pPr>
        <w:pStyle w:val="Heading3"/>
        <w:tabs>
          <w:tab w:val="clear" w:pos="0"/>
        </w:tabs>
        <w:ind w:hanging="0" w:left="0"/>
        <w:jc w:val="both"/>
        <w:rPr/>
      </w:pPr>
      <w:bookmarkStart w:id="28" w:name="__RefHeading___Toc2574_4042686126"/>
      <w:bookmarkStart w:id="29" w:name="_Toc127778170"/>
      <w:bookmarkStart w:id="30" w:name="_Toc164844469"/>
      <w:bookmarkStart w:id="31" w:name="_Toc51339696"/>
      <w:bookmarkEnd w:id="28"/>
      <w:r>
        <w:rPr>
          <w:lang w:val="ru-RU"/>
        </w:rPr>
        <w:t xml:space="preserve">2.1.2. Требования </w:t>
      </w:r>
      <w:bookmarkEnd w:id="31"/>
      <w:r>
        <w:rPr>
          <w:lang w:val="ru-RU"/>
        </w:rPr>
        <w:t>к срокам поставки продукции</w:t>
      </w:r>
      <w:bookmarkEnd w:id="29"/>
      <w:bookmarkEnd w:id="30"/>
    </w:p>
    <w:p>
      <w:pPr>
        <w:pStyle w:val="Heading1"/>
        <w:tabs>
          <w:tab w:val="clear" w:pos="0"/>
        </w:tabs>
        <w:spacing w:before="240" w:after="60"/>
        <w:ind w:hanging="0" w:left="0"/>
        <w:rPr/>
      </w:pPr>
      <w:bookmarkStart w:id="32" w:name="__RefHeading___Toc2576_4042686126"/>
      <w:bookmarkStart w:id="33" w:name="_Toc164844470"/>
      <w:bookmarkStart w:id="34" w:name="_Toc127778171"/>
      <w:bookmarkStart w:id="35" w:name="_Toc50125127"/>
      <w:bookmarkStart w:id="36" w:name="_Toc51339697"/>
      <w:bookmarkStart w:id="37" w:name="_Toc501251261"/>
      <w:bookmarkEnd w:id="32"/>
      <w:bookmarkEnd w:id="3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38" w:name="_Hlk50465284"/>
      <w:r>
        <w:rPr>
          <w:sz w:val="24"/>
          <w:szCs w:val="24"/>
        </w:rPr>
        <w:t xml:space="preserve">Требования по срокам </w:t>
      </w:r>
      <w:bookmarkEnd w:id="35"/>
      <w:bookmarkEnd w:id="36"/>
      <w:bookmarkEnd w:id="38"/>
      <w:r>
        <w:rPr>
          <w:sz w:val="24"/>
          <w:szCs w:val="24"/>
          <w:lang w:val="ru-RU"/>
        </w:rPr>
        <w:t>поставки продукции</w:t>
      </w:r>
      <w:bookmarkEnd w:id="33"/>
      <w:bookmarkEnd w:id="34"/>
      <w:r>
        <w:rPr>
          <w:sz w:val="24"/>
          <w:szCs w:val="24"/>
          <w:lang w:val="ru-RU"/>
        </w:rPr>
        <w:t xml:space="preserve"> </w:t>
      </w:r>
    </w:p>
    <w:tbl>
      <w:tblPr>
        <w:tblW w:w="1450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40"/>
        <w:gridCol w:w="5505"/>
        <w:gridCol w:w="5660"/>
      </w:tblGrid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1.1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30 календарных  дней с даты подписания договора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tabs>
          <w:tab w:val="clear" w:pos="0"/>
        </w:tabs>
        <w:ind w:hanging="0" w:left="0"/>
        <w:rPr>
          <w:lang w:val="ru-RU"/>
        </w:rPr>
      </w:pPr>
      <w:bookmarkStart w:id="39" w:name="__RefHeading___Toc2578_4042686126"/>
      <w:bookmarkStart w:id="40" w:name="_Toc164844471"/>
      <w:bookmarkEnd w:id="39"/>
      <w:r>
        <w:rPr>
          <w:lang w:val="ru-RU"/>
        </w:rPr>
        <w:t>2.2. Требования к качеству продукции</w:t>
      </w:r>
      <w:bookmarkEnd w:id="40"/>
    </w:p>
    <w:p>
      <w:pPr>
        <w:pStyle w:val="Normal"/>
        <w:keepLines/>
        <w:spacing w:before="240" w:after="60"/>
        <w:rPr>
          <w:b/>
          <w:bCs/>
        </w:rPr>
      </w:pPr>
      <w:bookmarkStart w:id="41" w:name="_Toc75446582"/>
      <w:r>
        <w:rPr>
          <w:b/>
          <w:bCs/>
          <w:sz w:val="24"/>
          <w:szCs w:val="24"/>
        </w:rPr>
        <w:t>Таблица 3. Требования к продукции</w:t>
      </w:r>
      <w:bookmarkEnd w:id="41"/>
      <w:r>
        <w:rPr>
          <w:b/>
          <w:bCs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x-none"/>
        </w:rPr>
        <w:t xml:space="preserve">Наименование продукции: </w:t>
      </w:r>
      <w:r>
        <w:rPr>
          <w:rStyle w:val="Style8"/>
          <w:rFonts w:eastAsia="Calibri"/>
          <w:b w:val="false"/>
          <w:bCs/>
          <w:i w:val="false"/>
          <w:sz w:val="24"/>
          <w:szCs w:val="24"/>
          <w:shd w:fill="auto" w:val="clear"/>
          <w:lang w:eastAsia="x-none"/>
        </w:rPr>
        <w:t>«Дорожные и предупредительные знаки»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W w:w="15139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26"/>
        <w:gridCol w:w="1809"/>
        <w:gridCol w:w="6837"/>
        <w:gridCol w:w="2661"/>
        <w:gridCol w:w="2806"/>
      </w:tblGrid>
      <w:tr>
        <w:trPr/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1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8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345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rPr/>
            </w:pPr>
            <w:r>
              <w:rPr/>
              <w:t xml:space="preserve">    </w:t>
            </w:r>
            <w:r>
              <w:rPr/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закупке.</w:t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60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1.1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Требования к техническим и функциональным характеристикам  каждой позиции продукции указаны в Таблице 1.1. «Перечень и объем закупаемой продукции»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3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97"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0"/>
              </w:rPr>
              <w:t xml:space="preserve">Волжский филиал АО «Гидроремонт – ВКК», РФ, 404130, Волгоградская обл., г. Волжский, пр-т Ленина, д. 1А. Территория Волжской ГЭС 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Информация о транспорте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/>
            </w:pPr>
            <w:r>
              <w:rPr/>
              <w:t>2.3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в рабочие дни с 9-00 до 11-00 и с 13-00 до 16-00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>
          <w:trHeight w:val="7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372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Не менее 12 месяцев с даты подписания сторонами ТОРГ – 12 (УПД)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0" w:right="3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bookmarkStart w:id="42" w:name="_GoBack"/>
            <w:bookmarkEnd w:id="42"/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577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образом; сертификаты качества, технические паспорта, товарно - транспортные накладные, товарную накладную.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продукции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77" w:hRule="atLeast"/>
        </w:trPr>
        <w:tc>
          <w:tcPr>
            <w:tcW w:w="9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26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keepLines/>
        <w:ind w:hanging="0" w:left="357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Heading1"/>
        <w:tabs>
          <w:tab w:val="clear" w:pos="0"/>
        </w:tabs>
        <w:ind w:hanging="0" w:left="0"/>
        <w:rPr>
          <w:sz w:val="24"/>
          <w:szCs w:val="24"/>
        </w:rPr>
      </w:pPr>
      <w:bookmarkStart w:id="43" w:name="__RefHeading___Toc2580_4042686126"/>
      <w:bookmarkStart w:id="44" w:name="_Toc164844472"/>
      <w:bookmarkEnd w:id="43"/>
      <w:r>
        <w:rPr>
          <w:sz w:val="24"/>
          <w:szCs w:val="24"/>
          <w:lang w:val="ru-RU"/>
        </w:rPr>
        <w:t xml:space="preserve">3. </w:t>
      </w:r>
      <w:bookmarkStart w:id="45" w:name="_Toc127778177"/>
      <w:bookmarkStart w:id="46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46"/>
      <w:r>
        <w:rPr>
          <w:sz w:val="24"/>
          <w:szCs w:val="24"/>
          <w:lang w:val="ru-RU"/>
        </w:rPr>
        <w:t xml:space="preserve"> на этапе закупки</w:t>
      </w:r>
      <w:bookmarkEnd w:id="44"/>
      <w:bookmarkEnd w:id="45"/>
    </w:p>
    <w:p>
      <w:pPr>
        <w:pStyle w:val="Heading2"/>
        <w:tabs>
          <w:tab w:val="clear" w:pos="0"/>
        </w:tabs>
        <w:ind w:hanging="0" w:left="0"/>
        <w:rPr/>
      </w:pPr>
      <w:bookmarkStart w:id="47" w:name="__RefHeading___Toc2582_4042686126"/>
      <w:bookmarkStart w:id="48" w:name="_Toc164844473"/>
      <w:bookmarkStart w:id="49" w:name="_Toc126844249"/>
      <w:bookmarkStart w:id="50" w:name="_Toc127778178"/>
      <w:bookmarkEnd w:id="47"/>
      <w:r>
        <w:rPr>
          <w:b w:val="false"/>
          <w:bCs w:val="false"/>
          <w:lang w:val="ru-RU"/>
        </w:rPr>
        <w:t xml:space="preserve">3.1. </w:t>
      </w:r>
      <w:r>
        <w:rPr>
          <w:b w:val="false"/>
          <w:bCs w:val="false"/>
        </w:rPr>
        <w:t>В обоснование стоимости своей заявки Участник предоставляет</w:t>
      </w:r>
      <w:r>
        <w:rPr>
          <w:b w:val="false"/>
        </w:rPr>
        <w:t xml:space="preserve"> Коммерческое</w:t>
      </w:r>
      <w:r>
        <w:rPr>
          <w:b w:val="false"/>
          <w:lang w:val="ru-RU"/>
        </w:rPr>
        <w:t xml:space="preserve"> </w:t>
      </w:r>
      <w:r>
        <w:rPr>
          <w:b w:val="false"/>
          <w:bCs w:val="false"/>
        </w:rPr>
        <w:t xml:space="preserve">предложение по форме </w:t>
      </w:r>
      <w:bookmarkStart w:id="51" w:name="_Hlk88325985"/>
      <w:r>
        <w:rPr>
          <w:b w:val="false"/>
          <w:bCs w:val="false"/>
        </w:rPr>
        <w:t>(с учетом прилагаемой к ней инструкции по заполнению)</w:t>
      </w:r>
      <w:bookmarkEnd w:id="51"/>
      <w:r>
        <w:rPr>
          <w:b w:val="false"/>
          <w:bCs w:val="false"/>
        </w:rPr>
        <w:t>, приведенной в Документации о закупке.</w:t>
      </w:r>
      <w:bookmarkEnd w:id="48"/>
      <w:bookmarkEnd w:id="49"/>
      <w:bookmarkEnd w:id="50"/>
    </w:p>
    <w:p>
      <w:pPr>
        <w:pStyle w:val="Heading2"/>
        <w:tabs>
          <w:tab w:val="clear" w:pos="0"/>
        </w:tabs>
        <w:ind w:hanging="0" w:left="0"/>
        <w:rPr>
          <w:b w:val="false"/>
          <w:bCs w:val="false"/>
        </w:rPr>
      </w:pPr>
      <w:bookmarkStart w:id="52" w:name="__RefHeading___Toc2584_4042686126"/>
      <w:bookmarkStart w:id="53" w:name="_Toc164844474"/>
      <w:bookmarkStart w:id="54" w:name="_Toc127778179"/>
      <w:bookmarkStart w:id="55" w:name="_Toc126844250"/>
      <w:bookmarkStart w:id="56" w:name="_Hlk88327292"/>
      <w:bookmarkEnd w:id="52"/>
      <w:r>
        <w:rPr>
          <w:b w:val="false"/>
          <w:bCs w:val="false"/>
          <w:lang w:val="ru-RU"/>
        </w:rPr>
        <w:t xml:space="preserve">3.2. </w:t>
      </w:r>
      <w:r>
        <w:rPr>
          <w:b w:val="false"/>
          <w:bCs w:val="false"/>
        </w:rPr>
        <w:t>Дополнительные документы по ценообразованию</w:t>
      </w:r>
      <w:bookmarkEnd w:id="56"/>
      <w:r>
        <w:rPr>
          <w:b w:val="false"/>
          <w:bCs w:val="false"/>
        </w:rPr>
        <w:t xml:space="preserve"> в состав заявки не включаются.</w:t>
      </w:r>
      <w:bookmarkEnd w:id="53"/>
      <w:bookmarkEnd w:id="54"/>
      <w:bookmarkEnd w:id="55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</w:r>
    </w:p>
    <w:p>
      <w:pPr>
        <w:pStyle w:val="Normal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  <w:t xml:space="preserve">4. Приложение №1 к ТТ </w:t>
      </w:r>
      <w:r>
        <w:rPr>
          <w:b w:val="false"/>
          <w:bCs w:val="false"/>
          <w:sz w:val="24"/>
          <w:szCs w:val="24"/>
          <w:lang w:eastAsia="x-none"/>
        </w:rPr>
        <w:t>Комплект чертежей</w:t>
      </w:r>
      <w:r>
        <w:rPr>
          <w:b/>
          <w:bCs/>
          <w:sz w:val="24"/>
          <w:szCs w:val="24"/>
          <w:lang w:eastAsia="x-none"/>
        </w:rPr>
        <w:t xml:space="preserve"> </w:t>
      </w:r>
    </w:p>
    <w:p>
      <w:pPr>
        <w:pStyle w:val="TOC1"/>
        <w:tabs>
          <w:tab w:val="clear" w:pos="708"/>
          <w:tab w:val="right" w:pos="9921" w:leader="dot"/>
        </w:tabs>
        <w:rPr/>
      </w:pPr>
      <w:r>
        <w:rPr/>
      </w:r>
    </w:p>
    <w:p>
      <w:pPr>
        <w:pStyle w:val="TOC1"/>
        <w:tabs>
          <w:tab w:val="clear" w:pos="708"/>
          <w:tab w:val="right" w:pos="9921" w:leader="dot"/>
        </w:tabs>
        <w:rPr/>
      </w:pPr>
      <w:hyperlink w:anchor="__RefHeading___Toc4496_2211158986">
        <w:r>
          <w:rPr/>
        </w:r>
      </w:hyperlink>
    </w:p>
    <w:p>
      <w:pPr>
        <w:pStyle w:val="Normal"/>
        <w:tabs>
          <w:tab w:val="clear" w:pos="708"/>
          <w:tab w:val="right" w:pos="9921" w:leader="dot"/>
        </w:tabs>
        <w:spacing w:before="120" w:after="0"/>
        <w:rPr/>
      </w:pPr>
      <w:r>
        <w:rPr/>
      </w:r>
    </w:p>
    <w:p>
      <w:pPr>
        <w:pStyle w:val="Normal"/>
        <w:tabs>
          <w:tab w:val="clear" w:pos="708"/>
          <w:tab w:val="right" w:pos="9921" w:leader="dot"/>
        </w:tabs>
        <w:spacing w:before="120" w:after="0"/>
        <w:rPr/>
      </w:pPr>
      <w:r>
        <w:rPr/>
      </w:r>
    </w:p>
    <w:p>
      <w:pPr>
        <w:pStyle w:val="Normal"/>
        <w:tabs>
          <w:tab w:val="clear" w:pos="708"/>
          <w:tab w:val="right" w:pos="9921" w:leader="dot"/>
        </w:tabs>
        <w:spacing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6"/>
      <w:headerReference w:type="first" r:id="rId7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7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uiPriority w:val="9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uiPriority w:val="9"/>
    <w:unhideWhenUsed/>
    <w:qFormat/>
    <w:pPr>
      <w:outlineLvl w:val="1"/>
    </w:pPr>
    <w:rPr/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uiPriority w:val="9"/>
    <w:unhideWhenUsed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uiPriority w:val="9"/>
    <w:semiHidden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uiPriority w:val="9"/>
    <w:semiHidden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pPr>
      <w:spacing w:before="120" w:after="0"/>
      <w:jc w:val="right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pPr>
      <w:ind w:hanging="0" w:left="280"/>
    </w:pPr>
    <w:rPr>
      <w:rFonts w:cs="Calibr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uiPriority w:val="39"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pPr>
      <w:ind w:hanging="0" w:left="56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hanging="0" w:left="112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/>
    </w:pPr>
    <w:rPr>
      <w:rFonts w:ascii="Calibri" w:hAnsi="Calibri" w:cs="Calibr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qFormat/>
  </w:style>
  <w:style w:type="numbering" w:styleId="29" w:customStyle="1">
    <w:name w:val="Стиль2"/>
    <w:qFormat/>
  </w:style>
  <w:style w:type="numbering" w:styleId="17757411101">
    <w:name w:val="17757411101"/>
    <w:qFormat/>
  </w:style>
  <w:style w:type="numbering" w:styleId="6447151851">
    <w:name w:val="64471518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Application>AlterOffice/2026.2.0.0$Linux_X86_64 LibreOffice_project/bc4ef1adf80b36c7a6365f8ed6cbf29021361edd</Application>
  <AppVersion>15.0000</AppVersion>
  <Pages>7</Pages>
  <Words>723</Words>
  <Characters>4679</Characters>
  <CharactersWithSpaces>5261</CharactersWithSpaces>
  <Paragraphs>159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2024-05-06T07:03:00Z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2026-09-16T13:33:17Z</dcterms:modified>
  <cp:revision>30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