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b/>
        </w:rPr>
      </w:pPr>
      <w:r>
        <w:rPr>
          <w:rFonts w:eastAsia="Calibri"/>
          <w:b/>
          <w:sz w:val="26"/>
          <w:szCs w:val="26"/>
        </w:rPr>
        <w:t xml:space="preserve">ОКПД2 42.99.19.140 </w:t>
      </w:r>
      <w:r>
        <w:rPr>
          <w:rFonts w:eastAsia="Calibri"/>
          <w:b/>
          <w:sz w:val="26"/>
          <w:szCs w:val="26"/>
        </w:rPr>
        <w:t>Поставка ограждения досмотрового шлюза</w:t>
      </w:r>
      <w:r>
        <w:rPr>
          <w:rFonts w:eastAsia="Calibri"/>
          <w:b/>
          <w:sz w:val="26"/>
          <w:szCs w:val="26"/>
        </w:rPr>
        <w:t xml:space="preserve"> для нужд Волжского филиала АО «Гидроремонт-ВКК</w:t>
      </w:r>
      <w:r>
        <w:rPr>
          <w:rFonts w:eastAsia="Calibri"/>
          <w:b/>
          <w:sz w:val="26"/>
          <w:szCs w:val="26"/>
        </w:rPr>
        <w:t>»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\o "1-4" \h</w:instrText>
          </w:r>
          <w:r>
            <w:rPr>
              <w:rStyle w:val="Style14"/>
            </w:rPr>
            <w:fldChar w:fldCharType="separate"/>
          </w:r>
          <w:hyperlink w:anchor="__RefHeading___Toc2560_4042686126">
            <w:r>
              <w:rPr>
                <w:rStyle w:val="Style14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2562_4042686126">
            <w:r>
              <w:rPr>
                <w:rStyle w:val="Style14"/>
              </w:rPr>
              <w:t>1.1.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2564_4042686126">
            <w:r>
              <w:rPr>
                <w:rStyle w:val="Style14"/>
              </w:rPr>
              <w:t>1.2. Цель использования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566_4042686126">
            <w:r>
              <w:rPr>
                <w:rStyle w:val="Style14"/>
              </w:rPr>
              <w:t xml:space="preserve">2. </w:t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rStyle w:val="Style14"/>
              </w:rPr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2568_4042686126">
            <w:r>
              <w:rPr>
                <w:rStyle w:val="Style14"/>
              </w:rPr>
              <w:t>2.1. Требования к объемам и срокам поставки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2570_4042686126">
            <w:r>
              <w:rPr>
                <w:rStyle w:val="Style14"/>
              </w:rPr>
              <w:t>2.1.1. Перечень и объем закупаемой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572_4042686126">
            <w:r>
              <w:rPr>
                <w:rStyle w:val="Style14"/>
              </w:rPr>
              <w:t>Таблица 1.1 Перечень и объем закупаемой продукции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2574_4042686126">
            <w:r>
              <w:rPr>
                <w:rStyle w:val="Style14"/>
              </w:rPr>
              <w:t>2.1.2. Требования к срокам поставки продукции</w:t>
              <w:tab/>
              <w:t>11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576_4042686126">
            <w:r>
              <w:rPr>
                <w:rStyle w:val="Style14"/>
              </w:rPr>
              <w:t>Таблица 2.2 Требования по срокам поставки продукции</w:t>
              <w:tab/>
              <w:t>11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2578_4042686126">
            <w:r>
              <w:rPr>
                <w:rStyle w:val="Style14"/>
              </w:rPr>
              <w:t>2.2. Требования к качеству продукции</w:t>
              <w:tab/>
              <w:t>12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580_4042686126">
            <w:r>
              <w:rPr>
                <w:rStyle w:val="Style14"/>
              </w:rPr>
              <w:t>3. Требования к документации по ценообразованию на этапе закупки</w:t>
              <w:tab/>
              <w:t>13</w:t>
            </w:r>
          </w:hyperlink>
        </w:p>
        <w:p>
          <w:pPr>
            <w:pStyle w:val="TOC2"/>
            <w:tabs>
              <w:tab w:val="clear" w:pos="708"/>
              <w:tab w:val="right" w:pos="9921" w:leader="dot"/>
            </w:tabs>
            <w:rPr/>
          </w:pPr>
          <w:hyperlink w:anchor="__RefHeading___Toc2582_4042686126">
            <w:r>
              <w:rPr>
                <w:rStyle w:val="Style14"/>
              </w:rPr>
      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        <w:tab/>
              <w:t>13</w:t>
            </w:r>
          </w:hyperlink>
        </w:p>
        <w:p>
          <w:pPr>
            <w:pStyle w:val="TOC2"/>
            <w:tabs>
              <w:tab w:val="clear" w:pos="708"/>
              <w:tab w:val="right" w:pos="9921" w:leader="dot"/>
            </w:tabs>
            <w:rPr/>
          </w:pPr>
          <w:hyperlink w:anchor="__RefHeading___Toc2584_4042686126">
            <w:r>
              <w:rPr>
                <w:rStyle w:val="Style14"/>
              </w:rPr>
              <w:t>3.2. Дополнительные документы по ценообразованию в состав заявки не включаются.</w:t>
              <w:tab/>
              <w:t>13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TOC2"/>
        <w:tabs>
          <w:tab w:val="clear" w:pos="708"/>
          <w:tab w:val="right" w:pos="9921" w:leader="dot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2"/>
        <w:tabs>
          <w:tab w:val="clear" w:pos="0"/>
        </w:tabs>
        <w:ind w:hanging="0" w:left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spacing w:before="120" w:after="60"/>
        <w:ind w:hanging="357" w:left="357"/>
        <w:contextualSpacing/>
        <w:jc w:val="center"/>
        <w:rPr>
          <w:lang w:val="ru-RU"/>
        </w:rPr>
      </w:pPr>
      <w:bookmarkStart w:id="0" w:name="__RefHeading___Toc2560_4042686126"/>
      <w:bookmarkStart w:id="1" w:name="_Toc164844462"/>
      <w:bookmarkStart w:id="2" w:name="_Toc127778163"/>
      <w:bookmarkStart w:id="3" w:name="_Toc51339692"/>
      <w:bookmarkEnd w:id="0"/>
      <w:r>
        <w:rPr>
          <w:lang w:val="ru-RU"/>
        </w:rPr>
        <w:t>Общие сведения</w:t>
      </w:r>
      <w:bookmarkEnd w:id="1"/>
      <w:bookmarkEnd w:id="2"/>
      <w:bookmarkEnd w:id="3"/>
    </w:p>
    <w:p>
      <w:pPr>
        <w:pStyle w:val="Heading4"/>
        <w:numPr>
          <w:ilvl w:val="1"/>
          <w:numId w:val="3"/>
        </w:numPr>
        <w:spacing w:before="120" w:after="60"/>
        <w:contextualSpacing/>
        <w:rPr/>
      </w:pPr>
      <w:bookmarkStart w:id="4" w:name="__RefHeading___Toc2562_4042686126"/>
      <w:bookmarkStart w:id="5" w:name="_Toc46743506"/>
      <w:bookmarkStart w:id="6" w:name="_Toc127778164"/>
      <w:bookmarkStart w:id="7" w:name="_Toc164844463"/>
      <w:bookmarkEnd w:id="4"/>
      <w:r>
        <w:rPr/>
        <w:t>Наименование закупаемой продукции</w:t>
      </w:r>
      <w:bookmarkEnd w:id="5"/>
      <w:bookmarkEnd w:id="6"/>
      <w:bookmarkEnd w:id="7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contextualSpacing/>
        <w:rPr/>
      </w:pPr>
      <w:r>
        <w:rPr>
          <w:rFonts w:eastAsia="Calibri"/>
          <w:b/>
          <w:bCs w:val="false"/>
          <w:i/>
          <w:sz w:val="26"/>
          <w:szCs w:val="26"/>
          <w:lang w:eastAsia="x-none"/>
        </w:rPr>
        <w:t xml:space="preserve">ОКПД2 42.99.19.140 </w:t>
      </w:r>
      <w:r>
        <w:rPr>
          <w:rFonts w:eastAsia="Calibri"/>
          <w:b w:val="false"/>
          <w:bCs w:val="false"/>
          <w:i/>
          <w:sz w:val="26"/>
          <w:szCs w:val="26"/>
          <w:lang w:eastAsia="x-none"/>
        </w:rPr>
        <w:t>«Поставка ограждения досмотрового шлюза»</w:t>
      </w:r>
      <w:r>
        <w:rPr>
          <w:rFonts w:eastAsia="Calibri"/>
          <w:i/>
          <w:lang w:eastAsia="x-none"/>
        </w:rPr>
        <w:br/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contextualSpacing/>
        <w:rPr/>
      </w:pPr>
      <w:bookmarkStart w:id="8" w:name="__RefHeading___Toc2564_4042686126"/>
      <w:bookmarkStart w:id="9" w:name="_Toc127778165"/>
      <w:bookmarkStart w:id="10" w:name="_Toc164844464"/>
      <w:bookmarkStart w:id="11" w:name="_Toc46743507"/>
      <w:bookmarkEnd w:id="8"/>
      <w:r>
        <w:rPr/>
        <w:t xml:space="preserve">Цель </w:t>
      </w:r>
      <w:bookmarkEnd w:id="11"/>
      <w:r>
        <w:rPr>
          <w:lang w:val="ru-RU"/>
        </w:rPr>
        <w:t>использования закупаемой продукции</w:t>
      </w:r>
      <w:bookmarkEnd w:id="9"/>
      <w:bookmarkEnd w:id="10"/>
      <w:r>
        <w:rPr>
          <w:lang w:val="ru-RU"/>
        </w:rPr>
        <w:t xml:space="preserve"> </w:t>
      </w:r>
      <w:r>
        <w:rPr/>
        <w:t xml:space="preserve"> </w:t>
      </w:r>
    </w:p>
    <w:p>
      <w:pPr>
        <w:sectPr>
          <w:headerReference w:type="default" r:id="rId2"/>
          <w:headerReference w:type="first" r:id="rId3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spacing w:before="0" w:after="0"/>
        <w:contextualSpacing/>
        <w:rPr/>
      </w:pPr>
      <w:r>
        <w:rPr>
          <w:rStyle w:val="Style8"/>
          <w:b w:val="false"/>
          <w:i w:val="false"/>
          <w:sz w:val="24"/>
          <w:shd w:fill="auto" w:val="clear"/>
        </w:rPr>
        <w:t xml:space="preserve">Продукция предназначена устройства автомобильного досмотрового шлюза поста охраны №8  Волжской ГЭС. </w:t>
      </w:r>
    </w:p>
    <w:p>
      <w:pPr>
        <w:pStyle w:val="Heading1"/>
        <w:keepLines/>
        <w:numPr>
          <w:ilvl w:val="0"/>
          <w:numId w:val="3"/>
        </w:numPr>
        <w:ind w:hanging="357" w:left="357"/>
        <w:rPr>
          <w:iCs/>
          <w:sz w:val="24"/>
          <w:szCs w:val="24"/>
        </w:rPr>
      </w:pPr>
      <w:bookmarkStart w:id="12" w:name="__RefHeading___Toc2566_4042686126"/>
      <w:bookmarkStart w:id="13" w:name="_Toc51339693"/>
      <w:bookmarkStart w:id="14" w:name="_Toc127778166"/>
      <w:bookmarkStart w:id="15" w:name="_Toc164844465"/>
      <w:bookmarkStart w:id="16" w:name="_Toc46743510"/>
      <w:bookmarkStart w:id="17" w:name="_Toc50125126"/>
      <w:bookmarkEnd w:id="12"/>
      <w:bookmarkEnd w:id="16"/>
      <w:bookmarkEnd w:id="17"/>
      <w:r>
        <w:rPr>
          <w:iCs/>
          <w:sz w:val="24"/>
          <w:szCs w:val="24"/>
        </w:rPr>
        <w:t>Требования к продукции</w:t>
      </w:r>
      <w:bookmarkEnd w:id="13"/>
      <w:bookmarkEnd w:id="14"/>
      <w:bookmarkEnd w:id="15"/>
    </w:p>
    <w:p>
      <w:pPr>
        <w:pStyle w:val="Heading4"/>
        <w:numPr>
          <w:ilvl w:val="1"/>
          <w:numId w:val="3"/>
        </w:numPr>
        <w:rPr/>
      </w:pPr>
      <w:bookmarkStart w:id="18" w:name="__RefHeading___Toc2568_4042686126"/>
      <w:bookmarkStart w:id="19" w:name="_Toc127778167"/>
      <w:bookmarkStart w:id="20" w:name="_Toc164844466"/>
      <w:bookmarkEnd w:id="18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19"/>
      <w:bookmarkEnd w:id="20"/>
    </w:p>
    <w:p>
      <w:pPr>
        <w:pStyle w:val="Heading3"/>
        <w:numPr>
          <w:ilvl w:val="2"/>
          <w:numId w:val="3"/>
        </w:numPr>
        <w:rPr>
          <w:b w:val="false"/>
          <w:lang w:val="ru-RU"/>
        </w:rPr>
      </w:pPr>
      <w:bookmarkStart w:id="21" w:name="__RefHeading___Toc2570_4042686126"/>
      <w:bookmarkStart w:id="22" w:name="_Toc127778168"/>
      <w:bookmarkStart w:id="23" w:name="_Toc164844467"/>
      <w:bookmarkEnd w:id="21"/>
      <w:r>
        <w:rPr>
          <w:b w:val="false"/>
          <w:lang w:val="ru-RU"/>
        </w:rPr>
        <w:t>Перечень и объем закупаемой продукции</w:t>
      </w:r>
      <w:bookmarkEnd w:id="22"/>
      <w:bookmarkEnd w:id="23"/>
    </w:p>
    <w:p>
      <w:pPr>
        <w:pStyle w:val="Heading1"/>
        <w:tabs>
          <w:tab w:val="clear" w:pos="0"/>
        </w:tabs>
        <w:spacing w:before="240" w:after="60"/>
        <w:ind w:hanging="0" w:left="0"/>
        <w:rPr/>
      </w:pPr>
      <w:bookmarkStart w:id="24" w:name="__RefHeading___Toc2572_4042686126"/>
      <w:bookmarkStart w:id="25" w:name="_Toc127778169"/>
      <w:bookmarkStart w:id="26" w:name="_Toc164844468"/>
      <w:bookmarkStart w:id="27" w:name="_Toc51339695"/>
      <w:bookmarkEnd w:id="24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7"/>
      <w:r>
        <w:rPr>
          <w:sz w:val="24"/>
          <w:szCs w:val="24"/>
          <w:lang w:val="ru-RU"/>
        </w:rPr>
        <w:t>и объем закупаемой продукции</w:t>
      </w:r>
      <w:bookmarkEnd w:id="25"/>
      <w:bookmarkEnd w:id="26"/>
    </w:p>
    <w:p>
      <w:pPr>
        <w:pStyle w:val="Normal"/>
        <w:tabs>
          <w:tab w:val="clear" w:pos="708"/>
        </w:tabs>
        <w:spacing w:before="240" w:after="60"/>
        <w:ind w:hanging="0" w:left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tbl>
      <w:tblPr>
        <w:tblW w:w="14505" w:type="dxa"/>
        <w:jc w:val="left"/>
        <w:tblInd w:w="3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89"/>
        <w:gridCol w:w="8781"/>
        <w:gridCol w:w="2956"/>
        <w:gridCol w:w="972"/>
        <w:gridCol w:w="1007"/>
      </w:tblGrid>
      <w:tr>
        <w:trPr>
          <w:trHeight w:val="619" w:hRule="atLeast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п/п</w:t>
            </w:r>
          </w:p>
        </w:tc>
        <w:tc>
          <w:tcPr>
            <w:tcW w:w="8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Наименование продукции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артикул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ед. изм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кол-во</w:t>
            </w:r>
          </w:p>
        </w:tc>
      </w:tr>
      <w:tr>
        <w:trPr>
          <w:trHeight w:val="402" w:hRule="atLeast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8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5</w:t>
            </w:r>
          </w:p>
        </w:tc>
      </w:tr>
      <w:tr>
        <w:trPr>
          <w:trHeight w:val="479" w:hRule="atLeast"/>
        </w:trPr>
        <w:tc>
          <w:tcPr>
            <w:tcW w:w="145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hanging="0"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Ограждения досмотрового шлюза 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Опора линейная из треугольной профильной трубы 90х90х90 мм (поперечное сечение 80х80 мм)  с фланцем 220х220х10 мм, L=3500 антикоррозийная защита TETEL V для металлоконструкций ТУ 6992-001-18794986-2013: оцинковано с последующим покрытием полиолефинполиамидным материалом, цвет RAL 9006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ГР4-3,5/0/90Фл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Опора подземной части, труба квадратного сечения 80х80х4 мм с фланцем 220х220х10 мм в комплекте с метизами: Болт М12х90 мм DIN 933 - 4 шт, Шайба гровер М 12 DIN 127-16 шт, Гайка М 12 DIN 934-12 шт.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ГРСА.77437.3435-2077-10-02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Опора для наружного угла из треугольной профильной трубы 90х90х90 мм ( поперечное сечение 80х80 мм)  с фланцем 220х220х10 мм, L=3500 антикоррозийная защита TETEL V для металлоконструкций ТУ 6992-001-18794986-2013: оцинковано с последующим покрытием</w:t>
            </w:r>
          </w:p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полиолефинполиамидным материалом, цвет RAL 9006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ГРнн-3,5/0/90Ф-0,22/0,22/10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Панель ограждения В2000xШ 3020, горизонтальный и вертикальный пруток диаметром 8мм, ячейка не более 50x150 мм, 2 ребра жеткости, антикоррозийная защита TETEL V для металлоконструкций ТУ 6992-001-18794986-2013: оцинковано с последующим покрытием полиолефинполиамидным материалом, цвет RAL 9006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РАН8-2/0/3,02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Панель ограждения В1500xШ 3020, горизонтальный и вертикальный пруток диаметром 8мм, ячейка не более 50x150 мм, 2 ребра жеткости, антикоррозийная защита TETEL V для металлоконструкций ТУ 6992-001-18794986-2013: оцинковано с последующим покрытием полиолефинполиамидным материалом, цвет RAL 9006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РАН8-1,5/0/3,02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>
        <w:trPr>
          <w:trHeight w:val="1237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spacing w:lineRule="auto" w:line="24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Панель ограждения В2000xШ 1700, горизонтальный и вертикальный пруток диаметром 8мм, ячейка не более 50x150 мм, 2 ребра жеткости, антикоррозийная защита TETEL V для металлоконструкций ТУ 6992-001-18794986-2013: оцинковано с последующим покрытием полиолефинполиамидным материалом, цвет RAL 9006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РАН8-2/0/1,7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>
        <w:trPr>
          <w:trHeight w:val="974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Панель ограждения В1500xШ 1700, горизонтальный и вертикальный пруток диаметром 8мм, ячейка не более 50x150 мм, 2 ребра жеткости, антикоррозийная защита TETEL V для металлоконструкций ТУ 6992-001-18794986-2013: оцинковано с последующим покрытием полиолефинполиамидным материалом, цвет RAL 9006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РАН8-1,5/0/1,7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>
        <w:trPr>
          <w:trHeight w:val="1221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Панель ограждения В2000xШ 2250, горизонтальный и вертикальный пруток диаметром 8мм, ячейка не более 50x150 мм, 2 ребра жеткости, антикоррозийная защита TETEL V для металлоконструкций ТУ 6992-001-18794986-2013: оцинковано с последующим покрытием полиолефинполиамидным материалом, цвет RAL 9006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РАН8-2/0/2,25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>
        <w:trPr>
          <w:trHeight w:val="1191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Панель ограждения В1500xШ 2250, горизонтальный и вертикальный пруток диаметром 8мм, ячейка не более 50x150 мм, 2 ребра жеткости, антикоррозийная защита TETEL V для металлоконструкций ТУ 6992-001-18794986-2013: оцинковано с последующим покрытием полиолефинполиамидным материалом, цвет RAL 9006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РАН 8-1,5/0/2,25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>
        <w:trPr>
          <w:trHeight w:val="1237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Панель ограждения В2000xШ 1400, горизонтальный и вертикальный пруток диаметром 8мм, ячейка не более 50x150 мм, 2 ребра жеткости, антикоррозийная защита TETEL V для металлоконструкций ТУ 6992-001-18794986-2013: оцинковано с последующим покрытием полиолефинполиамидным материалом, цвет RAL 9006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РАН 8-2/0/1,4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rPr>
          <w:trHeight w:val="396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Панель ограждения В1500xШ 1400, горизонтальный и вертикальный пруток диаметром 8мм, ячейка не более 50x150 мм, 2 ребра жеткости, антикоррозийная защита TETEL V для металлоконструкций ТУ 6992-001-18794986-2013: оцинковано с последующим покрытием полиолефинполиамидным материалом, цвет RAL 9006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РАН 8-1,5/0/1,4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rPr>
          <w:trHeight w:val="396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Панель ограждения В2000xШ 1950, горизонтальный и вертикальный пруток диаметром 8мм, ячейка не более 50x150 мм, 2 ребра жеткости, антикоррозийная защита TETEL V для металлоконструкций ТУ</w:t>
            </w:r>
          </w:p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6992-001-18794986-2013: оцинковано с последующим покрытием полиолефинполиамидным материалом, цвет RAL 9006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РАН8-2/0/1,95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>
          <w:trHeight w:val="1237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Панель ограждения В1500xШ 1950, горизонтальный и вертикальный пруток диаметром 8мм, ячейка не более 50x150 мм, 2 ребра жеткости, антикоррозийная защита TETEL V для металлоконструкций ТУ</w:t>
            </w:r>
          </w:p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6992-001-18794986-2013: оцинковано с последующим покрытием полиолефинполиамидным материалом, цвет RAL 9006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РАН8-1,5/0/1,95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>
          <w:trHeight w:val="396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Панель ограждения В2000xШ 950, горизонтальный и вертикальный пруток диаметром 8мм, ячейка не более 50x150 мм, 2 ребра жеткости, антикоррозийная защита TETEL V для металлоконструкций ТУ</w:t>
            </w:r>
          </w:p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6992-001-18794986-2013: оцинковано с последующим покрытием полиолефинполиамидным материалом, цвет RAL 9006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РАН 8-2/0/0,95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>
          <w:trHeight w:val="396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Панель ограждения В1500xШ 950, горизонтальный и вертикальный пруток диаметром 8мм, ячейка не более 50x150 мм, 2 ребра жеткости, антикоррозийная защита TETEL V для металлоконструкций ТУ</w:t>
            </w:r>
          </w:p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6992-001-18794986-2013: оцинковано с последующим покрытием полиолефинполиамидным материалом, цвет RAL 9006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РАН 8-1,5/0/0,95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>
          <w:trHeight w:val="396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Панель ограждения В2000xШ 2500, горизонтальный и вертикальный пруток диаметром 8мм, ячейка не более 50x150 мм, 2 ребра жеткости, антикоррозийная защита TETEL V для металлоконструкций ТУ6992-001-18794986-2013: оцинковано с последующим покрытием полиолефинполиамидным материалом, цвет RAL 9006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РАН8-2/0/2,5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396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Панель ограждения В1500xШ 2500, горизонтальный и вертикальный пруток диаметром 8мм, ячейка не более 50x150 мм, 2 ребра жеткости, антикоррозийная защита TETEL V для металлоконструкций ТУ 6992-001-18794986-2013: оцинковано с последующим покрытием полиолефинполиамидным материалом, цвет RAL 9006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РАН 8-1,5/0/2,5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1216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Панель ограждения В2000xШ 1500, горизонтальный и вертикальный пруток диаметром 8мм, ячейка не более 50x150 мм, 2 ребра жеткости, антикоррозийная защита TETEL V для металлоконструкций ТУ6992-001-18794986-2013: оцинковано с последующим покрытием полиолефинполиамидным материалом, цвет RAL 9006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РАН 8-2/0/1,5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1401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Панель ограждения В1500xШ 1500, горизонтальный и вертикальный пруток диаметром 8мм, ячейка не более 50x150 мм, 2 ребра жеткости, антикоррозийная защита TETEL V для металлоконструкций ТУ 6992-001-18794986-2013: оцинковано с последующим покрытием полиолефинполиамидным материалом, цвет RAL 9006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РАН 8-1,5/0/1,5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1237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Панель ограждения В2000xШ 2000, горизонтальный и вертикальный пруток диаметром 8мм, ячейка не более 50x150 мм, 2 ребра жеткости, антикоррозийная защита TETEL V для металлоконструкций ТУ 6992-001-18794986-2013: оцинковано с последующим покрытием полиолефинполиамидным материалом, цвет RAL 9006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РАН8-2/0/2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1253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Панель ограждения В1500xШ 2000, горизонтальный и вертикальный пруток диаметром 8мм, ячейка не более 50x150 мм, 2 ребра жеткости, антикоррозийная защита TETEL V для металлоконструкций ТУ 6992-001-18794986-2013: оцинковано с последующим покрытием полиолефинполиамидным материалом, цвет RAL 9006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РАН8-1,5/0/2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396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Панель ограждения В2000xШ 2850, горизонтальный и вертикальный пруток диаметром 8мм, ячейка не более 50x150 мм, 2 ребра жеткости, антикоррозийная защита TETEL V для металлоконструкций ТУ 6992-001-18794986-2013: оцинковано с последующим покрытием полиолефинполиамидным материалом, цвет RAL 9006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РАН8-2/0/2,85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396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Панель ограждения В1500xШ 2850, горизонтальный и вертикальный пруток диаметром 8мм, ячейка не более 50x150 мм, 2 ребра жеткости, антикоррозийная защита TETEL V для металлоконструкций ТУ 6992-001-18794986-2013: оцинковано с последующим покрытием полиолефинполиамидным материалом, цвет RAL 9006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РАН8-1,5/0/2,85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396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Панель ограждения В2000xШ 2050, горизонтальный и вертикальный пруток диаметром 8мм, ячейка не более 50x150 мм, 2 ребра жеткости, антикоррозийная защита TETEL V для металлоконструкций ТУ 6992-001-18794986-2013: оцинковано с последующим покрытием полиолефинполиамидным материалом, цвет RAL 9006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РАН8-2/0/2,05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>
          <w:trHeight w:val="396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Панель ограждения В1500xШ 2050, горизонтальный и вертикальный пруток диаметром 8мм, ячейка не более 50x150 мм, 2 ребра жеткости, антикоррозийная защита TETEL V для металлоконструкций ТУ 6992-001-18794986-2013: оцинковано с последующим покрытием полиолефинполиамидным материалом, цвет RAL 9006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РАН8-1,5/0/2,05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>
          <w:trHeight w:val="503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Фиксатор крепления панели ограждения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ФП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168</w:t>
            </w:r>
          </w:p>
        </w:tc>
      </w:tr>
      <w:tr>
        <w:trPr>
          <w:trHeight w:val="510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/>
            </w:pPr>
            <w:r>
              <w:rPr/>
              <w:t>Скоба соединительная панели ограждения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СС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130</w:t>
            </w:r>
          </w:p>
        </w:tc>
      </w:tr>
      <w:tr>
        <w:trPr>
          <w:trHeight w:val="510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/>
            </w:pPr>
            <w:r>
              <w:rPr/>
              <w:t>Шайба уширительная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6.04.019 А2 NFE 25-514 L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tr>
        <w:trPr>
          <w:trHeight w:val="396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/>
            </w:pPr>
            <w:r>
              <w:rPr/>
              <w:t>Шайба гровер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6.04.019G-В А4 DIN127B ГОСТ 6402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tr>
        <w:trPr>
          <w:trHeight w:val="396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/>
            </w:pPr>
            <w:r>
              <w:rPr/>
              <w:t>Винт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М8-40 А2 ART 9121 ISO 7380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tr>
        <w:trPr>
          <w:trHeight w:val="515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/>
            </w:pPr>
            <w:r>
              <w:rPr/>
              <w:t>Шайба уширительная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8.04.019 А2 NFE 25-514 L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224</w:t>
            </w:r>
          </w:p>
        </w:tc>
      </w:tr>
      <w:tr>
        <w:trPr>
          <w:trHeight w:val="396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/>
            </w:pPr>
            <w:r>
              <w:rPr/>
              <w:t>Шайба гровер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8.04.019G-В А4 DIN127B ГОСТ 6402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224</w:t>
            </w:r>
          </w:p>
        </w:tc>
      </w:tr>
      <w:tr>
        <w:trPr>
          <w:trHeight w:val="396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/>
            </w:pPr>
            <w:r>
              <w:rPr/>
              <w:t>Винт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М8-40 А2 ART 9121 ISO 7380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224</w:t>
            </w:r>
          </w:p>
        </w:tc>
      </w:tr>
      <w:tr>
        <w:trPr>
          <w:trHeight w:val="396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/>
            </w:pPr>
            <w:r>
              <w:rPr/>
              <w:t>Болт М12х90 мм DIN 933,оцинкованный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224</w:t>
            </w:r>
          </w:p>
        </w:tc>
      </w:tr>
      <w:tr>
        <w:trPr>
          <w:trHeight w:val="396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/>
            </w:pPr>
            <w:r>
              <w:rPr/>
              <w:t>Шайба гровер М 12 DIN 127,оцинкованный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448</w:t>
            </w:r>
          </w:p>
        </w:tc>
      </w:tr>
      <w:tr>
        <w:trPr>
          <w:trHeight w:val="396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Гайка М12 DIN 934,оцинкованный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336</w:t>
            </w:r>
          </w:p>
        </w:tc>
      </w:tr>
      <w:tr>
        <w:trPr>
          <w:trHeight w:val="1044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Кронштейн единый Y образный силовой ( отв. для крепления скобы СББ АКЛ ,толщина стали 3 мм), антикоррозийная защита TETEL PO: оцинкованно с последующим покрытием полимерных материалом, цвет RAL 9006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ГАН-90Г/ГР силовой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>
        <w:trPr>
          <w:trHeight w:val="396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СББ диаметр 900 мм,( кол-во витков 50 шт./ бухта, шипы 0,5 мм, диаметр сердечника 2,5 мм, 5 скрепляющих клепок)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СББ АКЛ -900 V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Бух.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>
        <w:trPr>
          <w:trHeight w:val="396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Проволока для натяжения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2,5-1 ц-I ГОСТ 3282-74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</w:p>
        </w:tc>
      </w:tr>
      <w:tr>
        <w:trPr>
          <w:trHeight w:val="396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Проволока для вязания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1,2-1 ц-I ГОСТ 3282-74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</w:tr>
      <w:tr>
        <w:trPr>
          <w:trHeight w:val="396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Калитка ( высота 2000мм, ширина 1000 мм, в комплекте с заполнением горизонтальный и вертикальный пруток диаметром 8мм ( до покрытия), ячейка не 50x150 мм, с рамой из профиля 80х80х4, антикоррозийная защита TETEL V для металлоконструкций ТУ 6992-001-18794986-2013: оцинковано с последующим покрытием полимерным материалом, цвет RAL 9006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ГРСА.77437.3435-2077-40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Ворота распашные 3500х6000 ( в комплекте с верхним дополнительным ограждением и электроприводом) в составе: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ГРСА.19.06.00-02-02.00.00 СБ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компл.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42.1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Створка левая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ГРСА.19.06.00-02-02.00.01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42.2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Створка правая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ГРСА.19.06.00-02-02.00.02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42.3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Колонна левая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ГРСА.19.06.00-02-02.00.03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42.4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Колонна правая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ГРСА.19.06.00-02-02.00.04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42.5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Колодка фиксации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ГРСА.19.06.00-02-02.00.05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42.6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Фиксатор створки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ГРСА.19.06.00-02-02.00.06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42.7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Кронштейн ГАН-95Г /ГР-1В силовой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ГРСА.19.06.00-02-02.00.07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42.8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Опорный фланец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ГРСА.19.06.00-02-02.00.08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42.9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Засов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ГРСА.19.06.00-02-02.00.09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42.10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Панель РАН 8,0-2,22/0/0 2992Х2220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ГРСА.19.06.00-02-02.00.10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42.11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Фиксатор ФК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ГРСА.19.06.00-02-01.05.00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42.12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Втулка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ГРСА.19.06.00-02-02.00.15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>
        <w:trPr>
          <w:trHeight w:val="353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42.13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Соединительная пластина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ГРСА.19.06.00-02-02.00.16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42.14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Нащельник боковой 1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ГРСА.19.06.00-02-02.00.171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42.15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Нащельник боковой 2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ГРСА.19.06.00-02-02.00.172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>
        <w:trPr>
          <w:trHeight w:val="336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42.16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Нащельник фасадный 1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ГРСА.19.06.00-02-02.00.181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>
        <w:trPr>
          <w:trHeight w:val="340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42.17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Нащельник фасадный 2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ГРСА.19.06.00-02-02.00.182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>
        <w:trPr>
          <w:trHeight w:val="340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42.18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Петля верхняя  ∅68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Ролтэк код 886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>
        <w:trPr>
          <w:trHeight w:val="341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42.19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Болт M10-6gx50.58.019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>
        <w:trPr>
          <w:trHeight w:val="340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42.20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Шайба А10.01.019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>
        <w:trPr>
          <w:trHeight w:val="340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42.21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Шайба уширительная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8.04.019 А2 NFE 25-514 L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</w:tr>
      <w:tr>
        <w:trPr>
          <w:trHeight w:val="448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42.22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Шайба гровер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8.04.019G-В А4 DIN127BГОСТ 6402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</w:tr>
      <w:tr>
        <w:trPr>
          <w:trHeight w:val="449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42.23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Винт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М8-40 А2 ART 9121 ISO 7380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</w:tr>
      <w:tr>
        <w:trPr>
          <w:trHeight w:val="340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42.24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Шайба уширительная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6.04.019 А2 NFE 25-514 L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</w:tr>
      <w:tr>
        <w:trPr>
          <w:trHeight w:val="387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42.25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Шайба гровер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6.04.019G-В А4 DIN127BГОСТ 6402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</w:tr>
      <w:tr>
        <w:trPr>
          <w:trHeight w:val="387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42.26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Винт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М6-20 А2 ART 9121 ISO 7380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</w:tr>
      <w:tr>
        <w:trPr>
          <w:trHeight w:val="387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42.27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Винт самонарезающий М 6х10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DIN 7500C ISO 7085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>
        <w:trPr>
          <w:trHeight w:val="387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42.28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Пластиковая заглушка трубы 80х80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>
        <w:trPr>
          <w:trHeight w:val="387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42.29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Анкер клиновой MTA из нержавеющей стали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М 8 МТА А2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</w:tr>
      <w:tr>
        <w:trPr>
          <w:trHeight w:val="387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42.30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Барьер безопасности типа " Егоза" плоский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АКЛ ПББ 950/10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бухта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>
        <w:trPr>
          <w:trHeight w:val="387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42.31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Проволока для натяжения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2,5-1 ц-I ГОСТ 3282-74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>
        <w:trPr>
          <w:trHeight w:val="387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42.32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Проволока для вязания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1,2-1 ц-I ГОСТ 3282-74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0,2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left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Ворота откатные 3500х5000  ( в комплекте с верхним дополнительным ограждением и автоматикой для откатных ворот) в составе: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2"/>
                <w:szCs w:val="22"/>
              </w:rPr>
              <w:t>ГРСА.2077.000-030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компл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43.1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Столб приемный сдвоенный 120х80х4 мм, L=3500 мм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ГРСА.77437,3435-2077-10-60.01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43.2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Столб приемный сдвоенный 120х80х4 мм, L=3500 мм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ГРСА.77437,3435-2077-10-60.01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43.3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Столб приемный сдвоенный 120х80х4 мм, L=3500 мм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ГРСА.77437,3435-2077-10-60.03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43.4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Столб приемный сдвоенный 120х80х4 мм, L=400 мм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ГРСА.77437,3435-2077-10-60.04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43.5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Створка ворот с панелью РАН - 8,0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ГРСА.77437,3435-2077-10-60.05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43.6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Электромеханический привод Rtech-2000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43.7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Фотоэлементы PHOTOCELL-PRO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43.8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Сигнальная лампа LAMP-PRO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43.9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Пульт 4-х канальный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43.10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Фиксатор ФК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ГРСА.77437,3435-2077-10-60.06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43.11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Фиксатор ФП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ГРСА.77437,3435-2077-10-60.07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43.12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АКЛ ПББ-900П/10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ГРСА.77437,3435-2077-10-60.08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бухта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43.13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Болт М12х140, оцинк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43.14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Шайба М 12, оцинк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43.15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Шайба гровер М 12, оцинк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43.16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Гайка М 12, оцинк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43.17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Шайба увеличенная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8.4-А2 DIN 9021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43.18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Шайба гровер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8.04.019G-B A4 DIN127B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43.19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Винт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М 8x50-4.8-A2 DIN 912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43.20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Анкерная шпилька М 30х360, оцинк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43.21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Анкерная шпилька М 16х170, оцинк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43.22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Химический анкерный OKG TE 500, 450 мл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>
      <w:pPr>
        <w:pStyle w:val="Heading3"/>
        <w:tabs>
          <w:tab w:val="clear" w:pos="0"/>
        </w:tabs>
        <w:ind w:hanging="0" w:left="0"/>
        <w:jc w:val="both"/>
        <w:rPr/>
      </w:pPr>
      <w:bookmarkStart w:id="28" w:name="__RefHeading___Toc2574_4042686126"/>
      <w:bookmarkStart w:id="29" w:name="_Toc127778170"/>
      <w:bookmarkStart w:id="30" w:name="_Toc164844469"/>
      <w:bookmarkStart w:id="31" w:name="_Toc51339696"/>
      <w:bookmarkEnd w:id="28"/>
      <w:r>
        <w:rPr>
          <w:lang w:val="ru-RU"/>
        </w:rPr>
        <w:t xml:space="preserve">2.1.2. Требования </w:t>
      </w:r>
      <w:bookmarkEnd w:id="31"/>
      <w:r>
        <w:rPr>
          <w:lang w:val="ru-RU"/>
        </w:rPr>
        <w:t>к срокам поставки продукции</w:t>
      </w:r>
      <w:bookmarkEnd w:id="29"/>
      <w:bookmarkEnd w:id="30"/>
    </w:p>
    <w:p>
      <w:pPr>
        <w:pStyle w:val="Heading1"/>
        <w:tabs>
          <w:tab w:val="clear" w:pos="0"/>
        </w:tabs>
        <w:spacing w:before="240" w:after="60"/>
        <w:ind w:hanging="0" w:left="0"/>
        <w:rPr/>
      </w:pPr>
      <w:bookmarkStart w:id="32" w:name="__RefHeading___Toc2576_4042686126"/>
      <w:bookmarkStart w:id="33" w:name="_Toc127778171"/>
      <w:bookmarkStart w:id="34" w:name="_Toc164844470"/>
      <w:bookmarkStart w:id="35" w:name="_Toc51339697"/>
      <w:bookmarkStart w:id="36" w:name="_Toc50125127"/>
      <w:bookmarkStart w:id="37" w:name="_Toc501251261"/>
      <w:bookmarkEnd w:id="32"/>
      <w:bookmarkEnd w:id="3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 </w:t>
      </w:r>
      <w:bookmarkStart w:id="38" w:name="_Hlk50465284"/>
      <w:r>
        <w:rPr>
          <w:sz w:val="24"/>
          <w:szCs w:val="24"/>
        </w:rPr>
        <w:t xml:space="preserve">Требования по срокам </w:t>
      </w:r>
      <w:bookmarkEnd w:id="35"/>
      <w:bookmarkEnd w:id="36"/>
      <w:bookmarkEnd w:id="38"/>
      <w:r>
        <w:rPr>
          <w:sz w:val="24"/>
          <w:szCs w:val="24"/>
          <w:lang w:val="ru-RU"/>
        </w:rPr>
        <w:t>поставки продукции</w:t>
      </w:r>
      <w:bookmarkEnd w:id="33"/>
      <w:bookmarkEnd w:id="34"/>
      <w:r>
        <w:rPr>
          <w:sz w:val="24"/>
          <w:szCs w:val="24"/>
          <w:lang w:val="ru-RU"/>
        </w:rPr>
        <w:t xml:space="preserve"> </w:t>
      </w:r>
    </w:p>
    <w:tbl>
      <w:tblPr>
        <w:tblW w:w="145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340"/>
        <w:gridCol w:w="5505"/>
        <w:gridCol w:w="5660"/>
      </w:tblGrid>
      <w:tr>
        <w:trPr/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5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Таблица 1.1</w:t>
            </w:r>
          </w:p>
        </w:tc>
        <w:tc>
          <w:tcPr>
            <w:tcW w:w="5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60 календарных  дней с даты подписания договора</w:t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Heading4"/>
        <w:tabs>
          <w:tab w:val="clear" w:pos="0"/>
        </w:tabs>
        <w:ind w:hanging="0" w:left="0"/>
        <w:rPr>
          <w:lang w:val="ru-RU"/>
        </w:rPr>
      </w:pPr>
      <w:bookmarkStart w:id="39" w:name="__RefHeading___Toc2578_4042686126"/>
      <w:bookmarkStart w:id="40" w:name="_Toc164844471"/>
      <w:bookmarkEnd w:id="39"/>
      <w:r>
        <w:rPr>
          <w:lang w:val="ru-RU"/>
        </w:rPr>
        <w:t>2.2. Требования к качеству продукции</w:t>
      </w:r>
      <w:bookmarkEnd w:id="40"/>
    </w:p>
    <w:p>
      <w:pPr>
        <w:pStyle w:val="Normal"/>
        <w:keepLines/>
        <w:spacing w:before="240" w:after="60"/>
        <w:rPr>
          <w:b/>
          <w:bCs/>
        </w:rPr>
      </w:pPr>
      <w:bookmarkStart w:id="41" w:name="_Toc75446582"/>
      <w:r>
        <w:rPr>
          <w:b/>
          <w:bCs/>
          <w:sz w:val="24"/>
          <w:szCs w:val="24"/>
        </w:rPr>
        <w:t>Таблица 3. Требования к продукции</w:t>
      </w:r>
      <w:bookmarkEnd w:id="41"/>
      <w:r>
        <w:rPr>
          <w:b/>
          <w:bCs/>
          <w:sz w:val="24"/>
          <w:szCs w:val="24"/>
        </w:rPr>
        <w:t xml:space="preserve"> </w:t>
      </w:r>
    </w:p>
    <w:p>
      <w:pPr>
        <w:pStyle w:val="Normal"/>
        <w:jc w:val="both"/>
        <w:rPr>
          <w:sz w:val="24"/>
          <w:szCs w:val="24"/>
        </w:rPr>
      </w:pPr>
      <w:r>
        <w:rPr>
          <w:rFonts w:eastAsia="Calibri"/>
          <w:b/>
          <w:bCs/>
          <w:sz w:val="24"/>
          <w:szCs w:val="24"/>
          <w:lang w:eastAsia="x-none"/>
        </w:rPr>
        <w:t xml:space="preserve">Наименование продукции: </w:t>
      </w:r>
      <w:r>
        <w:rPr>
          <w:rStyle w:val="Style8"/>
          <w:rFonts w:eastAsia="Calibri"/>
          <w:b w:val="false"/>
          <w:bCs/>
          <w:i w:val="false"/>
          <w:sz w:val="24"/>
          <w:szCs w:val="24"/>
          <w:shd w:fill="auto" w:val="clear"/>
          <w:lang w:eastAsia="x-none"/>
        </w:rPr>
        <w:t>«Ограждение досмотрового шлюза»</w:t>
      </w:r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 w:val="false"/>
          <w:iCs/>
          <w:sz w:val="24"/>
          <w:szCs w:val="24"/>
        </w:rPr>
      </w:r>
    </w:p>
    <w:tbl>
      <w:tblPr>
        <w:tblW w:w="15139" w:type="dxa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26"/>
        <w:gridCol w:w="1809"/>
        <w:gridCol w:w="6837"/>
        <w:gridCol w:w="2661"/>
        <w:gridCol w:w="2806"/>
      </w:tblGrid>
      <w:tr>
        <w:trPr/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1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1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8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683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345" w:hRule="atLeas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right="340"/>
              <w:rPr/>
            </w:pPr>
            <w:r>
              <w:rPr/>
              <w:t xml:space="preserve">    </w:t>
            </w:r>
            <w:r>
              <w:rPr/>
              <w:t>1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закупке.</w:t>
            </w:r>
          </w:p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600" w:hRule="atLeas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/>
              <w:t>1.1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Требования к техническим и функциональным характеристикам  каждой позиции продукции указаны в Таблице 1.1. «Перечень и объем закупаемой продукции»</w:t>
            </w:r>
          </w:p>
        </w:tc>
        <w:tc>
          <w:tcPr>
            <w:tcW w:w="266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6" w:hRule="atLeas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66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280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675" w:hRule="atLeas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/>
              <w:t>2.1.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Горячее цинкование с последующим покрытием полиолефинполиамидным материалом толщиной не менее 400 мкм, цвет RAL 9006.  </w:t>
            </w:r>
          </w:p>
        </w:tc>
        <w:tc>
          <w:tcPr>
            <w:tcW w:w="266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280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93" w:hRule="atLeas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right="397"/>
              <w:jc w:val="center"/>
              <w:rPr>
                <w:b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66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/>
              <w:t>3.1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2"/>
                <w:szCs w:val="20"/>
              </w:rPr>
              <w:t xml:space="preserve">Волжский филиал АО «Гидроремонт – ВКК», РФ, 404130, Волгоградская обл., г. Волжский, пр-т Ленина, д. 1А. Территория Волжской ГЭС </w:t>
            </w:r>
          </w:p>
        </w:tc>
        <w:tc>
          <w:tcPr>
            <w:tcW w:w="266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/>
                <w:b w:val="false"/>
                <w:lang w:val="ru-RU" w:eastAsia="ru-RU"/>
              </w:rPr>
            </w:r>
          </w:p>
        </w:tc>
      </w:tr>
      <w:tr>
        <w:trPr/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/>
              <w:t>3.2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Информация о транспорте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Информация о транспорте, на котором осуществляется поставка Продукции, предоставляется Поставщиком не позднее предыдущего рабочего дня до прибытия транспорта.</w:t>
            </w:r>
          </w:p>
        </w:tc>
        <w:tc>
          <w:tcPr>
            <w:tcW w:w="266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/>
                <w:b w:val="false"/>
                <w:lang w:val="ru-RU" w:eastAsia="ru-RU"/>
              </w:rPr>
            </w:r>
          </w:p>
        </w:tc>
      </w:tr>
      <w:tr>
        <w:trPr/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/>
              <w:t>3.3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Приемка продукции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в рабочие дни с 9-00 до 11-00 и с 13-00 до 16-00</w:t>
            </w:r>
          </w:p>
        </w:tc>
        <w:tc>
          <w:tcPr>
            <w:tcW w:w="266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/>
                <w:b w:val="false"/>
                <w:lang w:val="ru-RU" w:eastAsia="ru-RU"/>
              </w:rPr>
            </w:r>
          </w:p>
        </w:tc>
      </w:tr>
      <w:tr>
        <w:trPr>
          <w:trHeight w:val="70" w:hRule="atLeas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right="3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66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372" w:hRule="atLeas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Срок гарантии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Не менее 12 месяцев с даты подписания сторонами ТОРГ – 12 (УПД)</w:t>
            </w:r>
          </w:p>
        </w:tc>
        <w:tc>
          <w:tcPr>
            <w:tcW w:w="266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right="3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66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bookmarkStart w:id="42" w:name="_GoBack"/>
            <w:bookmarkEnd w:id="42"/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1577" w:hRule="atLeas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Документы, передаваемые вместе с продукцией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образом; сертификаты качества, технические паспорта, товарно - транспортные накладные, товарную накладную.</w:t>
            </w:r>
          </w:p>
        </w:tc>
        <w:tc>
          <w:tcPr>
            <w:tcW w:w="266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требования к продукции</w:t>
            </w:r>
          </w:p>
        </w:tc>
        <w:tc>
          <w:tcPr>
            <w:tcW w:w="266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577" w:hRule="atLeast"/>
        </w:trPr>
        <w:tc>
          <w:tcPr>
            <w:tcW w:w="9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соответствовать обязательным требованиям, установленным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      </w:r>
          </w:p>
        </w:tc>
        <w:tc>
          <w:tcPr>
            <w:tcW w:w="26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Heading1"/>
        <w:keepLines/>
        <w:ind w:hanging="0" w:left="357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Heading1"/>
        <w:tabs>
          <w:tab w:val="clear" w:pos="0"/>
        </w:tabs>
        <w:ind w:hanging="0" w:left="0"/>
        <w:rPr>
          <w:sz w:val="24"/>
          <w:szCs w:val="24"/>
        </w:rPr>
      </w:pPr>
      <w:bookmarkStart w:id="43" w:name="__RefHeading___Toc2580_4042686126"/>
      <w:bookmarkStart w:id="44" w:name="_Toc164844472"/>
      <w:bookmarkEnd w:id="43"/>
      <w:r>
        <w:rPr>
          <w:sz w:val="24"/>
          <w:szCs w:val="24"/>
          <w:lang w:val="ru-RU"/>
        </w:rPr>
        <w:t xml:space="preserve">3. </w:t>
      </w:r>
      <w:bookmarkStart w:id="45" w:name="_Toc127778177"/>
      <w:bookmarkStart w:id="46" w:name="_Toc53393312"/>
      <w:r>
        <w:rPr>
          <w:sz w:val="24"/>
          <w:szCs w:val="24"/>
          <w:lang w:val="ru-RU"/>
        </w:rPr>
        <w:t>Требования к документации по ценообразованию</w:t>
      </w:r>
      <w:bookmarkEnd w:id="46"/>
      <w:r>
        <w:rPr>
          <w:sz w:val="24"/>
          <w:szCs w:val="24"/>
          <w:lang w:val="ru-RU"/>
        </w:rPr>
        <w:t xml:space="preserve"> на этапе закупки</w:t>
      </w:r>
      <w:bookmarkEnd w:id="44"/>
      <w:bookmarkEnd w:id="45"/>
    </w:p>
    <w:p>
      <w:pPr>
        <w:pStyle w:val="Heading2"/>
        <w:tabs>
          <w:tab w:val="clear" w:pos="0"/>
        </w:tabs>
        <w:ind w:hanging="0" w:left="0"/>
        <w:rPr/>
      </w:pPr>
      <w:bookmarkStart w:id="47" w:name="__RefHeading___Toc2582_4042686126"/>
      <w:bookmarkStart w:id="48" w:name="_Toc127778178"/>
      <w:bookmarkStart w:id="49" w:name="_Toc126844249"/>
      <w:bookmarkStart w:id="50" w:name="_Toc164844473"/>
      <w:bookmarkEnd w:id="47"/>
      <w:r>
        <w:rPr>
          <w:b w:val="false"/>
          <w:bCs w:val="false"/>
          <w:lang w:val="ru-RU"/>
        </w:rPr>
        <w:t xml:space="preserve">3.1. </w:t>
      </w:r>
      <w:r>
        <w:rPr>
          <w:b w:val="false"/>
          <w:bCs w:val="false"/>
        </w:rPr>
        <w:t>В обоснование стоимости своей заявки Участник предоставляет</w:t>
      </w:r>
      <w:r>
        <w:rPr>
          <w:b w:val="false"/>
        </w:rPr>
        <w:t xml:space="preserve"> Коммерческое</w:t>
      </w:r>
      <w:r>
        <w:rPr>
          <w:b w:val="false"/>
          <w:lang w:val="ru-RU"/>
        </w:rPr>
        <w:t xml:space="preserve"> </w:t>
      </w:r>
      <w:r>
        <w:rPr>
          <w:b w:val="false"/>
          <w:bCs w:val="false"/>
        </w:rPr>
        <w:t xml:space="preserve">предложение по форме </w:t>
      </w:r>
      <w:bookmarkStart w:id="51" w:name="_Hlk88325985"/>
      <w:r>
        <w:rPr>
          <w:b w:val="false"/>
          <w:bCs w:val="false"/>
        </w:rPr>
        <w:t>(с учетом прилагаемой к ней инструкции по заполнению)</w:t>
      </w:r>
      <w:bookmarkEnd w:id="51"/>
      <w:r>
        <w:rPr>
          <w:b w:val="false"/>
          <w:bCs w:val="false"/>
        </w:rPr>
        <w:t>, приведенной в Документации о закупке.</w:t>
      </w:r>
      <w:bookmarkEnd w:id="48"/>
      <w:bookmarkEnd w:id="49"/>
      <w:bookmarkEnd w:id="50"/>
    </w:p>
    <w:p>
      <w:pPr>
        <w:pStyle w:val="Heading2"/>
        <w:tabs>
          <w:tab w:val="clear" w:pos="0"/>
        </w:tabs>
        <w:ind w:hanging="0" w:left="0"/>
        <w:rPr>
          <w:b w:val="false"/>
          <w:bCs w:val="false"/>
        </w:rPr>
      </w:pPr>
      <w:bookmarkStart w:id="52" w:name="__RefHeading___Toc2584_4042686126"/>
      <w:bookmarkStart w:id="53" w:name="_Toc126844250"/>
      <w:bookmarkStart w:id="54" w:name="_Toc127778179"/>
      <w:bookmarkStart w:id="55" w:name="_Toc164844474"/>
      <w:bookmarkStart w:id="56" w:name="_Hlk88327292"/>
      <w:bookmarkEnd w:id="52"/>
      <w:r>
        <w:rPr>
          <w:b w:val="false"/>
          <w:bCs w:val="false"/>
          <w:lang w:val="ru-RU"/>
        </w:rPr>
        <w:t xml:space="preserve">3.2. </w:t>
      </w:r>
      <w:r>
        <w:rPr>
          <w:b w:val="false"/>
          <w:bCs w:val="false"/>
        </w:rPr>
        <w:t>Дополнительные документы по ценообразованию</w:t>
      </w:r>
      <w:bookmarkEnd w:id="56"/>
      <w:r>
        <w:rPr>
          <w:b w:val="false"/>
          <w:bCs w:val="false"/>
        </w:rPr>
        <w:t xml:space="preserve"> в состав заявки не включаются.</w:t>
      </w:r>
      <w:bookmarkEnd w:id="53"/>
      <w:bookmarkEnd w:id="54"/>
      <w:bookmarkEnd w:id="55"/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b/>
          <w:bCs/>
          <w:sz w:val="24"/>
          <w:szCs w:val="24"/>
          <w:lang w:eastAsia="x-none"/>
        </w:rPr>
      </w:pPr>
      <w:r>
        <w:rPr>
          <w:b/>
          <w:bCs/>
          <w:sz w:val="24"/>
          <w:szCs w:val="24"/>
          <w:lang w:eastAsia="x-none"/>
        </w:rPr>
      </w:r>
    </w:p>
    <w:p>
      <w:pPr>
        <w:pStyle w:val="Normal"/>
        <w:rPr>
          <w:b/>
          <w:bCs/>
          <w:sz w:val="24"/>
          <w:szCs w:val="24"/>
          <w:lang w:eastAsia="x-none"/>
        </w:rPr>
      </w:pPr>
      <w:r>
        <w:rPr>
          <w:b/>
          <w:bCs/>
          <w:sz w:val="24"/>
          <w:szCs w:val="24"/>
          <w:lang w:eastAsia="x-none"/>
        </w:rPr>
        <w:t xml:space="preserve">4. Приложение №1 к ТТ </w:t>
      </w:r>
      <w:r>
        <w:rPr>
          <w:b w:val="false"/>
          <w:bCs w:val="false"/>
          <w:sz w:val="24"/>
          <w:szCs w:val="24"/>
          <w:lang w:eastAsia="x-none"/>
        </w:rPr>
        <w:t>Комплект чертежей ограждение шлюза.</w:t>
      </w:r>
    </w:p>
    <w:p>
      <w:pPr>
        <w:pStyle w:val="TOC1"/>
        <w:tabs>
          <w:tab w:val="clear" w:pos="708"/>
          <w:tab w:val="right" w:pos="9921" w:leader="dot"/>
        </w:tabs>
        <w:rPr/>
      </w:pPr>
      <w:r>
        <w:rPr/>
      </w:r>
    </w:p>
    <w:p>
      <w:pPr>
        <w:pStyle w:val="TOC1"/>
        <w:tabs>
          <w:tab w:val="clear" w:pos="708"/>
          <w:tab w:val="right" w:pos="9921" w:leader="dot"/>
        </w:tabs>
        <w:rPr/>
      </w:pPr>
      <w:hyperlink w:anchor="__RefHeading___Toc4496_2211158986">
        <w:r>
          <w:rPr/>
        </w:r>
      </w:hyperlink>
    </w:p>
    <w:p>
      <w:pPr>
        <w:pStyle w:val="Normal"/>
        <w:tabs>
          <w:tab w:val="clear" w:pos="708"/>
          <w:tab w:val="right" w:pos="9921" w:leader="dot"/>
        </w:tabs>
        <w:spacing w:before="120" w:after="0"/>
        <w:rPr/>
      </w:pPr>
      <w:r>
        <w:rPr/>
      </w:r>
    </w:p>
    <w:p>
      <w:pPr>
        <w:pStyle w:val="Normal"/>
        <w:tabs>
          <w:tab w:val="clear" w:pos="708"/>
          <w:tab w:val="right" w:pos="9921" w:leader="dot"/>
        </w:tabs>
        <w:spacing w:before="120" w:after="0"/>
        <w:rPr/>
      </w:pPr>
      <w:r>
        <w:rPr/>
      </w:r>
    </w:p>
    <w:p>
      <w:pPr>
        <w:pStyle w:val="Normal"/>
        <w:tabs>
          <w:tab w:val="clear" w:pos="708"/>
          <w:tab w:val="right" w:pos="9921" w:leader="dot"/>
        </w:tabs>
        <w:spacing w:before="12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sectPr>
      <w:headerReference w:type="default" r:id="rId6"/>
      <w:headerReference w:type="first" r:id="rId7"/>
      <w:type w:val="nextPage"/>
      <w:pgSz w:orient="landscape" w:w="16838" w:h="11906"/>
      <w:pgMar w:left="992" w:right="567" w:gutter="0" w:header="680" w:top="851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97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uiPriority w:val="9"/>
    <w:qFormat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uiPriority w:val="9"/>
    <w:unhideWhenUsed/>
    <w:qFormat/>
    <w:pPr>
      <w:outlineLvl w:val="1"/>
    </w:pPr>
    <w:rPr/>
  </w:style>
  <w:style w:type="paragraph" w:styleId="Heading3">
    <w:name w:val="Heading 3"/>
    <w:basedOn w:val="Normal"/>
    <w:next w:val="Normal"/>
    <w:link w:val="3"/>
    <w:uiPriority w:val="9"/>
    <w:unhideWhenUsed/>
    <w:qFormat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uiPriority w:val="9"/>
    <w:unhideWhenUsed/>
    <w:qFormat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uiPriority w:val="99"/>
    <w:rPr>
      <w:color w:val="0000FF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6" w:customStyle="1">
    <w:name w:val="Заголовок 6 Знак"/>
    <w:qFormat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qFormat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qFormat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uiPriority w:val="9"/>
    <w:semiHidden/>
    <w:qFormat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uiPriority w:val="9"/>
    <w:semiHidden/>
    <w:qFormat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qFormat/>
    <w:rPr>
      <w:b/>
      <w:bCs/>
      <w:i/>
      <w:iCs/>
      <w:sz w:val="26"/>
      <w:szCs w:val="26"/>
    </w:rPr>
  </w:style>
  <w:style w:type="character" w:styleId="9" w:customStyle="1">
    <w:name w:val="Заголовок 9 Знак"/>
    <w:qFormat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qFormat/>
    <w:rPr>
      <w:sz w:val="28"/>
    </w:rPr>
  </w:style>
  <w:style w:type="character" w:styleId="Style2" w:customStyle="1">
    <w:name w:val="Подзаголовок Знак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1" w:customStyle="1">
    <w:name w:val="Цитата 2 Знак"/>
    <w:link w:val="Quote"/>
    <w:qFormat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qFormat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qFormat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rPr>
      <w:sz w:val="28"/>
    </w:rPr>
  </w:style>
  <w:style w:type="character" w:styleId="Style5" w:customStyle="1">
    <w:name w:val="Текст сноски Знак"/>
    <w:qFormat/>
    <w:rPr/>
  </w:style>
  <w:style w:type="character" w:styleId="Style6" w:customStyle="1">
    <w:name w:val="Основной текст Знак"/>
    <w:qFormat/>
    <w:rPr>
      <w:sz w:val="28"/>
      <w:szCs w:val="28"/>
    </w:rPr>
  </w:style>
  <w:style w:type="character" w:styleId="Blk" w:customStyle="1">
    <w:name w:val="blk"/>
    <w:qFormat/>
    <w:rPr/>
  </w:style>
  <w:style w:type="character" w:styleId="Style7" w:customStyle="1">
    <w:name w:val="Абзац списка Знак"/>
    <w:link w:val="ListParagraph"/>
    <w:qFormat/>
    <w:rPr>
      <w:rFonts w:eastAsia="Calibri"/>
      <w:sz w:val="24"/>
      <w:szCs w:val="24"/>
    </w:rPr>
  </w:style>
  <w:style w:type="character" w:styleId="Style8" w:customStyle="1">
    <w:name w:val="комментарий"/>
    <w:qFormat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rPr>
      <w:sz w:val="26"/>
      <w:szCs w:val="26"/>
    </w:rPr>
  </w:style>
  <w:style w:type="character" w:styleId="31" w:customStyle="1">
    <w:name w:val="УРОВЕНЬ_Абзац_тип3 Знак"/>
    <w:link w:val="36"/>
    <w:qFormat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qFormat/>
    <w:rPr>
      <w:sz w:val="24"/>
      <w:szCs w:val="24"/>
    </w:rPr>
  </w:style>
  <w:style w:type="character" w:styleId="Style11" w:customStyle="1">
    <w:name w:val="Текст примечания Знак"/>
    <w:link w:val="Annotationtext"/>
    <w:qFormat/>
    <w:rPr/>
  </w:style>
  <w:style w:type="character" w:styleId="Style12" w:customStyle="1">
    <w:name w:val="Текст концевой сноски Знак"/>
    <w:basedOn w:val="DefaultParagraphFont"/>
    <w:qFormat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Pr>
      <w:vertAlign w:val="superscript"/>
    </w:rPr>
  </w:style>
  <w:style w:type="character" w:styleId="22" w:customStyle="1">
    <w:name w:val="Пункт2 Знак"/>
    <w:link w:val="24"/>
    <w:qFormat/>
    <w:rPr>
      <w:b/>
      <w:sz w:val="28"/>
    </w:rPr>
  </w:style>
  <w:style w:type="character" w:styleId="12" w:customStyle="1">
    <w:name w:val="УРОВЕНЬ_1. Знак"/>
    <w:link w:val="19"/>
    <w:qFormat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yle15">
    <w:name w:val="Символ нумерации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uiPriority w:val="10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pPr/>
    <w:rPr>
      <w:sz w:val="20"/>
      <w:szCs w:val="20"/>
    </w:rPr>
  </w:style>
  <w:style w:type="paragraph" w:styleId="14" w:customStyle="1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qFormat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pPr>
      <w:ind w:hanging="0" w:left="360"/>
    </w:pPr>
    <w:rPr>
      <w:sz w:val="24"/>
      <w:szCs w:val="24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pPr>
      <w:spacing w:before="120" w:after="0"/>
      <w:jc w:val="right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pPr>
      <w:ind w:hanging="0" w:left="280"/>
    </w:pPr>
    <w:rPr>
      <w:rFonts w:cs="Calibri"/>
      <w:sz w:val="20"/>
      <w:szCs w:val="20"/>
    </w:rPr>
  </w:style>
  <w:style w:type="paragraph" w:styleId="Style23" w:customStyle="1">
    <w:name w:val="Раздел регламента"/>
    <w:basedOn w:val="Normal"/>
    <w:qFormat/>
    <w:pPr/>
    <w:rPr/>
  </w:style>
  <w:style w:type="paragraph" w:styleId="Style24" w:customStyle="1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autoRedefine/>
    <w:uiPriority w:val="39"/>
    <w:pPr>
      <w:spacing w:before="240" w:after="0"/>
    </w:pPr>
    <w:rPr>
      <w:rFonts w:cs="Calibri"/>
      <w:b/>
      <w:bCs/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16" w:customStyle="1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pPr>
      <w:ind w:hanging="0" w:left="196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autoRedefine/>
    <w:pPr>
      <w:ind w:hanging="0" w:left="84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pPr>
      <w:ind w:hanging="0" w:left="560"/>
    </w:pPr>
    <w:rPr>
      <w:rFonts w:cs="Calibri"/>
      <w:sz w:val="20"/>
      <w:szCs w:val="20"/>
    </w:rPr>
  </w:style>
  <w:style w:type="paragraph" w:styleId="25" w:customStyle="1">
    <w:name w:val="Раздел положения 2"/>
    <w:basedOn w:val="Normal"/>
    <w:qFormat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  <w:sz w:val="24"/>
      <w:szCs w:val="24"/>
    </w:rPr>
  </w:style>
  <w:style w:type="paragraph" w:styleId="Caption1111" w:customStyle="1">
    <w:name w:val="caption11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qFormat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qFormat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qFormat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qFormat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qFormat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>
    <w:name w:val="List Bullet 4"/>
    <w:basedOn w:val="Normal"/>
    <w:qFormat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pPr/>
    <w:rPr>
      <w:sz w:val="20"/>
      <w:szCs w:val="20"/>
    </w:rPr>
  </w:style>
  <w:style w:type="paragraph" w:styleId="28" w:customStyle="1">
    <w:name w:val="Заголовок 2 КВВ"/>
    <w:basedOn w:val="Normal"/>
    <w:qFormat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pPr>
      <w:ind w:hanging="0" w:left="112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autoRedefine/>
    <w:pPr>
      <w:ind w:hanging="0" w:left="140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autoRedefine/>
    <w:pPr>
      <w:ind w:hanging="0" w:left="1680"/>
    </w:pPr>
    <w:rPr>
      <w:rFonts w:ascii="Calibri" w:hAnsi="Calibri" w:cs="Calibri"/>
      <w:sz w:val="20"/>
      <w:szCs w:val="20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qFormat/>
  </w:style>
  <w:style w:type="numbering" w:styleId="29" w:customStyle="1">
    <w:name w:val="Стиль2"/>
    <w:qFormat/>
  </w:style>
  <w:style w:type="numbering" w:styleId="17757411101">
    <w:name w:val="17757411101"/>
    <w:qFormat/>
  </w:style>
  <w:style w:type="numbering" w:styleId="6447151851">
    <w:name w:val="644715185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Application>AlterOffice/2026.2.0.0$Linux_X86_64 LibreOffice_project/bc4ef1adf80b36c7a6365f8ed6cbf29021361edd</Application>
  <AppVersion>15.0000</AppVersion>
  <Pages>13</Pages>
  <Words>2269</Words>
  <Characters>14745</Characters>
  <CharactersWithSpaces>16462</CharactersWithSpaces>
  <Paragraphs>577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2024-05-06T07:03:00Z</dcterms:created>
  <dc:creator>Быстров Олег Геннадьевич</dc:creator>
  <dc:description/>
  <dc:language>ru-RU</dc:language>
  <cp:lastModifiedBy/>
  <cp:lastPrinted>2006-07-26T14:04:00Z</cp:lastPrinted>
  <dcterms:modified xsi:type="dcterms:W3CDTF">2026-09-16T14:24:21Z</dcterms:modified>
  <cp:revision>29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