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>«УТВЕРЖДАЮ»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 xml:space="preserve"> </w:t>
      </w:r>
      <w:r>
        <w:rPr>
          <w:bCs/>
          <w:shd w:fill="FFFFFF" w:val="clear"/>
        </w:rPr>
        <w:t xml:space="preserve">Первый заместитель директора -                                                                                                              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>Главный инженер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>Филиала ПАО «РусГидро»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>- «Жигулевская ГЭС»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 xml:space="preserve">                                                                                  </w:t>
      </w:r>
      <w:r>
        <w:rPr>
          <w:bCs/>
          <w:shd w:fill="FFFFFF" w:val="clear"/>
        </w:rPr>
        <w:t xml:space="preserve">___________ А.И. Богданов 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 xml:space="preserve">           </w:t>
      </w:r>
      <w:r>
        <w:rPr>
          <w:bCs/>
          <w:shd w:fill="FFFFFF" w:val="clear"/>
        </w:rPr>
        <w:t>«      »  _________  2026 г</w:t>
      </w:r>
      <w:r>
        <w:rPr>
          <w:b/>
          <w:bCs/>
          <w:shd w:fill="FFFFFF" w:val="clear"/>
        </w:rPr>
        <w:t>.</w:t>
      </w:r>
    </w:p>
    <w:p>
      <w:pPr>
        <w:pStyle w:val="Normal"/>
        <w:keepNext w:val="true"/>
        <w:keepLines/>
        <w:jc w:val="right"/>
        <w:rPr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sz w:val="26"/>
        </w:rPr>
      </w:pPr>
      <w:r>
        <w:rPr>
          <w:bCs/>
          <w:sz w:val="26"/>
          <w:szCs w:val="26"/>
        </w:rPr>
        <w:t xml:space="preserve">ОКДП2 – </w:t>
      </w:r>
      <w:r>
        <w:rPr>
          <w:bCs/>
          <w:sz w:val="26"/>
          <w:szCs w:val="26"/>
        </w:rPr>
        <w:t>47</w:t>
      </w:r>
      <w:r>
        <w:rPr>
          <w:bCs/>
          <w:color w:val="333333"/>
          <w:sz w:val="24"/>
        </w:rPr>
        <w:t>.</w:t>
      </w:r>
      <w:r>
        <w:rPr>
          <w:bCs/>
          <w:color w:val="333333"/>
          <w:sz w:val="24"/>
        </w:rPr>
        <w:t>78</w:t>
      </w:r>
      <w:r>
        <w:rPr>
          <w:bCs/>
          <w:color w:val="333333"/>
          <w:sz w:val="24"/>
        </w:rPr>
        <w:t>.</w:t>
      </w:r>
      <w:r>
        <w:rPr>
          <w:bCs/>
          <w:color w:val="333333"/>
          <w:sz w:val="24"/>
        </w:rPr>
        <w:t>30</w:t>
      </w:r>
      <w:r>
        <w:rPr>
          <w:bCs/>
          <w:color w:val="333333"/>
          <w:sz w:val="24"/>
          <w:szCs w:val="26"/>
        </w:rPr>
        <w:t xml:space="preserve"> "</w:t>
      </w:r>
      <w:r>
        <w:rPr>
          <w:bCs/>
          <w:sz w:val="26"/>
          <w:szCs w:val="26"/>
        </w:rPr>
        <w:t xml:space="preserve">Создание и поставка полиграфической продукции  </w:t>
      </w:r>
    </w:p>
    <w:p>
      <w:pPr>
        <w:pStyle w:val="Normal"/>
        <w:jc w:val="center"/>
        <w:rPr>
          <w:sz w:val="26"/>
          <w:szCs w:val="26"/>
        </w:rPr>
      </w:pPr>
      <w:r>
        <w:rPr>
          <w:bCs/>
          <w:sz w:val="26"/>
          <w:szCs w:val="26"/>
        </w:rPr>
        <w:t>(календаря) с символикой ПАО «РусГидро»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210722290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1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2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3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1.4. Сроки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2.1.1. Требования к перечню и объему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2.1.2. Требования к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2.2. Требования к качеству товара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hyperlink w:anchor="_Toc21072230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_Toc210722300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3. Требования к оформлению расчетов на поставку товара</w:t>
              <w:tab/>
              <w:t>4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spacing w:before="120" w:after="0"/>
        <w:rPr>
          <w:rFonts w:cs="Calibri Light (Заголовки)"/>
          <w:b/>
          <w:bCs/>
          <w:iCs/>
          <w:sz w:val="20"/>
          <w:szCs w:val="20"/>
        </w:rPr>
      </w:pPr>
      <w:r>
        <w:rPr>
          <w:rFonts w:cs="Calibri Light (Заголовки)"/>
          <w:b/>
          <w:bCs/>
          <w:iCs/>
          <w:sz w:val="20"/>
          <w:szCs w:val="20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bookmarkStart w:id="0" w:name="_GoBack"/>
      <w:bookmarkStart w:id="1" w:name="_GoBack"/>
      <w:bookmarkEnd w:id="1"/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2" w:name="_Toc210722290"/>
      <w:bookmarkStart w:id="3" w:name="_Toc51339692"/>
      <w:bookmarkStart w:id="4" w:name="_Toc54646395"/>
      <w:r>
        <w:rPr>
          <w:lang w:val="ru-RU"/>
        </w:rPr>
        <w:t>Общие сведения</w:t>
      </w:r>
      <w:bookmarkEnd w:id="2"/>
      <w:bookmarkEnd w:id="3"/>
      <w:bookmarkEnd w:id="4"/>
    </w:p>
    <w:p>
      <w:pPr>
        <w:pStyle w:val="Heading4"/>
        <w:numPr>
          <w:ilvl w:val="1"/>
          <w:numId w:val="3"/>
        </w:numPr>
        <w:rPr/>
      </w:pPr>
      <w:bookmarkStart w:id="5" w:name="_Toc210722291"/>
      <w:bookmarkStart w:id="6" w:name="_Toc46743505"/>
      <w:bookmarkStart w:id="7" w:name="_Toc54646396"/>
      <w:r>
        <w:rPr/>
        <w:t>Обозначения и сокращения</w:t>
      </w:r>
      <w:bookmarkEnd w:id="5"/>
      <w:bookmarkEnd w:id="6"/>
      <w:bookmarkEnd w:id="7"/>
    </w:p>
    <w:p>
      <w:pPr>
        <w:pStyle w:val="Normal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tbl>
      <w:tblPr>
        <w:tblW w:w="9725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63"/>
        <w:gridCol w:w="7961"/>
      </w:tblGrid>
      <w:tr>
        <w:trPr>
          <w:trHeight w:val="338" w:hRule="atLeast"/>
          <w:cantSplit w:val="true"/>
        </w:trPr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7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ТТ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iCs/>
                <w:sz w:val="24"/>
                <w:szCs w:val="24"/>
                <w:lang w:val="en-US"/>
              </w:rPr>
              <w:t>НПА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  <w:lang w:val="en-US"/>
              </w:rPr>
              <w:t>Нормативно-правовые акты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  <w:lang w:val="en-US"/>
              </w:rPr>
              <w:t>НТД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  <w:lang w:val="en-US"/>
              </w:rPr>
              <w:t>Нормативно-технические документы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  <w:lang w:val="en-US"/>
              </w:rPr>
              <w:t xml:space="preserve">СБ 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  <w:lang w:val="en-US"/>
              </w:rPr>
              <w:t>Служба безопасности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СОТиПК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Служба охраны труда и производственного контроля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8" w:name="_Toc210722292"/>
      <w:bookmarkStart w:id="9" w:name="_Toc54646397"/>
      <w:bookmarkStart w:id="10" w:name="_Toc46743506"/>
      <w:r>
        <w:rPr/>
        <w:t>Наименование закупаемой продукции</w:t>
      </w:r>
      <w:bookmarkEnd w:id="8"/>
      <w:bookmarkEnd w:id="9"/>
      <w:bookmarkEnd w:id="10"/>
    </w:p>
    <w:p>
      <w:pPr>
        <w:pStyle w:val="ListParagraph"/>
        <w:ind w:left="0" w:hanging="0"/>
        <w:jc w:val="both"/>
        <w:rPr>
          <w:b/>
          <w:bCs/>
        </w:rPr>
      </w:pPr>
      <w:r>
        <w:rPr/>
        <w:t xml:space="preserve">ОКДП2 – </w:t>
      </w:r>
      <w:r>
        <w:rPr/>
        <w:t>47</w:t>
      </w:r>
      <w:r>
        <w:rPr>
          <w:bCs/>
          <w:color w:val="333333"/>
        </w:rPr>
        <w:t>.</w:t>
      </w:r>
      <w:r>
        <w:rPr>
          <w:bCs/>
          <w:color w:val="333333"/>
        </w:rPr>
        <w:t>78</w:t>
      </w:r>
      <w:r>
        <w:rPr>
          <w:bCs/>
          <w:color w:val="333333"/>
        </w:rPr>
        <w:t>.</w:t>
      </w:r>
      <w:r>
        <w:rPr>
          <w:bCs/>
          <w:color w:val="333333"/>
        </w:rPr>
        <w:t>30</w:t>
      </w:r>
      <w:r>
        <w:rPr>
          <w:bCs/>
          <w:color w:val="333333"/>
          <w:szCs w:val="26"/>
        </w:rPr>
        <w:t xml:space="preserve"> </w:t>
      </w:r>
      <w:r>
        <w:rPr>
          <w:bCs/>
          <w:sz w:val="26"/>
          <w:szCs w:val="26"/>
        </w:rPr>
        <w:t>Создание и поставка полиграфической продукции (календаря) с символикой ПАО «РусГидро»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11" w:name="_Toc210722293"/>
      <w:bookmarkStart w:id="12" w:name="_Toc46743507"/>
      <w:bookmarkStart w:id="13" w:name="_Toc54646398"/>
      <w:r>
        <w:rPr/>
        <w:t xml:space="preserve">Цель </w:t>
      </w:r>
      <w:bookmarkEnd w:id="12"/>
      <w:bookmarkEnd w:id="13"/>
      <w:r>
        <w:rPr>
          <w:lang w:val="ru-RU"/>
        </w:rPr>
        <w:t>оказания услуг</w:t>
      </w:r>
      <w:bookmarkEnd w:id="11"/>
    </w:p>
    <w:p>
      <w:pPr>
        <w:pStyle w:val="ListParagraph"/>
        <w:spacing w:before="0" w:after="120"/>
        <w:ind w:left="0" w:right="-81" w:hanging="0"/>
        <w:contextualSpacing/>
        <w:jc w:val="both"/>
        <w:rPr/>
      </w:pPr>
      <w:r>
        <w:rPr/>
        <w:t xml:space="preserve">Полиграфическая продукция создается и  поставляется </w:t>
      </w:r>
      <w:r>
        <w:rPr>
          <w:bCs/>
          <w:lang w:eastAsia="en-US"/>
        </w:rPr>
        <w:t xml:space="preserve">(в соответствии с бренд-буком) для вручения деловым партнерам филиала ПАО «РусГидро» - «Жигулевская ГЭС» для создания положительного имиджа предприятия. </w:t>
      </w:r>
    </w:p>
    <w:p>
      <w:pPr>
        <w:pStyle w:val="Heading4"/>
        <w:tabs>
          <w:tab w:val="clear" w:pos="0"/>
        </w:tabs>
        <w:ind w:left="0" w:hanging="0"/>
        <w:rPr/>
      </w:pPr>
      <w:bookmarkStart w:id="14" w:name="_Toc210722294"/>
      <w:bookmarkStart w:id="15" w:name="_Toc46743508"/>
      <w:bookmarkStart w:id="16" w:name="_Toc54646399"/>
      <w:r>
        <w:rPr/>
        <w:t xml:space="preserve">1.4. </w:t>
      </w:r>
      <w:bookmarkEnd w:id="15"/>
      <w:bookmarkEnd w:id="16"/>
      <w:r>
        <w:rPr/>
        <w:t>Сроки оказания услуг</w:t>
      </w:r>
      <w:bookmarkEnd w:id="14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После заключения договора в течение 14 дней с даты утверждения макета, но не позднее 15.12.2026 г. </w:t>
      </w:r>
    </w:p>
    <w:p>
      <w:pPr>
        <w:pStyle w:val="Heading4"/>
        <w:tabs>
          <w:tab w:val="clear" w:pos="0"/>
        </w:tabs>
        <w:ind w:left="0" w:hanging="0"/>
        <w:rPr/>
      </w:pPr>
      <w:bookmarkStart w:id="17" w:name="_Toc210722295"/>
      <w:r>
        <w:rPr/>
        <w:t xml:space="preserve">1.5. </w:t>
      </w:r>
      <w:bookmarkStart w:id="18" w:name="_Toc54646401"/>
      <w:bookmarkStart w:id="19" w:name="_Toc46743509"/>
      <w:bookmarkStart w:id="20" w:name="_Hlk49857604"/>
      <w:r>
        <w:rPr/>
        <w:t xml:space="preserve">Информация в отношении исполнения договора, </w:t>
      </w:r>
      <w:bookmarkStart w:id="21" w:name="_Hlk46492347"/>
      <w:r>
        <w:rPr/>
        <w:t xml:space="preserve">которая должна быть учтена при подготовке заявки </w:t>
      </w:r>
      <w:bookmarkEnd w:id="21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 этапе исполнения договора)</w:t>
      </w:r>
      <w:bookmarkEnd w:id="17"/>
      <w:bookmarkEnd w:id="19"/>
      <w:bookmarkEnd w:id="20"/>
      <w:r>
        <w:rPr>
          <w:lang w:val="ru-RU"/>
        </w:rPr>
        <w:t xml:space="preserve"> </w:t>
      </w:r>
      <w:bookmarkEnd w:id="18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20"/>
        <w:jc w:val="both"/>
        <w:rPr>
          <w:rFonts w:eastAsia="Calibri"/>
          <w:sz w:val="24"/>
          <w:lang w:eastAsia="x-none"/>
        </w:rPr>
      </w:pPr>
      <w:bookmarkStart w:id="22" w:name="_Hlk48209761"/>
      <w:bookmarkEnd w:id="22"/>
      <w:r>
        <w:rPr>
          <w:rFonts w:eastAsia="Calibri"/>
          <w:sz w:val="24"/>
          <w:lang w:eastAsia="x-none"/>
        </w:rPr>
        <w:t>На объекте действует пропускной режим: проход лиц, проезд транспортных средств на территорию Филиала и обратно, вноса (выноса), ввоза (вывоза) материальных ценностей осуществляется по письмам и пропускам установленного образца согласно положения по пропускному и внутриобъектовому режимам Заказчика</w:t>
      </w:r>
      <w:bookmarkStart w:id="23" w:name="_Toc50125126"/>
      <w:bookmarkStart w:id="24" w:name="_Hlk482097611"/>
      <w:bookmarkStart w:id="25" w:name="_Toc46743510"/>
      <w:bookmarkEnd w:id="23"/>
      <w:bookmarkEnd w:id="24"/>
      <w:bookmarkEnd w:id="25"/>
      <w:r>
        <w:rPr>
          <w:rFonts w:eastAsia="Calibri"/>
          <w:sz w:val="24"/>
          <w:lang w:eastAsia="x-none"/>
        </w:rPr>
        <w:t>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20"/>
        <w:jc w:val="both"/>
        <w:rPr>
          <w:rFonts w:eastAsia="Calibri"/>
          <w:sz w:val="24"/>
          <w:lang w:eastAsia="x-none"/>
        </w:rPr>
      </w:pPr>
      <w:r>
        <w:rPr>
          <w:rFonts w:eastAsia="Calibri"/>
          <w:sz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b/>
          <w:bCs/>
        </w:rPr>
      </w:pPr>
      <w:r>
        <w:rPr>
          <w:rFonts w:eastAsia="Calibri"/>
          <w:b/>
          <w:bCs/>
          <w:iCs/>
          <w:sz w:val="24"/>
          <w:szCs w:val="24"/>
          <w:lang w:eastAsia="x-none"/>
        </w:rPr>
        <w:t xml:space="preserve">2. </w:t>
      </w:r>
      <w:bookmarkStart w:id="26" w:name="_Toc51339693"/>
      <w:bookmarkStart w:id="27" w:name="_Toc54646403"/>
      <w:r>
        <w:rPr>
          <w:b/>
          <w:bCs/>
          <w:iCs/>
          <w:sz w:val="24"/>
          <w:szCs w:val="24"/>
        </w:rPr>
        <w:t>Требования к продукции</w:t>
      </w:r>
      <w:bookmarkEnd w:id="26"/>
      <w:bookmarkEnd w:id="27"/>
    </w:p>
    <w:p>
      <w:pPr>
        <w:pStyle w:val="Heading4"/>
        <w:ind w:left="432" w:hanging="0"/>
        <w:rPr/>
      </w:pPr>
      <w:bookmarkStart w:id="28" w:name="_Toc210722296"/>
      <w:r>
        <w:rPr/>
        <w:t xml:space="preserve">2.1. </w:t>
      </w:r>
      <w:bookmarkStart w:id="29" w:name="_Toc54646404"/>
      <w:r>
        <w:rPr/>
        <w:t xml:space="preserve">Требования к объемам и срокам </w:t>
      </w:r>
      <w:bookmarkEnd w:id="29"/>
      <w:r>
        <w:rPr/>
        <w:t>поставки</w:t>
      </w:r>
      <w:bookmarkEnd w:id="28"/>
    </w:p>
    <w:p>
      <w:pPr>
        <w:pStyle w:val="Heading3"/>
        <w:ind w:left="1224" w:hanging="0"/>
        <w:rPr/>
      </w:pPr>
      <w:bookmarkStart w:id="30" w:name="_Toc210722297"/>
      <w:r>
        <w:rPr>
          <w:lang w:val="ru-RU"/>
        </w:rPr>
        <w:t xml:space="preserve">2.1.1. </w:t>
      </w:r>
      <w:bookmarkStart w:id="31" w:name="_Toc54646405"/>
      <w:r>
        <w:rPr>
          <w:lang w:val="ru-RU"/>
        </w:rPr>
        <w:t xml:space="preserve">Требования к </w:t>
      </w:r>
      <w:bookmarkEnd w:id="31"/>
      <w:r>
        <w:rPr>
          <w:lang w:val="ru-RU"/>
        </w:rPr>
        <w:t>перечню</w:t>
      </w:r>
      <w:r>
        <w:rPr/>
        <w:t xml:space="preserve"> и объем</w:t>
      </w:r>
      <w:r>
        <w:rPr>
          <w:lang w:val="ru-RU"/>
        </w:rPr>
        <w:t>у</w:t>
      </w:r>
      <w:r>
        <w:rPr/>
        <w:t xml:space="preserve"> </w:t>
      </w:r>
      <w:r>
        <w:rPr>
          <w:lang w:val="ru-RU"/>
        </w:rPr>
        <w:t>поставки</w:t>
      </w:r>
      <w:bookmarkEnd w:id="30"/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tbl>
      <w:tblPr>
        <w:tblW w:w="100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1"/>
        <w:gridCol w:w="2924"/>
        <w:gridCol w:w="6556"/>
      </w:tblGrid>
      <w:tr>
        <w:trPr>
          <w:trHeight w:val="386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5" w:leader="none"/>
              </w:tabs>
              <w:ind w:left="227" w:hanging="0"/>
              <w:jc w:val="center"/>
              <w:rPr/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0"/>
                <w:szCs w:val="20"/>
              </w:rPr>
              <w:t>Объём товара</w:t>
            </w:r>
          </w:p>
        </w:tc>
      </w:tr>
      <w:tr>
        <w:trPr>
          <w:trHeight w:val="1084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Создание и поставка полиграфической продукции  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bCs/>
                <w:sz w:val="20"/>
                <w:szCs w:val="20"/>
              </w:rPr>
              <w:t>(календаря) с символикой ПАО «РусГидро</w:t>
            </w:r>
            <w:r>
              <w:rPr>
                <w:bCs/>
                <w:sz w:val="26"/>
                <w:szCs w:val="26"/>
              </w:rPr>
              <w:t>»</w:t>
            </w:r>
          </w:p>
          <w:p>
            <w:pPr>
              <w:pStyle w:val="Normal"/>
              <w:keepNext w:val="true"/>
              <w:keepLines/>
              <w:widowControl w:val="false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 xml:space="preserve"> 200 шт.: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календарь настенный, трехблочный  МАКСИ ;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-3 стандартных блока;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нижняя подложка;  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- курсор магнитный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- разработка дизайн-макета (практическая реализация идеи заказчика),          цифровая печать</w:t>
            </w:r>
          </w:p>
        </w:tc>
      </w:tr>
      <w:tr>
        <w:trPr>
          <w:trHeight w:val="1084" w:hRule="atLeast"/>
        </w:trPr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Создание и поставка полиграфической продукции  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(календаря) с символикой ПАО «РусГидро»</w:t>
            </w:r>
          </w:p>
        </w:tc>
        <w:tc>
          <w:tcPr>
            <w:tcW w:w="6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- 100 шт.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календарь-домик (210 х 100 мм)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- 6 перекидных листов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пружина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- разработка дизайн-макета (практическая реализация идеи заказчика),          цифровая печать</w:t>
            </w:r>
          </w:p>
        </w:tc>
      </w:tr>
    </w:tbl>
    <w:p>
      <w:pPr>
        <w:pStyle w:val="Heading3"/>
        <w:ind w:left="1224" w:hanging="0"/>
        <w:rPr>
          <w:lang w:val="ru-RU"/>
        </w:rPr>
      </w:pPr>
      <w:r>
        <w:rPr>
          <w:lang w:val="ru-RU"/>
        </w:rPr>
      </w:r>
    </w:p>
    <w:p>
      <w:pPr>
        <w:pStyle w:val="Heading3"/>
        <w:ind w:left="1224" w:hanging="0"/>
        <w:rPr>
          <w:lang w:val="ru-RU"/>
        </w:rPr>
      </w:pPr>
      <w:bookmarkStart w:id="32" w:name="_Toc210722298"/>
      <w:r>
        <w:rPr>
          <w:lang w:val="ru-RU"/>
        </w:rPr>
        <w:t xml:space="preserve">2.1.2. </w:t>
      </w:r>
      <w:bookmarkStart w:id="33" w:name="_Toc54646407"/>
      <w:bookmarkStart w:id="34" w:name="_Toc51339696"/>
      <w:r>
        <w:rPr>
          <w:lang w:val="ru-RU"/>
        </w:rPr>
        <w:t xml:space="preserve">Требования </w:t>
      </w:r>
      <w:bookmarkEnd w:id="34"/>
      <w:r>
        <w:rPr>
          <w:lang w:val="ru-RU"/>
        </w:rPr>
        <w:t xml:space="preserve">к срокам </w:t>
      </w:r>
      <w:bookmarkEnd w:id="33"/>
      <w:r>
        <w:rPr>
          <w:lang w:val="ru-RU"/>
        </w:rPr>
        <w:t>поставки</w:t>
      </w:r>
      <w:bookmarkEnd w:id="32"/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Таблица 2</w:t>
      </w:r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6"/>
        <w:gridCol w:w="3844"/>
        <w:gridCol w:w="2867"/>
        <w:gridCol w:w="2973"/>
      </w:tblGrid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началу срока поставки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окончанию срока поставки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Создание и поставка полиграфической продукции  (календаря) с символикой ПАО «РусГидро»</w:t>
            </w:r>
          </w:p>
          <w:p>
            <w:pPr>
              <w:pStyle w:val="Normal"/>
              <w:keepNext w:val="true"/>
              <w:keepLines/>
              <w:widowControl w:val="false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заключения договора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В течение 14 дней с даты согласования макета, но не позднее 15.12.2026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ind w:left="432" w:hanging="0"/>
        <w:rPr/>
      </w:pPr>
      <w:bookmarkStart w:id="35" w:name="_Toc210722299"/>
      <w:r>
        <w:rPr/>
        <w:t xml:space="preserve">2.2. </w:t>
      </w:r>
      <w:bookmarkStart w:id="36" w:name="_Toc54646410"/>
      <w:bookmarkStart w:id="37" w:name="_Toc51339698"/>
      <w:r>
        <w:rPr/>
        <w:t xml:space="preserve">Требования к </w:t>
      </w:r>
      <w:r>
        <w:rPr>
          <w:lang w:val="ru-RU"/>
        </w:rPr>
        <w:t>качеству товара</w:t>
      </w:r>
      <w:bookmarkEnd w:id="35"/>
      <w:bookmarkEnd w:id="36"/>
      <w:bookmarkEnd w:id="37"/>
    </w:p>
    <w:p>
      <w:pPr>
        <w:pStyle w:val="Normal"/>
        <w:snapToGrid w:val="false"/>
        <w:spacing w:before="0" w:after="120"/>
        <w:jc w:val="right"/>
        <w:rPr/>
      </w:pPr>
      <w:r>
        <w:rPr>
          <w:sz w:val="24"/>
          <w:szCs w:val="24"/>
        </w:rPr>
        <w:t>Таблица 3</w:t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60" w:charSpace="0"/>
        </w:sectPr>
      </w:pPr>
    </w:p>
    <w:tbl>
      <w:tblPr>
        <w:tblStyle w:val="affff7"/>
        <w:tblW w:w="10215" w:type="dxa"/>
        <w:jc w:val="left"/>
        <w:tblInd w:w="1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5"/>
        <w:gridCol w:w="2381"/>
        <w:gridCol w:w="7099"/>
      </w:tblGrid>
      <w:tr>
        <w:trPr>
          <w:trHeight w:val="230" w:hRule="atLeast"/>
        </w:trPr>
        <w:tc>
          <w:tcPr>
            <w:tcW w:w="7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38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09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30" w:hRule="atLeast"/>
        </w:trPr>
        <w:tc>
          <w:tcPr>
            <w:tcW w:w="7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38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70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sz w:val="20"/>
                <w:szCs w:val="20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3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70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поставке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Общие требования к поставке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поставке</w:t>
            </w:r>
          </w:p>
        </w:tc>
        <w:tc>
          <w:tcPr>
            <w:tcW w:w="709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Поставка осуществляется в полном соответствии с перечнем и объемом поставки, представленном в таблице 1 настоящих ТТ 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Доставка продукции осуществляется по адресу: 445350, Самарская обл., г. Жигулевск, Московское шоссе, 2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составу и квалификации персонала Исполнителя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20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квалифицированного персонала</w:t>
            </w:r>
          </w:p>
        </w:tc>
        <w:tc>
          <w:tcPr>
            <w:tcW w:w="70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персонала, имеющего квалификацию для выполнения указанных работ.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материально –технических ресурсов</w:t>
            </w:r>
          </w:p>
        </w:tc>
        <w:tc>
          <w:tcPr>
            <w:tcW w:w="7099" w:type="dxa"/>
            <w:tcBorders/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Наличие материально-технических ресурсов и производственного оборудования, необходимого для  выполнения договора.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Требования к опыту</w:t>
            </w:r>
          </w:p>
        </w:tc>
        <w:tc>
          <w:tcPr>
            <w:tcW w:w="7099" w:type="dxa"/>
            <w:tcBorders/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Опыт работы по виду деятельности не менее 2 лет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результатам поставки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Общие требования к результатам поставки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результату поставки</w:t>
            </w:r>
          </w:p>
        </w:tc>
        <w:tc>
          <w:tcPr>
            <w:tcW w:w="709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Календарь настенный 3-х блочный МАКСИ с символикой ПАО «РусГидро» - 200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Календарь-домик (210 х 100 мм), 6 перекидных листов — 100 шт.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безопасности поставки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Требование к информационной безопасности</w:t>
            </w:r>
          </w:p>
        </w:tc>
        <w:tc>
          <w:tcPr>
            <w:tcW w:w="70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целях неразглашения и обеспечения защиты от несанкционированного доступа третьих лиц к конфиденциальной информации и документам Стороны заключают соглашение о конфиденциальности;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приемке результата поставки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приемке результата поставки</w:t>
            </w:r>
          </w:p>
        </w:tc>
        <w:tc>
          <w:tcPr>
            <w:tcW w:w="709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Поставка, в рамках настоящих ТТ, считаются завершенной после подписания Универсального передаточного документа (УПД) или т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x-none" w:bidi="ar-SA"/>
              </w:rPr>
              <w:t>оварной накладной унифицированной формы ТОРГ-12 в 2 экз.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документации, описывающей результат поставки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Документы, передаваемые заказчику по результатам поставки</w:t>
            </w:r>
          </w:p>
        </w:tc>
        <w:tc>
          <w:tcPr>
            <w:tcW w:w="709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Универсальный передаточный документ (УПД) или т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x-none" w:bidi="ar-SA"/>
              </w:rPr>
              <w:t>оварная накладная унифицированной формы ТОРГ-12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виду представления отчетной документации</w:t>
            </w:r>
          </w:p>
        </w:tc>
        <w:tc>
          <w:tcPr>
            <w:tcW w:w="70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Документы, указанные в п. 2.4.1, представить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на бумажном носителе, или в электронном виде, с использованием системы ЭДО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73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b/>
                <w:kern w:val="0"/>
                <w:sz w:val="20"/>
                <w:szCs w:val="20"/>
                <w:lang w:val="ru-RU" w:eastAsia="x-none" w:bidi="ar-SA"/>
              </w:rPr>
              <w:t>3.</w:t>
            </w:r>
          </w:p>
        </w:tc>
        <w:tc>
          <w:tcPr>
            <w:tcW w:w="9480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20" w:after="0"/>
              <w:jc w:val="both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73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4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3.1.</w:t>
            </w:r>
          </w:p>
        </w:tc>
        <w:tc>
          <w:tcPr>
            <w:tcW w:w="238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Срок и условия гарантии на поставки</w:t>
            </w:r>
          </w:p>
        </w:tc>
        <w:tc>
          <w:tcPr>
            <w:tcW w:w="709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соответствии с условиями договора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60" w:charSpace="0"/>
        </w:sectPr>
      </w:pPr>
    </w:p>
    <w:p>
      <w:pPr>
        <w:pStyle w:val="Heading1"/>
        <w:keepLines/>
        <w:ind w:left="113" w:hanging="0"/>
        <w:jc w:val="both"/>
        <w:rPr/>
      </w:pPr>
      <w:bookmarkStart w:id="38" w:name="_Toc210722300"/>
      <w:r>
        <w:rPr>
          <w:sz w:val="26"/>
          <w:szCs w:val="26"/>
          <w:lang w:val="ru-RU"/>
        </w:rPr>
        <w:t xml:space="preserve">3. </w:t>
      </w:r>
      <w:bookmarkStart w:id="39" w:name="_Toc122080354"/>
      <w:r>
        <w:rPr>
          <w:sz w:val="26"/>
          <w:szCs w:val="26"/>
          <w:lang w:val="ru-RU"/>
        </w:rPr>
        <w:t xml:space="preserve">Требования к оформлению </w:t>
      </w:r>
      <w:bookmarkEnd w:id="39"/>
      <w:r>
        <w:rPr>
          <w:sz w:val="26"/>
          <w:szCs w:val="26"/>
          <w:lang w:val="ru-RU"/>
        </w:rPr>
        <w:t>расчетов на поставку товара</w:t>
      </w:r>
      <w:bookmarkEnd w:id="38"/>
      <w:r>
        <w:rPr>
          <w:sz w:val="26"/>
          <w:szCs w:val="26"/>
          <w:lang w:val="ru-RU"/>
        </w:rPr>
        <w:t xml:space="preserve"> </w:t>
      </w:r>
    </w:p>
    <w:p>
      <w:pPr>
        <w:pStyle w:val="Normal"/>
        <w:ind w:left="113" w:hanging="340"/>
        <w:jc w:val="both"/>
        <w:rPr/>
      </w:pPr>
      <w:r>
        <w:rPr>
          <w:sz w:val="26"/>
          <w:szCs w:val="26"/>
        </w:rPr>
        <w:t xml:space="preserve"> </w:t>
      </w:r>
      <w:bookmarkStart w:id="40" w:name="_Toc122080355"/>
      <w:r>
        <w:rPr>
          <w:sz w:val="26"/>
          <w:szCs w:val="26"/>
        </w:rPr>
        <w:tab/>
        <w:t>Расчёт</w:t>
      </w:r>
      <w:r>
        <w:rPr>
          <w:rStyle w:val="Style8"/>
          <w:rFonts w:eastAsia="Calibri"/>
          <w:b w:val="false"/>
          <w:i w:val="false"/>
          <w:iCs/>
          <w:sz w:val="26"/>
          <w:szCs w:val="26"/>
          <w:shd w:fill="auto" w:val="clear"/>
        </w:rPr>
        <w:t xml:space="preserve"> стоимости поставки товара, </w:t>
      </w:r>
      <w:bookmarkEnd w:id="40"/>
      <w:r>
        <w:rPr>
          <w:rStyle w:val="Style8"/>
          <w:rFonts w:eastAsia="Calibri"/>
          <w:b w:val="false"/>
          <w:i w:val="false"/>
          <w:iCs/>
          <w:sz w:val="26"/>
          <w:szCs w:val="26"/>
          <w:shd w:fill="auto" w:val="clear"/>
        </w:rPr>
        <w:t>основанный на технико-коммерческом предложении Исполнителя.</w:t>
      </w:r>
    </w:p>
    <w:p>
      <w:pPr>
        <w:pStyle w:val="Normal"/>
        <w:ind w:left="357" w:hanging="357"/>
        <w:jc w:val="both"/>
        <w:rPr>
          <w:rFonts w:eastAsia="Calibri"/>
          <w:iCs/>
          <w:sz w:val="26"/>
          <w:szCs w:val="26"/>
          <w:shd w:fill="FFFF00" w:val="clear"/>
        </w:rPr>
      </w:pPr>
      <w:r>
        <w:rPr>
          <w:rFonts w:eastAsia="Calibri"/>
          <w:iCs/>
          <w:sz w:val="26"/>
          <w:szCs w:val="26"/>
          <w:shd w:fill="FFFF00" w:val="clear"/>
        </w:rPr>
      </w:r>
    </w:p>
    <w:p>
      <w:pPr>
        <w:pStyle w:val="Normal"/>
        <w:ind w:left="340" w:hanging="0"/>
        <w:jc w:val="both"/>
        <w:rPr>
          <w:rFonts w:eastAsia="Calibri"/>
          <w:iCs/>
          <w:sz w:val="26"/>
          <w:szCs w:val="26"/>
          <w:shd w:fill="FFFF00" w:val="clear"/>
        </w:rPr>
      </w:pPr>
      <w:r>
        <w:rPr>
          <w:rFonts w:eastAsia="Calibri"/>
          <w:iCs/>
          <w:sz w:val="26"/>
          <w:szCs w:val="26"/>
          <w:shd w:fill="FFFF00" w:val="clear"/>
        </w:rPr>
      </w:r>
    </w:p>
    <w:tbl>
      <w:tblPr>
        <w:tblW w:w="9435" w:type="dxa"/>
        <w:jc w:val="left"/>
        <w:tblInd w:w="1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48"/>
        <w:gridCol w:w="4786"/>
      </w:tblGrid>
      <w:tr>
        <w:trPr>
          <w:trHeight w:val="1814" w:hRule="atLeast"/>
        </w:trPr>
        <w:tc>
          <w:tcPr>
            <w:tcW w:w="4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Согласовано: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>Начальник ОМТО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___________ /_</w:t>
            </w:r>
            <w:r>
              <w:rPr>
                <w:sz w:val="26"/>
                <w:szCs w:val="26"/>
                <w:u w:val="single"/>
              </w:rPr>
              <w:t xml:space="preserve"> Д.А. Ганин </w:t>
            </w:r>
            <w:r>
              <w:rPr>
                <w:b/>
                <w:sz w:val="26"/>
                <w:szCs w:val="26"/>
              </w:rPr>
              <w:t xml:space="preserve">__ 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</w:t>
            </w:r>
            <w:r>
              <w:rPr>
                <w:sz w:val="26"/>
                <w:szCs w:val="26"/>
              </w:rPr>
              <w:t xml:space="preserve">подпись                                            Ф.И.О.                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«____»___________  20___ г.                         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Согласовано: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Специалист ОМТО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___________ /_</w:t>
            </w:r>
            <w:r>
              <w:rPr>
                <w:sz w:val="26"/>
                <w:szCs w:val="26"/>
                <w:u w:val="single"/>
              </w:rPr>
              <w:t xml:space="preserve"> А.В. Зайцева</w:t>
            </w:r>
            <w:r>
              <w:rPr>
                <w:b/>
                <w:sz w:val="26"/>
                <w:szCs w:val="26"/>
              </w:rPr>
              <w:t xml:space="preserve">__ 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</w:t>
            </w:r>
            <w:r>
              <w:rPr>
                <w:sz w:val="26"/>
                <w:szCs w:val="26"/>
              </w:rPr>
              <w:t xml:space="preserve">подпись                                            Ф.И.О.                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«____»___________  20___ г.                         </w:t>
            </w:r>
          </w:p>
        </w:tc>
      </w:tr>
    </w:tbl>
    <w:p>
      <w:pPr>
        <w:pStyle w:val="Heading1"/>
        <w:keepLines/>
        <w:spacing w:before="120" w:after="60"/>
        <w:rPr>
          <w:sz w:val="26"/>
          <w:szCs w:val="26"/>
        </w:rPr>
      </w:pPr>
      <w:r>
        <w:rPr/>
      </w:r>
    </w:p>
    <w:sectPr>
      <w:type w:val="continuous"/>
      <w:pgSz w:w="11906" w:h="16838"/>
      <w:pgMar w:left="1134" w:right="851" w:gutter="0" w:header="680" w:top="1134" w:footer="0" w:bottom="992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0"/>
        <w:b w:val="false"/>
        <w:szCs w:val="20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9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Blk1" w:customStyle="1">
    <w:name w:val="blk1"/>
    <w:qFormat/>
    <w:rsid w:val="008d7cca"/>
    <w:rPr>
      <w:vanish w:val="false"/>
    </w:rPr>
  </w:style>
  <w:style w:type="character" w:styleId="Style14" w:customStyle="1">
    <w:name w:val="Ссылка указателя"/>
    <w:qFormat/>
    <w:rPr/>
  </w:style>
  <w:style w:type="character" w:styleId="Hyperlink">
    <w:name w:val="Hyperlink"/>
    <w:uiPriority w:val="99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7321c6"/>
    <w:pPr>
      <w:widowControl w:val="false"/>
      <w:numPr>
        <w:ilvl w:val="0"/>
        <w:numId w:val="8"/>
      </w:numPr>
      <w:ind w:left="0" w:hanging="0"/>
      <w:jc w:val="both"/>
    </w:pPr>
    <w:rPr>
      <w:sz w:val="20"/>
      <w:szCs w:val="20"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b5917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a540ec"/>
    <w:pPr>
      <w:tabs>
        <w:tab w:val="clear" w:pos="708"/>
        <w:tab w:val="right" w:pos="9911" w:leader="dot"/>
      </w:tabs>
      <w:ind w:left="567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111" w:customStyle="1">
    <w:name w:val="Текст1"/>
    <w:basedOn w:val="Normal"/>
    <w:qFormat/>
    <w:pPr/>
    <w:rPr>
      <w:rFonts w:ascii="Calibri" w:hAnsi="Calibri" w:eastAsia="Calibri" w:cs="Calibri"/>
      <w:sz w:val="22"/>
      <w:szCs w:val="21"/>
    </w:rPr>
  </w:style>
  <w:style w:type="paragraph" w:styleId="Style34" w:customStyle="1">
    <w:name w:val="Содержимое таблицы"/>
    <w:basedOn w:val="Normal"/>
    <w:uiPriority w:val="99"/>
    <w:qFormat/>
    <w:rsid w:val="00ee7548"/>
    <w:pPr>
      <w:widowControl w:val="false"/>
      <w:suppressLineNumbers/>
      <w:textAlignment w:val="baseline"/>
    </w:pPr>
    <w:rPr>
      <w:rFonts w:eastAsia="Calibri" w:cs="Tahoma"/>
      <w:kern w:val="2"/>
      <w:sz w:val="24"/>
      <w:szCs w:val="24"/>
      <w:lang w:val="de-DE" w:eastAsia="ja-JP" w:bidi="fa-IR"/>
    </w:rPr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273E2-639B-4341-91C1-FC9899238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Application>AlterOffice/2025.3.1.0$Linux_X86_64 LibreOffice_project/6648c49ab2ca125dff246c75ec00a85a64baa8dd</Application>
  <AppVersion>15.0000</AppVersion>
  <Pages>5</Pages>
  <Words>764</Words>
  <Characters>5022</Characters>
  <CharactersWithSpaces>6092</CharactersWithSpaces>
  <Paragraphs>157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2025-03-04T12:06:00Z</dcterms:created>
  <dc:creator>Быстров Олег Геннадьевич</dc:creator>
  <dc:description/>
  <dc:language>ru-RU</dc:language>
  <cp:lastModifiedBy>zaycevaav@corp.gidroogk.com</cp:lastModifiedBy>
  <cp:lastPrinted>2025-07-23T09:24:00Z</cp:lastPrinted>
  <dcterms:modified xsi:type="dcterms:W3CDTF">2026-09-16T16:36:30Z</dcterms:modified>
  <cp:revision>24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