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 w:before="0" w:after="0"/>
        <w:jc w:val="both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/>
          <w:highlight w:val="yellow"/>
        </w:rPr>
      </w:r>
    </w:p>
    <w:p>
      <w:pPr>
        <w:pStyle w:val="Normal"/>
        <w:keepNext w:val="true"/>
        <w:widowControl/>
        <w:numPr>
          <w:ilvl w:val="0"/>
          <w:numId w:val="0"/>
        </w:numPr>
        <w:spacing w:lineRule="auto" w:line="240" w:before="0" w:after="0"/>
        <w:ind w:hanging="0" w:start="0" w:end="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Техническое задание</w:t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 поставку технических средств оповещения населения </w:t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проведением монтажных и пуско-наладочных работ</w:t>
      </w:r>
    </w:p>
    <w:p>
      <w:pPr>
        <w:pStyle w:val="Normal"/>
        <w:widowControl/>
        <w:spacing w:lineRule="auto" w:line="240" w:before="0" w:after="0"/>
        <w:jc w:val="end"/>
        <w:rPr>
          <w:rFonts w:ascii="Times New Roman" w:hAnsi="Times New Roman"/>
          <w:b w:val="false"/>
          <w:bCs w:val="false"/>
          <w:sz w:val="24"/>
        </w:rPr>
      </w:pPr>
      <w:r>
        <w:rPr>
          <w:rFonts w:ascii="Times New Roman" w:hAnsi="Times New Roman"/>
          <w:b w:val="false"/>
          <w:bCs w:val="false"/>
          <w:sz w:val="24"/>
        </w:rPr>
        <w:t>Таблица №1</w:t>
      </w:r>
    </w:p>
    <w:tbl>
      <w:tblPr>
        <w:tblStyle w:val="Style_2"/>
        <w:tblpPr w:vertAnchor="text" w:horzAnchor="text" w:tblpXSpec="center" w:leftFromText="180" w:rightFromText="180" w:tblpY="1"/>
        <w:tblW w:w="1019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61"/>
        <w:gridCol w:w="1592"/>
        <w:gridCol w:w="1374"/>
        <w:gridCol w:w="2813"/>
        <w:gridCol w:w="1831"/>
        <w:gridCol w:w="2006"/>
        <w:gridCol w:w="16"/>
      </w:tblGrid>
      <w:tr>
        <w:trPr>
          <w:trHeight w:val="270" w:hRule="atLeast"/>
        </w:trPr>
        <w:tc>
          <w:tcPr>
            <w:tcW w:w="5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 xml:space="preserve">№ </w:t>
            </w: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 xml:space="preserve">п.п. </w:t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>Наименование товара</w:t>
            </w:r>
          </w:p>
        </w:tc>
        <w:tc>
          <w:tcPr>
            <w:tcW w:w="137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>Количество,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666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>Характеристики и показатели товара</w:t>
            </w:r>
          </w:p>
        </w:tc>
      </w:tr>
      <w:tr>
        <w:trPr>
          <w:trHeight w:val="406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>Наименование характеристики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4"/>
                <w:szCs w:val="20"/>
              </w:rPr>
              <w:t>Значение характеристики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pacing w:val="0"/>
                <w:kern w:val="0"/>
                <w:sz w:val="22"/>
                <w:szCs w:val="20"/>
              </w:rPr>
              <w:t>Ед. измерения характеристики</w:t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  <w:sz w:val="22"/>
              </w:rPr>
            </w:r>
          </w:p>
        </w:tc>
        <w:tc>
          <w:tcPr>
            <w:tcW w:w="159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Техническое средство оповещения населения</w:t>
            </w:r>
          </w:p>
        </w:tc>
        <w:tc>
          <w:tcPr>
            <w:tcW w:w="137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10</w:t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 xml:space="preserve">Вид 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Оконечное средство оповещения населения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Возможность сопряжения с уже имеющимся и эксплуатируемым  оборудованием «МАРС-АРСЕНАЛ»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да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Выходная мощность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200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Ватт</w:t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Автономность работы в режиме ожидания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6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Час</w:t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Автономность работы в рабочем режиме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 xml:space="preserve">1 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Час</w:t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Степень защиты по ГОСТ 14254-2015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IP65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Нижняя граница рабочей температуры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 xml:space="preserve">-20 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Градус Цельсия</w:t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407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Верхняя граница рабочей температуры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 xml:space="preserve">50 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Градус Цельсия</w:t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379" w:hRule="atLeast"/>
        </w:trPr>
        <w:tc>
          <w:tcPr>
            <w:tcW w:w="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59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13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2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Соответствие ГОСТ Р 42.3.01-2021 «Гражданская оборона. Технические средства оповещения населения. Классификация. Общие технические требования»</w:t>
            </w:r>
          </w:p>
        </w:tc>
        <w:tc>
          <w:tcPr>
            <w:tcW w:w="1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да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9"/>
                <w:tab w:val="left" w:pos="0" w:leader="none"/>
                <w:tab w:val="left" w:pos="142" w:leader="none"/>
              </w:tabs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</w:tbl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ОБЩИЕ ТРЕБОВАНИЯ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В комплект поставки включены все изделия и материалы, необходимые для монтажа оборудования и его дальнейшей эксплуатации, предустановленное программное обеспечения, комплект документации на русском языке.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1.2.  Поставляемый товар является новым (товаром, который не был в употреблении, в </w:t>
      </w:r>
      <w:r>
        <w:rPr>
          <w:rFonts w:ascii="Times New Roman" w:hAnsi="Times New Roman"/>
        </w:rPr>
        <w:t>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Адреса пунктов оповещения, в которые планируется поставка технических средств оповещения населения с проведением мероприятий по монтажу и пуско-наладке указаны в Приложении №1 к Техническому заданию.</w:t>
        <w:tab/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Срок поставки, включая проведение мероприятий по монтажу и пуско-наладке — 1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.12.2026 г.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1"/>
        <w:widowControl w:val="false"/>
        <w:numPr>
          <w:ilvl w:val="0"/>
          <w:numId w:val="1"/>
        </w:numPr>
        <w:spacing w:lineRule="auto" w:line="240" w:before="0" w:after="0"/>
        <w:ind w:hanging="360" w:start="786" w:end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МОНТАЖНЫМ РАБОТАМ</w:t>
      </w:r>
    </w:p>
    <w:p>
      <w:pPr>
        <w:pStyle w:val="ListParagraph1"/>
        <w:widowControl w:val="false"/>
        <w:numPr>
          <w:ilvl w:val="1"/>
          <w:numId w:val="1"/>
        </w:numPr>
        <w:tabs>
          <w:tab w:val="clear" w:pos="709"/>
          <w:tab w:val="left" w:pos="426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Монтаж технических средств оповещения населения производиться с учетом требований предприятий-изготовителей технических средств оповещения населения, предусмотренных техническими условиями или инструкциями по монтажу и эксплуатации этого оборудования.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  <w:tab w:val="left" w:pos="1134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Смонтированное оборудование должно быть подготовлено к настройке и к безопасному проведению пуско-наладочных работ.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Монтажные работы проводиться квалифицированным и обученным персоналом. Поставщик не позднее, чем за 2 дня до начала выполнения монтажных работ передаёт Заказчику список сотрудников, задействованных в их проведении.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Монтажные работы выполняются в соответствии с</w:t>
      </w:r>
      <w:r>
        <w:rPr/>
        <w:t xml:space="preserve"> </w:t>
      </w:r>
      <w:r>
        <w:rPr>
          <w:rFonts w:ascii="Times New Roman" w:hAnsi="Times New Roman"/>
        </w:rPr>
        <w:t>действующими строительными нормами и правилами, с соблюдением нормативных требований по охране труда, с учетом условий по обеспечению пожарной и электробезопасности, с соблюдением требований по безопасной эксплуатации здания на период проведения всех работ.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повреждения элементов здания, оборудования, имущества,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возникшего вследствие проведения монтажных работ Поставщиком, Поставщик за свой счет устраняет повреждения в согласованные с Заказчиком сроки. 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Монтаж технических средств оповещения должен осуществляться в рабочее время с понедельника по пятницу, поскольку установка оборудования предполагается объектах,</w:t>
      </w:r>
      <w:r>
        <w:rPr>
          <w:rFonts w:ascii="Times New Roman" w:hAnsi="Times New Roman"/>
          <w:highlight w:val="white"/>
        </w:rPr>
        <w:t xml:space="preserve"> с пятидневным графиком работы.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Помещения для бытовых нужд, складирования оборудования и инструментов не предоставляется. Хранение инструментов осуществляется Поставщиком собственными силами и за свой счет. Заказчик ответственности за сохранность инструментов не несет.</w:t>
      </w:r>
    </w:p>
    <w:p>
      <w:pPr>
        <w:pStyle w:val="ListParagraph1"/>
        <w:widowControl w:val="false"/>
        <w:numPr>
          <w:ilvl w:val="1"/>
          <w:numId w:val="1"/>
        </w:numPr>
        <w:tabs>
          <w:tab w:val="left" w:pos="426" w:leader="none"/>
          <w:tab w:val="left" w:pos="709" w:leader="none"/>
        </w:tabs>
        <w:spacing w:lineRule="auto" w:line="240" w:before="0" w:after="0"/>
        <w:ind w:firstLine="426" w:start="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окончания мероприятий по монтажу Поставщик убирает весь строительный мусор за свой счёт.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ТРЕБОВАНИЯ К УСЛУГАМ ПО ПУСКО-НАЛАДКЕ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Мероприятия по пуско-наладке производиться в соответствии с требованиями, предусмотренными технологическими инструкциями, инструкцией по эксплуатации, другой эксплуатационной документацией</w:t>
      </w:r>
      <w:r>
        <w:rPr/>
        <w:t xml:space="preserve"> </w:t>
      </w:r>
      <w:r>
        <w:rPr>
          <w:rFonts w:ascii="Times New Roman" w:hAnsi="Times New Roman"/>
        </w:rPr>
        <w:t>предприятий-изготовителей и разработчиков на технические и программные средства, Правилами устройства электроустановок, Правилами по охране труда при эксплуатации электроустановок, Правилами технической эксплуатации электроустановок потребителей, производственно-отраслевыми нормативными документами по монтажно-наладочным работам систем автоматизации, а также с соблюдением норм безопасности труда в строительстве.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Мероприятия по пуско-наладке осуществляются в три этапа: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подготовительные мероприятия;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автономная наладка;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комплексная наладка.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  <w:strike/>
        </w:rPr>
      </w:pPr>
      <w:r>
        <w:rPr>
          <w:rFonts w:ascii="Times New Roman" w:hAnsi="Times New Roman"/>
        </w:rPr>
        <w:t>3.2.1. Подготовительные мероприятия включают в себя: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изучение технической документации, паспортов оборудования, монтажных схем, спецификаций, чертежей;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</w:rPr>
        <w:t>- определение последовательности операций по монтажу;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ознакомление персонала с правилами безопасности и инструктаж по охране труда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3.2.2. Мероприятия по автономной наладке включают в себя: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проверку технических средств на соответствие требованиям инструкций предприятий - изготовителей оборудования;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проверку правильности маркировки, подключения и фазировки электрических проводок;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настройку логических и временных взаимосвязей систем сигнализации, защиты, мониторинга и управления;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проверку правильности прохождения сигналов;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подготовку к включению и включение в работу системы для обеспечения индивидуального испытания объекта автоматизации и корректировку параметров настройки оборудования систем в процессе работы.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оформление производственной и технической документации.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3.2.3. Мероприятия по комплексной наладке включают в себя: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определение соответствия порядка отработки устройств и элементов технических средств и программного обеспечения технической документации с выявлением причин отказа или «ложного» срабатывания; 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подготовка к включению и включение в работу технических средств для обеспечения комплексного опробования технологического оборудования;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уточнение статических и динамических характеристик объекта, корректировка значений параметров настройки систем с учетом их взаимного влияния в процессе работы;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испытание и определение пригодности технических средств для обеспечения эксплуатации оборудования с производительностью, соответствующей нормам освоения проектных мощностей в начальный период.</w:t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ТРЕБОВАНИЯ К ГАРАНТИИ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</w:t>
        <w:tab/>
        <w:t xml:space="preserve"> Срок гарантии Поставщика на поставленные технические средства оповещения населения составляет не менее 12 месяцев, но не менее срока гарантии завода изготовителя.</w:t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Гарантийные обязательства вступают в силу с даты подписания документа о приемке Заказчиком.</w:t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</w:t>
        <w:tab/>
        <w:t>Гарантийный срок на монтажные мероприятия составляет не менее 12 месяцев с даты заказчиком документа о приемке.</w:t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  <w:tab/>
        <w:t xml:space="preserve">Гарантийные обязательства Поставщика включают в себя: </w:t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бесплатные технические консультации Заказчика по вопросам эксплуатации и настройке оборудования пункта оповещения и программного обеспечения; </w:t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</w:rPr>
        <w:t xml:space="preserve">- устранение неисправностей, некорректной работы, поломок оборудования входящего в состав </w:t>
      </w:r>
      <w:r>
        <w:rPr>
          <w:rFonts w:ascii="Times New Roman" w:hAnsi="Times New Roman"/>
          <w:color w:themeColor="text1" w:val="000000"/>
        </w:rPr>
        <w:t xml:space="preserve">технических средств оповещения. </w:t>
      </w:r>
    </w:p>
    <w:p>
      <w:pPr>
        <w:pStyle w:val="Normal"/>
        <w:widowControl w:val="false"/>
        <w:spacing w:lineRule="auto" w:line="240" w:before="0" w:after="0"/>
        <w:ind w:firstLine="709" w:start="0" w:end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p>
      <w:pPr>
        <w:pStyle w:val="Normal"/>
        <w:widowControl w:val="false"/>
        <w:spacing w:lineRule="auto" w:line="240" w:before="0" w:after="0"/>
        <w:ind w:firstLine="705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5. ТРЕБОВАНИЯ К ПРЕДОСТАВЛЯЕМОЙ ДОКУМЕНТАЦИИ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Поставщиком должна быть разработана исполнительная документация на каждый пункт оповещения, в комплект которой должны входить следующие документы: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плана IP-адресации, VLAN и IP-подсетей с учетом выделенных Заказчиком сетей;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схемы монтажа и размещения оборудования и кабельных линий связи в плане с учетом полученной модели зоны оповещения;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монтажные схемы размещения оборудования с учетом полученной зоны оповещения;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ведомость смонтированного и передаваемого оборудования и материалов, c указанием: </w:t>
      </w:r>
    </w:p>
    <w:p>
      <w:pPr>
        <w:pStyle w:val="Normal"/>
        <w:widowControl/>
        <w:numPr>
          <w:ilvl w:val="0"/>
          <w:numId w:val="2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наименования оборудования, изделия и материала; </w:t>
      </w:r>
    </w:p>
    <w:p>
      <w:pPr>
        <w:pStyle w:val="Normal"/>
        <w:widowControl/>
        <w:numPr>
          <w:ilvl w:val="0"/>
          <w:numId w:val="2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проектного обозначения оборудования, изделия и материала; </w:t>
      </w:r>
    </w:p>
    <w:p>
      <w:pPr>
        <w:pStyle w:val="Normal"/>
        <w:widowControl/>
        <w:numPr>
          <w:ilvl w:val="0"/>
          <w:numId w:val="2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марки оборудования, изделия и материала; </w:t>
      </w:r>
    </w:p>
    <w:p>
      <w:pPr>
        <w:pStyle w:val="Normal"/>
        <w:widowControl/>
        <w:numPr>
          <w:ilvl w:val="0"/>
          <w:numId w:val="2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серийного и/или заводского номера оборудования, изделия и материала, в случае его наличия; </w:t>
      </w:r>
    </w:p>
    <w:p>
      <w:pPr>
        <w:pStyle w:val="Normal"/>
        <w:widowControl/>
        <w:numPr>
          <w:ilvl w:val="0"/>
          <w:numId w:val="2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места размещения оборудования, изделия и материала с привязкой к исполнительной схеме;</w:t>
      </w:r>
    </w:p>
    <w:p>
      <w:pPr>
        <w:pStyle w:val="Normal"/>
        <w:widowControl/>
        <w:numPr>
          <w:ilvl w:val="0"/>
          <w:numId w:val="3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сертификат соответствия;</w:t>
      </w:r>
    </w:p>
    <w:p>
      <w:pPr>
        <w:pStyle w:val="Normal"/>
        <w:widowControl/>
        <w:numPr>
          <w:ilvl w:val="0"/>
          <w:numId w:val="3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паспорт на оборудование;</w:t>
      </w:r>
    </w:p>
    <w:p>
      <w:pPr>
        <w:pStyle w:val="Normal"/>
        <w:widowControl/>
        <w:numPr>
          <w:ilvl w:val="0"/>
          <w:numId w:val="3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эксплуатационные документы на применяемое оборудование, изделия и материалы, с описью данных документов;</w:t>
      </w:r>
    </w:p>
    <w:p>
      <w:pPr>
        <w:pStyle w:val="Normal"/>
        <w:widowControl/>
        <w:numPr>
          <w:ilvl w:val="0"/>
          <w:numId w:val="3"/>
        </w:numPr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документы, предусмотренные законодательством Российской Федерации.</w:t>
      </w:r>
    </w:p>
    <w:p>
      <w:pPr>
        <w:pStyle w:val="Normal"/>
        <w:widowControl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Исполнительная документация предоставляется в редактируемом исходном цифровом формате совместимом с MS Office и в формате PDF в одном экземпляре.</w:t>
      </w:r>
    </w:p>
    <w:p>
      <w:pPr>
        <w:pStyle w:val="Normal"/>
        <w:widowControl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br w:type="page"/>
      </w:r>
    </w:p>
    <w:p>
      <w:pPr>
        <w:pStyle w:val="Normal"/>
        <w:widowControl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>
      <w:pPr>
        <w:pStyle w:val="Normal"/>
        <w:widowControl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>к Техническому заданию</w:t>
      </w:r>
    </w:p>
    <w:p>
      <w:pPr>
        <w:pStyle w:val="Normal"/>
        <w:widowControl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40" w:before="0" w:after="0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МЕСТА ПОСТАВКИ ТОВАРА, </w:t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ПРОВЕДЕНИЯ МОНТАЖНЫХ И ПУСКО-НАЛАДОЧНЫХ РАБОТ</w:t>
      </w:r>
    </w:p>
    <w:p>
      <w:pPr>
        <w:pStyle w:val="Normal"/>
        <w:widowControl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tbl>
      <w:tblPr>
        <w:tblStyle w:val="Style_2"/>
        <w:tblW w:w="1019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30"/>
        <w:gridCol w:w="7690"/>
        <w:gridCol w:w="899"/>
        <w:gridCol w:w="974"/>
      </w:tblGrid>
      <w:tr>
        <w:trPr>
          <w:trHeight w:val="276" w:hRule="atLeast"/>
        </w:trPr>
        <w:tc>
          <w:tcPr>
            <w:tcW w:w="63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п/п</w:t>
            </w:r>
          </w:p>
        </w:tc>
        <w:tc>
          <w:tcPr>
            <w:tcW w:w="769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Пункт оповещения</w:t>
            </w:r>
          </w:p>
        </w:tc>
        <w:tc>
          <w:tcPr>
            <w:tcW w:w="8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Ед. изм.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0"/>
              </w:rPr>
              <w:t>Кол-во</w:t>
            </w:r>
          </w:p>
        </w:tc>
      </w:tr>
      <w:tr>
        <w:trPr>
          <w:trHeight w:val="276" w:hRule="atLeast"/>
        </w:trPr>
        <w:tc>
          <w:tcPr>
            <w:tcW w:w="63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769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8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  <w:tc>
          <w:tcPr>
            <w:tcW w:w="97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ind w:hanging="0" w:start="0" w:end="0"/>
              <w:jc w:val="start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-75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-159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Брасовский район, н.п Коммуна,</w:t>
            </w:r>
            <w:r>
              <w:rPr>
                <w:color w:val="000000"/>
                <w:spacing w:val="0"/>
                <w:kern w:val="0"/>
                <w:sz w:val="22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ул. Молодежная, д.18 ФАП)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Жуковский МО, п. Красный Бор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Клинцовский район, дер. Рудня-Голубовка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Комаричский район, с. Избичня, ул. Огородная д.7 (ФАП)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Навлинский район, дер. Приволье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Навлинский район, дер. Алексеевка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Новозыбковский ГО, с. Деменка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Новозыбковский ГО, с. Новое Место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Севский район, с. Юрасов Хутор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1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0" w:start="0" w:end="0"/>
              <w:contextualSpacing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4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Брянская область, Севский район, с. Новоямское</w:t>
            </w:r>
          </w:p>
        </w:tc>
        <w:tc>
          <w:tcPr>
            <w:tcW w:w="8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шт.</w:t>
            </w:r>
          </w:p>
        </w:tc>
        <w:tc>
          <w:tcPr>
            <w:tcW w:w="9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09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widowControl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993" w:right="720" w:gutter="0" w:header="567" w:top="720" w:footer="0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4</w:t>
    </w:r>
    <w:r>
      <w:rPr>
        <w:rFonts w:ascii="Times New Roman" w:hAnsi="Times New Roman"/>
        <w:sz w:val="24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3903" w:hanging="36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146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146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506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1506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1866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1866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2226" w:hanging="1800"/>
      </w:pPr>
      <w:rPr/>
    </w:lvl>
  </w:abstractNum>
  <w:abstractNum w:abstractNumId="2">
    <w:lvl w:ilvl="0">
      <w:start w:val="1"/>
      <w:numFmt w:val="bullet"/>
      <w:suff w:val="space"/>
      <w:lvlText w:val=""/>
      <w:lvlJc w:val="start"/>
      <w:pPr>
        <w:tabs>
          <w:tab w:val="num" w:pos="0"/>
        </w:tabs>
        <w:ind w:start="39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9665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suff w:val="space"/>
      <w:lvlText w:val=""/>
      <w:lvlJc w:val="start"/>
      <w:pPr>
        <w:tabs>
          <w:tab w:val="num" w:pos="0"/>
        </w:tabs>
        <w:ind w:star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lineRule="auto" w:line="240" w:before="240" w:after="60"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uiPriority w:val="9"/>
    <w:qFormat/>
    <w:pPr>
      <w:widowControl/>
      <w:spacing w:lineRule="auto" w:line="240"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Heading3">
    <w:name w:val="heading 3"/>
    <w:basedOn w:val="Normal"/>
    <w:next w:val="Normal"/>
    <w:uiPriority w:val="9"/>
    <w:qFormat/>
    <w:pPr>
      <w:keepNext w:val="true"/>
      <w:keepLines/>
      <w:widowControl/>
      <w:spacing w:before="40" w:after="0"/>
      <w:outlineLvl w:val="2"/>
    </w:pPr>
    <w:rPr>
      <w:rFonts w:ascii="Cambria" w:hAnsi="Cambria" w:asciiTheme="majorAscii" w:hAnsiTheme="majorHAnsi"/>
      <w:color w:themeColor="accent1" w:themeShade="7f" w:val="244061"/>
      <w:sz w:val="24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6">
    <w:name w:val="heading 6"/>
    <w:basedOn w:val="Normal"/>
    <w:next w:val="Normal"/>
    <w:uiPriority w:val="9"/>
    <w:qFormat/>
    <w:pPr>
      <w:keepNext w:val="true"/>
      <w:keepLines/>
      <w:widowControl/>
      <w:spacing w:before="40" w:after="0"/>
      <w:outlineLvl w:val="5"/>
    </w:pPr>
    <w:rPr>
      <w:rFonts w:ascii="Cambria" w:hAnsi="Cambria" w:asciiTheme="majorAscii" w:hAnsiTheme="majorHAnsi"/>
      <w:color w:themeColor="accent1" w:themeShade="7f" w:val="244061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msonormal">
    <w:name w:val="msonormal"/>
    <w:link w:val="msonormal1"/>
    <w:qFormat/>
    <w:rPr>
      <w:rFonts w:ascii="Times New Roman" w:hAnsi="Times New Roman"/>
      <w:sz w:val="24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rmattexttopleveltexthighlight">
    <w:name w:val="formattext topleveltext highlight"/>
    <w:link w:val="formattexttopleveltexthighlight1"/>
    <w:qFormat/>
    <w:rPr>
      <w:rFonts w:ascii="Times New Roman" w:hAnsi="Times New Roman"/>
      <w:sz w:val="24"/>
    </w:rPr>
  </w:style>
  <w:style w:type="character" w:styleId="msobodytextcxspmiddle">
    <w:name w:val="msobodytextcxspmiddle"/>
    <w:link w:val="msobodytextcxspmiddle1"/>
    <w:qFormat/>
    <w:rPr>
      <w:rFonts w:ascii="Times New Roman" w:hAnsi="Times New Roman"/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mbria" w:hAnsi="Cambria" w:asciiTheme="majorAscii" w:hAnsiTheme="majorHAnsi"/>
      <w:color w:themeColor="accent1" w:themeShade="7f" w:val="244061"/>
      <w:sz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2">
    <w:name w:val="Основной текст (2)"/>
    <w:link w:val="211"/>
    <w:qFormat/>
    <w:rPr>
      <w:rFonts w:ascii="Times New Roman" w:hAnsi="Times New Roman"/>
    </w:rPr>
  </w:style>
  <w:style w:type="character" w:styleId="Style8">
    <w:name w:val="Содержимое таблицы"/>
    <w:link w:val="112"/>
    <w:qFormat/>
    <w:rPr>
      <w:rFonts w:ascii="Liberation Serif" w:hAnsi="Liberation Serif"/>
      <w:sz w:val="24"/>
    </w:rPr>
  </w:style>
  <w:style w:type="character" w:styleId="Textbodyindent">
    <w:name w:val="Text body indent"/>
    <w:qFormat/>
    <w:rPr>
      <w:rFonts w:ascii="Times New Roman" w:hAnsi="Times New Roman"/>
      <w:sz w:val="28"/>
    </w:rPr>
  </w:style>
  <w:style w:type="character" w:styleId="NoSpacing">
    <w:name w:val="No Spacing"/>
    <w:link w:val="NoSpacing1"/>
    <w:qFormat/>
    <w:rPr/>
  </w:style>
  <w:style w:type="character" w:styleId="Strong">
    <w:name w:val="Strong"/>
    <w:basedOn w:val="DefaultParagraphFont"/>
    <w:qFormat/>
    <w:rPr>
      <w:b/>
    </w:rPr>
  </w:style>
  <w:style w:type="character" w:styleId="Footer1">
    <w:name w:val="Footer1"/>
    <w:qFormat/>
    <w:rPr/>
  </w:style>
  <w:style w:type="character" w:styleId="BodyText21">
    <w:name w:val="Body Text 21"/>
    <w:link w:val="BodyText211"/>
    <w:qFormat/>
    <w:rPr>
      <w:rFonts w:ascii="Times New Roman" w:hAnsi="Times New Roman"/>
      <w:sz w:val="2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rmattexttopleveltext">
    <w:name w:val="formattext topleveltext"/>
    <w:link w:val="formattexttopleveltext1"/>
    <w:qFormat/>
    <w:rPr>
      <w:rFonts w:ascii="Times New Roman" w:hAnsi="Times New Roman"/>
      <w:sz w:val="24"/>
    </w:rPr>
  </w:style>
  <w:style w:type="character" w:styleId="user">
    <w:name w:val="Символ сноски (user)"/>
    <w:qFormat/>
    <w:rPr>
      <w:vertAlign w:val="superscript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Arial" w:hAnsi="Arial"/>
      <w:b/>
      <w:sz w:val="32"/>
    </w:rPr>
  </w:style>
  <w:style w:type="character" w:styleId="ListParagraph">
    <w:name w:val="List Paragraph"/>
    <w:link w:val="ListParagraph1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otnote">
    <w:name w:val="Footnote"/>
    <w:link w:val="Footnote1"/>
    <w:qFormat/>
    <w:rPr>
      <w:sz w:val="20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Style10">
    <w:name w:val="Таблицы (моноширинный)"/>
    <w:link w:val="12"/>
    <w:qFormat/>
    <w:rPr>
      <w:rFonts w:ascii="Courier New" w:hAnsi="Courier New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Marginalia">
    <w:name w:val="Marginalia"/>
    <w:qFormat/>
    <w:rPr>
      <w:sz w:val="20"/>
    </w:rPr>
  </w:style>
  <w:style w:type="character" w:styleId="1">
    <w:name w:val="Обычный1"/>
    <w:link w:val="111"/>
    <w:qFormat/>
    <w:rPr>
      <w:rFonts w:ascii="Times New Roman" w:hAnsi="Times New Roman"/>
      <w:sz w:val="20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HTMLPreformatted">
    <w:name w:val="HTML Preformatted"/>
    <w:link w:val="HTMLPreformatted1"/>
    <w:qFormat/>
    <w:rPr>
      <w:rFonts w:ascii="Courier New" w:hAnsi="Courier New"/>
      <w:sz w:val="2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msonormalcxspmiddle">
    <w:name w:val="msonormalcxspmiddle"/>
    <w:link w:val="msonormalcxspmiddle1"/>
    <w:qFormat/>
    <w:rPr>
      <w:rFonts w:ascii="Times New Roman" w:hAnsi="Times New Roman"/>
      <w:sz w:val="24"/>
    </w:rPr>
  </w:style>
  <w:style w:type="character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styleId="21">
    <w:name w:val="Продолжение списка 21"/>
    <w:link w:val="2111"/>
    <w:qFormat/>
    <w:rPr>
      <w:rFonts w:ascii="Times New Roman" w:hAnsi="Times New Roman"/>
      <w:sz w:val="24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Header1">
    <w:name w:val="Header1"/>
    <w:qFormat/>
    <w:rPr/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Times New Roman" w:hAnsi="Times New Roman"/>
      <w:b/>
      <w:sz w:val="36"/>
    </w:rPr>
  </w:style>
  <w:style w:type="character" w:styleId="Heading61">
    <w:name w:val="Heading 61"/>
    <w:qFormat/>
    <w:rPr>
      <w:rFonts w:ascii="Cambria" w:hAnsi="Cambria" w:asciiTheme="majorAscii" w:hAnsiTheme="majorHAnsi"/>
      <w:color w:themeColor="accent1" w:themeShade="7f" w:val="244061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Noto 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"/>
    </w:rPr>
  </w:style>
  <w:style w:type="paragraph" w:styleId="BalloonText1">
    <w:name w:val="Balloon Text1"/>
    <w:basedOn w:val="Normal"/>
    <w:link w:val="BalloonText"/>
    <w:qFormat/>
    <w:pPr>
      <w:widowControl/>
      <w:spacing w:lineRule="auto" w:line="240" w:before="0" w:after="0"/>
    </w:pPr>
    <w:rPr>
      <w:rFonts w:ascii="Segoe UI" w:hAnsi="Segoe UI"/>
      <w:sz w:val="18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msonormal1">
    <w:name w:val="msonormal1"/>
    <w:basedOn w:val="Normal"/>
    <w:link w:val="msonormal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rmattexttopleveltexthighlight1">
    <w:name w:val="formattext topleveltext highlight1"/>
    <w:basedOn w:val="Normal"/>
    <w:link w:val="formattexttopleveltexthighlight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msobodytextcxspmiddle1">
    <w:name w:val="msobodytextcxspmiddle1"/>
    <w:basedOn w:val="Normal"/>
    <w:link w:val="msobodytextcxspmiddle"/>
    <w:qFormat/>
    <w:pPr>
      <w:widowControl/>
      <w:spacing w:lineRule="auto" w:line="240" w:before="0" w:after="280"/>
    </w:pPr>
    <w:rPr>
      <w:rFonts w:ascii="Times New Roman" w:hAnsi="Times New Roman"/>
      <w:sz w:val="24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0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VisitedInternetLink">
    <w:name w:val="Visited Internet Link"/>
    <w:basedOn w:val="DefaultParagraphFont1"/>
    <w:qFormat/>
    <w:pPr/>
    <w:rPr>
      <w:color w:val="800080"/>
      <w:u w:val="single"/>
    </w:rPr>
  </w:style>
  <w:style w:type="paragraph" w:styleId="apple-converted-space1">
    <w:name w:val="apple-converted-space1"/>
    <w:basedOn w:val="DefaultParagraphFont1"/>
    <w:link w:val="apple-converted-space"/>
    <w:qFormat/>
    <w:pPr/>
    <w:rPr/>
  </w:style>
  <w:style w:type="paragraph" w:styleId="211">
    <w:name w:val="Основной текст (2)1"/>
    <w:basedOn w:val="Normal"/>
    <w:link w:val="2"/>
    <w:qFormat/>
    <w:pPr>
      <w:widowControl w:val="false"/>
      <w:spacing w:lineRule="exact" w:line="288" w:before="0" w:after="0"/>
      <w:jc w:val="both"/>
    </w:pPr>
    <w:rPr>
      <w:rFonts w:ascii="Times New Roman" w:hAnsi="Times New Roman"/>
    </w:rPr>
  </w:style>
  <w:style w:type="paragraph" w:styleId="11">
    <w:name w:val="Содержимое таблицы1"/>
    <w:basedOn w:val="Normal"/>
    <w:qFormat/>
    <w:pPr>
      <w:widowControl/>
      <w:spacing w:lineRule="auto" w:line="240" w:before="0" w:after="0"/>
    </w:pPr>
    <w:rPr>
      <w:rFonts w:ascii="Liberation Serif" w:hAnsi="Liberation Serif"/>
      <w:sz w:val="24"/>
    </w:rPr>
  </w:style>
  <w:style w:type="paragraph" w:styleId="BodyTextIndent">
    <w:name w:val="Body Text Indent"/>
    <w:basedOn w:val="Normal"/>
    <w:pPr>
      <w:widowControl/>
      <w:spacing w:lineRule="auto" w:line="240" w:before="0" w:after="120"/>
      <w:ind w:start="283"/>
    </w:pPr>
    <w:rPr>
      <w:rFonts w:ascii="Times New Roman" w:hAnsi="Times New Roman"/>
      <w:sz w:val="28"/>
    </w:rPr>
  </w:style>
  <w:style w:type="paragraph" w:styleId="NoSpacing1">
    <w:name w:val="No Spacing1"/>
    <w:link w:val="NoSpacing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StrongEmphasis">
    <w:name w:val="Strong Emphasis"/>
    <w:basedOn w:val="DefaultParagraphFont1"/>
    <w:qFormat/>
    <w:pPr/>
    <w:rPr>
      <w:b/>
    </w:rPr>
  </w:style>
  <w:style w:type="paragraph" w:styleId="user3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3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odyText211">
    <w:name w:val="Body Text 211"/>
    <w:basedOn w:val="Normal"/>
    <w:link w:val="BodyText21"/>
    <w:qFormat/>
    <w:pPr>
      <w:widowControl w:val="false"/>
      <w:spacing w:lineRule="auto" w:line="240" w:before="0" w:after="0"/>
      <w:jc w:val="both"/>
    </w:pPr>
    <w:rPr>
      <w:rFonts w:ascii="Times New Roman" w:hAnsi="Times New Roman"/>
      <w:sz w:val="28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rmattexttopleveltext1">
    <w:name w:val="formattext topleveltext1"/>
    <w:basedOn w:val="Normal"/>
    <w:link w:val="formattexttopleveltext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FootnoteSymbol">
    <w:name w:val="Footnote Symbol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widowControl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200"/>
      <w:ind w:start="720"/>
      <w:contextualSpacing/>
    </w:pPr>
    <w:rPr/>
  </w:style>
  <w:style w:type="paragraph" w:styleId="Internetlink">
    <w:name w:val="Internet link"/>
    <w:basedOn w:val="DefaultParagraphFont1"/>
    <w:qFormat/>
    <w:pPr/>
    <w:rPr>
      <w:color w:val="0000FF"/>
      <w:u w:val="single"/>
    </w:rPr>
  </w:style>
  <w:style w:type="paragraph" w:styleId="Footnote1">
    <w:name w:val="Footnote1"/>
    <w:basedOn w:val="Normal"/>
    <w:link w:val="Footnote"/>
    <w:qFormat/>
    <w:pPr/>
    <w:rPr>
      <w:sz w:val="20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start="0" w:end="0"/>
      <w:jc w:val="start"/>
    </w:pPr>
    <w:rPr>
      <w:rFonts w:ascii="Arial" w:hAnsi="Arial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2">
    <w:name w:val="Таблицы (моноширинный)1"/>
    <w:basedOn w:val="Normal"/>
    <w:next w:val="Normal"/>
    <w:link w:val="Style10"/>
    <w:qFormat/>
    <w:pPr>
      <w:widowControl w:val="false"/>
      <w:spacing w:lineRule="auto" w:line="240" w:before="0" w:after="0"/>
      <w:jc w:val="both"/>
    </w:pPr>
    <w:rPr>
      <w:rFonts w:ascii="Courier New" w:hAnsi="Courier New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mmentText">
    <w:name w:val="annotation text"/>
    <w:basedOn w:val="Normal"/>
    <w:pPr>
      <w:widowControl/>
      <w:spacing w:lineRule="auto" w:line="240"/>
    </w:pPr>
    <w:rPr>
      <w:sz w:val="20"/>
    </w:rPr>
  </w:style>
  <w:style w:type="paragraph" w:styleId="111">
    <w:name w:val="Обычный11"/>
    <w:link w:val="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HTMLPreformatted1">
    <w:name w:val="HTML Preformatted1"/>
    <w:basedOn w:val="Normal"/>
    <w:link w:val="HTMLPreformatted"/>
    <w:qFormat/>
    <w:pPr>
      <w:widowControl/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60"/>
      <w:jc w:val="both"/>
    </w:pPr>
    <w:rPr>
      <w:rFonts w:ascii="Courier New" w:hAnsi="Courier New"/>
      <w:sz w:val="20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8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msonormalcxspmiddle1">
    <w:name w:val="msonormalcxspmiddle1"/>
    <w:basedOn w:val="Normal"/>
    <w:link w:val="msonormalcxspmiddle"/>
    <w:qFormat/>
    <w:pPr>
      <w:widowControl/>
      <w:spacing w:lineRule="auto" w:line="240" w:before="0" w:after="280"/>
    </w:pPr>
    <w:rPr>
      <w:rFonts w:ascii="Times New Roman" w:hAnsi="Times New Roman"/>
      <w:sz w:val="24"/>
    </w:rPr>
  </w:style>
  <w:style w:type="paragraph" w:styleId="ConsPlusNonformat1">
    <w:name w:val="ConsPlusNonformat1"/>
    <w:link w:val="ConsPlusNonforma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">
    <w:name w:val="Продолжение списка 211"/>
    <w:basedOn w:val="Normal"/>
    <w:link w:val="21"/>
    <w:qFormat/>
    <w:pPr>
      <w:widowControl/>
      <w:spacing w:lineRule="auto" w:line="240" w:before="0" w:after="120"/>
      <w:ind w:start="566"/>
    </w:pPr>
    <w:rPr>
      <w:rFonts w:ascii="Times New Roman" w:hAnsi="Times New Roman"/>
      <w:sz w:val="24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2">
    <w:name w:val="Содержимое таблицы11"/>
    <w:basedOn w:val="Normal"/>
    <w:qFormat/>
    <w:pPr/>
    <w:rPr/>
  </w:style>
  <w:style w:type="paragraph" w:styleId="user4">
    <w:name w:val="Содержимое врезки (user)"/>
    <w:basedOn w:val="Normal"/>
    <w:qFormat/>
    <w:pPr/>
    <w:rPr/>
  </w:style>
  <w:style w:type="paragraph" w:styleId="Style14">
    <w:name w:val="Содержимое врезки"/>
    <w:basedOn w:val="Normal"/>
    <w:qFormat/>
    <w:pPr/>
    <w:rPr/>
  </w:style>
  <w:style w:type="table" w:styleId="Style_53">
    <w:name w:val="Сетка таблицы11"/>
    <w:basedOn w:val="Style_2"/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54">
    <w:name w:val="Сетка таблицы1"/>
    <w:basedOn w:val="Style_2"/>
    <w:rPr>
      <w:rFonts w:asciiTheme="minorAscii" w:hAnsiTheme="minorHAnsi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55">
    <w:name w:val="Сетка таблицы2"/>
    <w:basedOn w:val="Style_2"/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56">
    <w:name w:val="TableGrid"/>
    <w:rPr>
      <w:rFonts w:asciiTheme="minorAscii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tyle_57">
    <w:name w:val="Сетка таблицы GR1"/>
    <w:basedOn w:val="Style_2"/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58">
    <w:name w:val="Table Grid"/>
    <w:basedOn w:val="Style_2"/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LibreOffice/25.8.7.3$Linux_X86_64 LibreOffice_project/30742500f2d3eb4366ac312fa33d3dcabdb3eba5</Application>
  <AppVersion>15.0000</AppVersion>
  <Pages>4</Pages>
  <Words>1068</Words>
  <Characters>7593</Characters>
  <CharactersWithSpaces>8526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2026-07-20T09:22:00Z</dcterms:created>
  <dc:creator/>
  <dc:description/>
  <dc:language>ru-RU</dc:language>
  <cp:lastModifiedBy/>
  <dcterms:modified xsi:type="dcterms:W3CDTF">2026-09-16T14:58:25Z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