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header5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Times New Roman" w:hAnsi="Times New Roman"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</w:p>
    <w:p>
      <w:pPr>
        <w:pStyle w:val="Normal"/>
        <w:keepNext w:val="true"/>
        <w:keepLines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 w:val="false"/>
        <w:spacing w:lineRule="auto" w:line="264"/>
        <w:jc w:val="center"/>
        <w:rPr>
          <w:sz w:val="28"/>
          <w:szCs w:val="28"/>
        </w:rPr>
      </w:pPr>
      <w:r>
        <w:rPr>
          <w:rFonts w:eastAsia="Calibri" w:cs="Times New Roman"/>
          <w:b/>
          <w:sz w:val="28"/>
          <w:szCs w:val="28"/>
          <w:lang w:eastAsia="ru-RU"/>
        </w:rPr>
        <w:t>Технические требования на поставку МТР</w:t>
      </w:r>
    </w:p>
    <w:p>
      <w:pPr>
        <w:pStyle w:val="Heading1"/>
        <w:widowControl w:val="false"/>
        <w:numPr>
          <w:ilvl w:val="0"/>
          <w:numId w:val="0"/>
        </w:numPr>
        <w:spacing w:lineRule="auto" w:line="264"/>
        <w:ind w:hanging="0" w:left="0"/>
        <w:jc w:val="center"/>
        <w:rPr>
          <w:sz w:val="28"/>
          <w:szCs w:val="28"/>
        </w:rPr>
      </w:pPr>
      <w:r>
        <w:rPr>
          <w:rFonts w:eastAsia="Calibri"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eastAsia="ru-RU"/>
        </w:rPr>
        <w:t>ОКПД 2: 26.20.40.111</w:t>
      </w:r>
      <w:r>
        <w:rPr>
          <w:rFonts w:eastAsia="Calibri" w:cs="Times New Roman"/>
          <w:b w:val="false"/>
          <w:bCs w:val="false"/>
          <w:sz w:val="28"/>
          <w:szCs w:val="28"/>
          <w:shd w:fill="auto" w:val="clear"/>
          <w:lang w:eastAsia="ru-RU"/>
        </w:rPr>
        <w:t xml:space="preserve"> Поставка источника бесперебойного питания</w:t>
      </w:r>
      <w:r>
        <w:rPr>
          <w:rFonts w:eastAsia="Calibri" w:cs="Times New Roman"/>
          <w:b w:val="false"/>
          <w:bCs w:val="false"/>
          <w:color w:val="000000"/>
          <w:sz w:val="28"/>
          <w:szCs w:val="28"/>
          <w:shd w:fill="auto" w:val="clear"/>
          <w:lang w:eastAsia="ru-RU"/>
        </w:rPr>
        <w:t xml:space="preserve"> </w:t>
      </w:r>
      <w:r>
        <w:rPr>
          <w:rFonts w:eastAsia="Calibri" w:cs="Times New Roman"/>
          <w:b w:val="false"/>
          <w:bCs w:val="false"/>
          <w:color w:val="000000"/>
          <w:sz w:val="28"/>
          <w:szCs w:val="28"/>
          <w:u w:val="none"/>
          <w:shd w:fill="auto" w:val="clear"/>
          <w:lang w:eastAsia="ru-RU"/>
        </w:rPr>
        <w:t>для нужд Кубанского филиала.</w:t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jc w:val="center"/>
        <w:outlineLvl w:val="1"/>
        <w:rPr>
          <w:sz w:val="28"/>
          <w:szCs w:val="28"/>
        </w:rPr>
      </w:pPr>
      <w:r>
        <w:rPr/>
      </w:r>
      <w:r>
        <w:br w:type="page"/>
      </w:r>
    </w:p>
    <w:p>
      <w:pPr>
        <w:pStyle w:val="Normal"/>
        <w:jc w:val="center"/>
        <w:rPr>
          <w:sz w:val="24"/>
          <w:szCs w:val="24"/>
        </w:rPr>
      </w:pPr>
      <w:r>
        <w:rPr>
          <w:b/>
          <w:sz w:val="24"/>
          <w:szCs w:val="24"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/>
          </w:pPr>
          <w:r>
            <w:fldChar w:fldCharType="begin"/>
          </w:r>
          <w:r>
            <w:rPr>
              <w:webHidden/>
              <w:rStyle w:val="Style14"/>
              <w:sz w:val="24"/>
              <w:szCs w:val="2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sz w:val="24"/>
              <w:szCs w:val="24"/>
              <w:vanish w:val="false"/>
            </w:rPr>
            <w:fldChar w:fldCharType="separate"/>
          </w:r>
          <w:hyperlink w:anchor="_Toc54970174">
            <w:r>
              <w:rPr>
                <w:webHidden/>
                <w:rStyle w:val="Style14"/>
                <w:vanish w:val="false"/>
                <w:sz w:val="24"/>
                <w:szCs w:val="24"/>
              </w:rPr>
              <w:t>1.</w:t>
            </w:r>
            <w:r>
              <w:rPr>
                <w:rStyle w:val="Style14"/>
                <w:rFonts w:eastAsia="" w:cs="" w:cstheme="minorBidi" w:eastAsiaTheme="minorEastAsia"/>
                <w:b w:val="false"/>
                <w:bCs w:val="false"/>
                <w:sz w:val="24"/>
                <w:szCs w:val="24"/>
              </w:rPr>
              <w:tab/>
            </w:r>
            <w:r>
              <w:rPr>
                <w:rStyle w:val="Style14"/>
                <w:sz w:val="24"/>
                <w:szCs w:val="24"/>
              </w:rPr>
              <w:t>Общие сведения</w:t>
            </w:r>
            <w:r>
              <w:rPr>
                <w:rStyle w:val="Style14"/>
                <w:vanish w:val="false"/>
                <w:sz w:val="24"/>
                <w:szCs w:val="24"/>
              </w:rPr>
              <w:tab/>
            </w:r>
          </w:hyperlink>
          <w:r>
            <w:rPr>
              <w:vanish w:val="false"/>
              <w:sz w:val="24"/>
              <w:szCs w:val="24"/>
            </w:rPr>
            <w:t>3</w:t>
          </w:r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Toc54970175">
            <w:r>
              <w:rPr>
                <w:webHidden/>
                <w:rStyle w:val="Style14"/>
                <w:iCs/>
                <w:vanish w:val="false"/>
                <w:sz w:val="24"/>
                <w:szCs w:val="24"/>
              </w:rPr>
              <w:t>1.1.</w:t>
            </w:r>
            <w:r>
              <w:rPr>
                <w:rStyle w:val="Style14"/>
                <w:rFonts w:eastAsia="" w:cs="" w:cstheme="minorBidi" w:eastAsiaTheme="minorEastAsia"/>
                <w:sz w:val="24"/>
                <w:szCs w:val="24"/>
              </w:rPr>
              <w:tab/>
            </w:r>
          </w:hyperlink>
          <w:hyperlink w:anchor="_Toc54970176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_Toc54970176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rFonts w:cs="Calibri" w:cstheme="minorHAnsi"/>
                <w:vanish w:val="false"/>
                <w:sz w:val="24"/>
                <w:szCs w:val="24"/>
              </w:rPr>
              <w:t>Наименование закупаемой продукции</w:t>
            </w:r>
            <w:r>
              <w:rPr>
                <w:webHidden/>
              </w:rPr>
              <w:fldChar w:fldCharType="end"/>
            </w:r>
          </w:hyperlink>
          <w:hyperlink w:anchor="_Toc54970175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_Toc54970175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  <w:sz w:val="24"/>
                <w:szCs w:val="24"/>
              </w:rPr>
              <w:tab/>
            </w:r>
            <w:r>
              <w:rPr>
                <w:webHidden/>
              </w:rPr>
              <w:fldChar w:fldCharType="end"/>
            </w:r>
          </w:hyperlink>
          <w:r>
            <w:rPr>
              <w:vanish w:val="false"/>
              <w:sz w:val="24"/>
              <w:szCs w:val="24"/>
            </w:rPr>
            <w:t>3</w:t>
          </w:r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Toc54970176">
            <w:r>
              <w:rPr>
                <w:webHidden/>
                <w:rStyle w:val="Style14"/>
                <w:iCs/>
                <w:vanish w:val="false"/>
                <w:sz w:val="24"/>
                <w:szCs w:val="24"/>
              </w:rPr>
              <w:t>1.2.</w:t>
            </w:r>
            <w:r>
              <w:rPr>
                <w:rStyle w:val="Style14"/>
                <w:rFonts w:eastAsia="" w:cs="" w:cstheme="minorBidi" w:eastAsiaTheme="minorEastAsia"/>
                <w:sz w:val="24"/>
                <w:szCs w:val="24"/>
              </w:rPr>
              <w:tab/>
            </w:r>
            <w:r>
              <w:rPr>
                <w:rStyle w:val="Style14"/>
                <w:rFonts w:cs="Calibri" w:cstheme="minorHAnsi"/>
                <w:sz w:val="24"/>
                <w:szCs w:val="24"/>
              </w:rPr>
              <w:t>Цель использования закупаемой продукции.</w:t>
            </w:r>
            <w:r>
              <w:rPr>
                <w:rStyle w:val="Style14"/>
                <w:vanish w:val="false"/>
                <w:sz w:val="24"/>
                <w:szCs w:val="24"/>
              </w:rPr>
              <w:tab/>
            </w:r>
          </w:hyperlink>
          <w:r>
            <w:rPr>
              <w:vanish w:val="false"/>
              <w:sz w:val="24"/>
              <w:szCs w:val="24"/>
            </w:rPr>
            <w:t>3</w:t>
          </w:r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/>
          </w:pPr>
          <w:hyperlink w:anchor="_Toc54970182">
            <w:r>
              <w:rPr>
                <w:webHidden/>
                <w:rStyle w:val="Style14"/>
                <w:vanish w:val="false"/>
                <w:sz w:val="24"/>
                <w:szCs w:val="24"/>
              </w:rPr>
              <w:t>2.</w:t>
            </w:r>
            <w:r>
              <w:rPr>
                <w:rStyle w:val="Style14"/>
                <w:rFonts w:eastAsia="" w:cs="" w:cstheme="minorBidi" w:eastAsiaTheme="minorEastAsia"/>
                <w:b w:val="false"/>
                <w:bCs w:val="false"/>
                <w:sz w:val="24"/>
                <w:szCs w:val="24"/>
              </w:rPr>
              <w:tab/>
            </w:r>
            <w:r>
              <w:rPr>
                <w:rStyle w:val="Style14"/>
                <w:sz w:val="24"/>
                <w:szCs w:val="24"/>
              </w:rPr>
              <w:t>Требования к продукции</w:t>
            </w:r>
            <w:r>
              <w:rPr>
                <w:rStyle w:val="Style14"/>
                <w:vanish w:val="false"/>
                <w:sz w:val="24"/>
                <w:szCs w:val="24"/>
              </w:rPr>
              <w:tab/>
            </w:r>
          </w:hyperlink>
          <w:r>
            <w:rPr>
              <w:vanish w:val="false"/>
              <w:sz w:val="24"/>
              <w:szCs w:val="24"/>
            </w:rPr>
            <w:t>3</w:t>
          </w:r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Toc54970183">
            <w:r>
              <w:rPr>
                <w:webHidden/>
                <w:rStyle w:val="Style14"/>
                <w:iCs/>
                <w:vanish w:val="false"/>
                <w:sz w:val="24"/>
                <w:szCs w:val="24"/>
              </w:rPr>
              <w:t>2.1.</w:t>
            </w:r>
            <w:r>
              <w:rPr>
                <w:rStyle w:val="Style14"/>
                <w:rFonts w:eastAsia="" w:cs="" w:cstheme="minorBidi" w:eastAsiaTheme="minorEastAsia"/>
                <w:sz w:val="24"/>
                <w:szCs w:val="24"/>
              </w:rPr>
              <w:tab/>
            </w:r>
            <w:r>
              <w:rPr>
                <w:rStyle w:val="Style14"/>
                <w:sz w:val="24"/>
                <w:szCs w:val="24"/>
              </w:rPr>
              <w:t>Требования по объемам и срокам</w:t>
            </w:r>
            <w:r>
              <w:rPr>
                <w:rStyle w:val="Style14"/>
                <w:vanish w:val="false"/>
                <w:sz w:val="24"/>
                <w:szCs w:val="24"/>
              </w:rPr>
              <w:tab/>
            </w:r>
          </w:hyperlink>
          <w:r>
            <w:rPr>
              <w:vanish w:val="false"/>
              <w:sz w:val="24"/>
              <w:szCs w:val="24"/>
            </w:rPr>
            <w:t>3</w:t>
          </w:r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Toc54970184">
            <w:r>
              <w:rPr>
                <w:webHidden/>
                <w:rStyle w:val="Style14"/>
                <w:vanish w:val="false"/>
                <w:sz w:val="24"/>
                <w:szCs w:val="24"/>
              </w:rPr>
              <w:t>2.1.1.</w:t>
            </w:r>
            <w:r>
              <w:rPr>
                <w:rStyle w:val="Style14"/>
                <w:rFonts w:eastAsia="" w:cs="" w:cstheme="minorBidi" w:eastAsiaTheme="minorEastAsia"/>
                <w:sz w:val="24"/>
                <w:szCs w:val="24"/>
              </w:rPr>
              <w:tab/>
            </w:r>
            <w:r>
              <w:rPr>
                <w:rStyle w:val="Style14"/>
                <w:rFonts w:cs="Calibri" w:cstheme="minorHAnsi"/>
                <w:sz w:val="24"/>
                <w:szCs w:val="24"/>
              </w:rPr>
              <w:t>Перечень и объем закупаемой продукции</w:t>
            </w:r>
            <w:r>
              <w:rPr>
                <w:rStyle w:val="Style14"/>
                <w:vanish w:val="false"/>
                <w:sz w:val="24"/>
                <w:szCs w:val="24"/>
              </w:rPr>
              <w:tab/>
            </w:r>
          </w:hyperlink>
          <w:r>
            <w:rPr>
              <w:vanish w:val="false"/>
              <w:sz w:val="24"/>
              <w:szCs w:val="24"/>
            </w:rPr>
            <w:t>3</w:t>
          </w:r>
        </w:p>
        <w:p>
          <w:pPr>
            <w:pStyle w:val="TOC1"/>
            <w:tabs>
              <w:tab w:val="clear" w:pos="708"/>
              <w:tab w:val="right" w:pos="9911" w:leader="dot"/>
            </w:tabs>
            <w:rPr/>
          </w:pPr>
          <w:hyperlink w:anchor="_Toc54970185">
            <w:r>
              <w:rPr>
                <w:webHidden/>
                <w:rStyle w:val="Style14"/>
                <w:vanish w:val="false"/>
                <w:sz w:val="24"/>
                <w:szCs w:val="24"/>
              </w:rPr>
              <w:t xml:space="preserve">Таблица </w:t>
            </w:r>
            <w:r>
              <w:rPr>
                <w:rStyle w:val="Style14"/>
                <w:sz w:val="24"/>
                <w:szCs w:val="24"/>
              </w:rPr>
              <w:t>1.1 Перечень и объем</w:t>
            </w:r>
            <w:r>
              <w:rPr>
                <w:rStyle w:val="Style14"/>
                <w:rFonts w:cs="Calibri Light (Заголовки)"/>
                <w:b/>
                <w:bCs/>
                <w:sz w:val="24"/>
                <w:szCs w:val="24"/>
              </w:rPr>
              <w:t xml:space="preserve"> закупаемой продукции</w:t>
            </w:r>
            <w:r>
              <w:rPr>
                <w:rStyle w:val="Style14"/>
                <w:vanish w:val="false"/>
                <w:sz w:val="24"/>
                <w:szCs w:val="24"/>
              </w:rPr>
              <w:tab/>
            </w:r>
          </w:hyperlink>
          <w:r>
            <w:rPr>
              <w:vanish w:val="false"/>
              <w:sz w:val="24"/>
              <w:szCs w:val="24"/>
            </w:rPr>
            <w:t>3</w:t>
          </w:r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Toc54970187">
            <w:r>
              <w:rPr>
                <w:webHidden/>
                <w:rStyle w:val="Style14"/>
                <w:vanish w:val="false"/>
                <w:sz w:val="24"/>
                <w:szCs w:val="24"/>
              </w:rPr>
              <w:t>2.1.</w:t>
            </w:r>
            <w:r>
              <w:rPr>
                <w:rStyle w:val="Style14"/>
                <w:sz w:val="24"/>
                <w:szCs w:val="24"/>
              </w:rPr>
              <w:t>2.</w:t>
            </w:r>
            <w:r>
              <w:rPr>
                <w:rStyle w:val="Style14"/>
                <w:rFonts w:eastAsia="" w:cs="" w:cstheme="minorBidi" w:eastAsiaTheme="minorEastAsia"/>
                <w:sz w:val="24"/>
                <w:szCs w:val="24"/>
              </w:rPr>
              <w:tab/>
            </w:r>
            <w:r>
              <w:rPr>
                <w:rStyle w:val="Style14"/>
                <w:sz w:val="24"/>
                <w:szCs w:val="24"/>
              </w:rPr>
              <w:t>Требования к срокам поставки продукции</w:t>
            </w:r>
            <w:r>
              <w:rPr>
                <w:rStyle w:val="Style14"/>
                <w:vanish w:val="false"/>
                <w:sz w:val="24"/>
                <w:szCs w:val="24"/>
              </w:rPr>
              <w:tab/>
            </w:r>
          </w:hyperlink>
          <w:r>
            <w:rPr>
              <w:vanish w:val="false"/>
              <w:sz w:val="24"/>
              <w:szCs w:val="24"/>
            </w:rPr>
            <w:t>3</w:t>
          </w:r>
        </w:p>
        <w:p>
          <w:pPr>
            <w:pStyle w:val="TOC1"/>
            <w:tabs>
              <w:tab w:val="clear" w:pos="708"/>
              <w:tab w:val="right" w:pos="9911" w:leader="dot"/>
            </w:tabs>
            <w:rPr/>
          </w:pPr>
          <w:hyperlink w:anchor="_Toc54970189">
            <w:r>
              <w:rPr>
                <w:webHidden/>
                <w:rStyle w:val="Style14"/>
                <w:vanish w:val="false"/>
                <w:sz w:val="24"/>
                <w:szCs w:val="24"/>
              </w:rPr>
              <w:t xml:space="preserve">Таблица </w:t>
            </w:r>
            <w:r>
              <w:rPr>
                <w:rStyle w:val="Style14"/>
                <w:sz w:val="24"/>
                <w:szCs w:val="24"/>
              </w:rPr>
              <w:t>2.1 Требования по срокам поставки продукции</w:t>
            </w:r>
            <w:r>
              <w:rPr>
                <w:rStyle w:val="Style14"/>
                <w:vanish w:val="false"/>
                <w:sz w:val="24"/>
                <w:szCs w:val="24"/>
              </w:rPr>
              <w:tab/>
            </w:r>
          </w:hyperlink>
          <w:r>
            <w:rPr>
              <w:vanish w:val="false"/>
              <w:sz w:val="24"/>
              <w:szCs w:val="24"/>
            </w:rPr>
            <w:t>3</w:t>
          </w:r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Toc54970190">
            <w:r>
              <w:rPr>
                <w:webHidden/>
                <w:rStyle w:val="Style14"/>
                <w:iCs/>
                <w:vanish w:val="false"/>
                <w:sz w:val="24"/>
                <w:szCs w:val="24"/>
              </w:rPr>
              <w:t>2.2.</w:t>
            </w:r>
            <w:r>
              <w:rPr>
                <w:rStyle w:val="Style14"/>
                <w:rFonts w:eastAsia="" w:cs="" w:cstheme="minorBidi" w:eastAsiaTheme="minorEastAsia"/>
                <w:sz w:val="24"/>
                <w:szCs w:val="24"/>
              </w:rPr>
              <w:tab/>
            </w:r>
            <w:r>
              <w:rPr>
                <w:rStyle w:val="Style14"/>
                <w:sz w:val="24"/>
                <w:szCs w:val="24"/>
              </w:rPr>
              <w:t>Требования к качеству продукции</w:t>
            </w:r>
            <w:r>
              <w:rPr>
                <w:rStyle w:val="Style14"/>
                <w:vanish w:val="false"/>
                <w:sz w:val="24"/>
                <w:szCs w:val="24"/>
              </w:rPr>
              <w:tab/>
            </w:r>
          </w:hyperlink>
          <w:r>
            <w:rPr>
              <w:vanish w:val="false"/>
              <w:sz w:val="24"/>
              <w:szCs w:val="24"/>
            </w:rPr>
            <w:t>4</w:t>
          </w:r>
        </w:p>
        <w:p>
          <w:pPr>
            <w:pStyle w:val="TOC1"/>
            <w:tabs>
              <w:tab w:val="clear" w:pos="708"/>
              <w:tab w:val="right" w:pos="9911" w:leader="dot"/>
            </w:tabs>
            <w:rPr/>
          </w:pPr>
          <w:hyperlink w:anchor="_Toc54970191">
            <w:r>
              <w:rPr>
                <w:webHidden/>
                <w:rStyle w:val="Style14"/>
                <w:vanish w:val="false"/>
                <w:sz w:val="24"/>
                <w:szCs w:val="24"/>
              </w:rPr>
              <w:t>Таблица </w:t>
            </w:r>
            <w:r>
              <w:rPr>
                <w:rStyle w:val="Style14"/>
                <w:sz w:val="24"/>
                <w:szCs w:val="24"/>
              </w:rPr>
              <w:t>3. Требования к качеству продукции</w:t>
            </w:r>
            <w:r>
              <w:rPr>
                <w:rStyle w:val="Style14"/>
                <w:vanish w:val="false"/>
                <w:sz w:val="24"/>
                <w:szCs w:val="24"/>
              </w:rPr>
              <w:tab/>
            </w:r>
          </w:hyperlink>
          <w:r>
            <w:rPr>
              <w:vanish w:val="false"/>
              <w:sz w:val="24"/>
              <w:szCs w:val="24"/>
            </w:rPr>
            <w:t>4</w:t>
          </w:r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/>
          </w:pPr>
          <w:hyperlink w:anchor="_Toc54970192">
            <w:r>
              <w:rPr>
                <w:webHidden/>
                <w:rStyle w:val="Style14"/>
                <w:vanish w:val="false"/>
                <w:sz w:val="24"/>
                <w:szCs w:val="24"/>
              </w:rPr>
              <w:t>3.</w:t>
            </w:r>
            <w:r>
              <w:rPr>
                <w:rStyle w:val="Style14"/>
                <w:rFonts w:eastAsia="" w:cs="" w:cstheme="minorBidi" w:eastAsiaTheme="minorEastAsia"/>
                <w:b w:val="false"/>
                <w:bCs w:val="false"/>
                <w:sz w:val="24"/>
                <w:szCs w:val="24"/>
              </w:rPr>
              <w:tab/>
            </w:r>
            <w:r>
              <w:rPr>
                <w:rStyle w:val="Style14"/>
                <w:sz w:val="24"/>
                <w:szCs w:val="24"/>
              </w:rPr>
              <w:t>Требования к документации по ценообразованию на этапе закупки</w:t>
            </w:r>
            <w:r>
              <w:rPr>
                <w:rStyle w:val="Style14"/>
                <w:vanish w:val="false"/>
                <w:sz w:val="24"/>
                <w:szCs w:val="24"/>
              </w:rPr>
              <w:tab/>
            </w:r>
          </w:hyperlink>
          <w:r>
            <w:rPr>
              <w:vanish w:val="false"/>
              <w:sz w:val="24"/>
              <w:szCs w:val="24"/>
            </w:rPr>
            <w:t>6</w:t>
          </w:r>
          <w:r>
            <w:rPr>
              <w:sz w:val="24"/>
              <w:szCs w:val="24"/>
              <w:vanish w:val="false"/>
            </w:rPr>
            <w:fldChar w:fldCharType="end"/>
          </w:r>
        </w:p>
      </w:sdtContent>
    </w:sdt>
    <w:p>
      <w:pPr>
        <w:pStyle w:val="TOC1"/>
        <w:tabs>
          <w:tab w:val="clear" w:pos="708"/>
          <w:tab w:val="left" w:pos="560" w:leader="none"/>
          <w:tab w:val="right" w:pos="9911" w:leader="dot"/>
        </w:tabs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Heading2"/>
        <w:numPr>
          <w:ilvl w:val="0"/>
          <w:numId w:val="0"/>
        </w:numPr>
        <w:ind w:hanging="0" w:left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Times New Roman" w:hAnsi="Times New Roman"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ind w:hanging="0" w:left="0"/>
        <w:jc w:val="center"/>
        <w:rPr>
          <w:sz w:val="24"/>
          <w:szCs w:val="24"/>
        </w:rPr>
      </w:pPr>
      <w:bookmarkStart w:id="0" w:name="_Toc54970174"/>
      <w:bookmarkStart w:id="1" w:name="_Toc51339692"/>
      <w:r>
        <w:rPr>
          <w:sz w:val="24"/>
          <w:szCs w:val="24"/>
        </w:rPr>
        <w:t>Общие сведения</w:t>
      </w:r>
      <w:bookmarkEnd w:id="0"/>
      <w:bookmarkEnd w:id="1"/>
    </w:p>
    <w:p>
      <w:pPr>
        <w:pStyle w:val="ListParagraph"/>
        <w:widowControl w:val="false"/>
        <w:numPr>
          <w:ilvl w:val="1"/>
          <w:numId w:val="3"/>
        </w:numPr>
        <w:spacing w:before="0" w:after="0"/>
        <w:ind w:hanging="480" w:left="480" w:right="0"/>
        <w:contextualSpacing/>
        <w:outlineLvl w:val="1"/>
        <w:rPr>
          <w:sz w:val="24"/>
          <w:szCs w:val="24"/>
        </w:rPr>
      </w:pPr>
      <w:bookmarkStart w:id="2" w:name="_Toc125476051"/>
      <w:bookmarkStart w:id="3" w:name="_Toc125473241"/>
      <w:r>
        <w:rPr>
          <w:rFonts w:eastAsia="Times New Roman" w:cs="Times New Roman"/>
          <w:b/>
          <w:bCs/>
          <w:sz w:val="24"/>
          <w:szCs w:val="24"/>
          <w:lang w:eastAsia="ar-SA"/>
        </w:rPr>
        <w:t>Наименование закупаемой продукции.</w:t>
      </w:r>
      <w:bookmarkEnd w:id="2"/>
      <w:bookmarkEnd w:id="3"/>
    </w:p>
    <w:p>
      <w:pPr>
        <w:pStyle w:val="Normal"/>
        <w:rPr>
          <w:sz w:val="24"/>
          <w:szCs w:val="24"/>
        </w:rPr>
      </w:pPr>
      <w:r>
        <w:rPr>
          <w:rFonts w:eastAsia="Calibri"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u w:val="none"/>
          <w:shd w:fill="auto" w:val="clear"/>
          <w:lang w:eastAsia="ru-RU"/>
        </w:rPr>
        <w:t>ОКПД 2: 26.20.40.111</w:t>
      </w:r>
      <w:r>
        <w:rPr>
          <w:rFonts w:eastAsia="Calibri" w:cs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u w:val="none"/>
          <w:shd w:fill="auto" w:val="clear"/>
          <w:lang w:eastAsia="ru-RU"/>
        </w:rPr>
        <w:t xml:space="preserve"> Поставка источника бесперебойного питания для нужд Кубанского филиала.</w:t>
      </w:r>
      <w:r>
        <w:rPr>
          <w:rFonts w:eastAsia="Calibri" w:cs="Times New Roman"/>
          <w:sz w:val="24"/>
          <w:szCs w:val="24"/>
        </w:rPr>
        <w:t>(далее продукция).</w:t>
      </w:r>
    </w:p>
    <w:p>
      <w:pPr>
        <w:pStyle w:val="ListParagraph"/>
        <w:pageBreakBefore w:val="false"/>
        <w:widowControl w:val="false"/>
        <w:numPr>
          <w:ilvl w:val="1"/>
          <w:numId w:val="3"/>
        </w:numPr>
        <w:spacing w:before="0" w:after="0"/>
        <w:ind w:hanging="480" w:left="480" w:right="0"/>
        <w:contextualSpacing/>
        <w:outlineLvl w:val="1"/>
        <w:rPr>
          <w:sz w:val="24"/>
          <w:szCs w:val="24"/>
        </w:rPr>
      </w:pPr>
      <w:bookmarkStart w:id="4" w:name="_Toc125476052"/>
      <w:bookmarkStart w:id="5" w:name="_Toc125473242"/>
      <w:r>
        <w:rPr>
          <w:rFonts w:eastAsia="Times New Roman" w:cs="Times New Roman"/>
          <w:b/>
          <w:bCs/>
          <w:sz w:val="24"/>
          <w:szCs w:val="24"/>
          <w:lang w:eastAsia="ar-SA"/>
        </w:rPr>
        <w:t>Цель использования закупаемой продукции.</w:t>
      </w:r>
      <w:bookmarkEnd w:id="4"/>
      <w:bookmarkEnd w:id="5"/>
    </w:p>
    <w:p>
      <w:pPr>
        <w:pStyle w:val="Normal"/>
        <w:tabs>
          <w:tab w:val="clear" w:pos="708"/>
          <w:tab w:val="left" w:pos="426" w:leader="none"/>
          <w:tab w:val="left" w:pos="993" w:leader="none"/>
        </w:tabs>
        <w:jc w:val="both"/>
        <w:rPr>
          <w:sz w:val="24"/>
          <w:szCs w:val="24"/>
        </w:rPr>
      </w:pPr>
      <w:bookmarkStart w:id="6" w:name="_Toc46743506"/>
      <w:bookmarkEnd w:id="6"/>
      <w:r>
        <w:rPr>
          <w:rFonts w:eastAsia="Times New Roman" w:cs="Times New Roman"/>
          <w:b w:val="false"/>
          <w:bCs w:val="false"/>
          <w:i w:val="false"/>
          <w:iCs w:val="false"/>
          <w:color w:val="000000"/>
          <w:sz w:val="24"/>
          <w:szCs w:val="24"/>
          <w:shd w:fill="FFFFFF" w:val="clear"/>
          <w:lang w:eastAsia="ru-RU"/>
        </w:rPr>
        <w:t>Исполнение обязательств по договору подряда № 5-ККГЭС-СМР-2026 от 05.06.26 г. выполнение работ по созданию комплексной системы безопасности на Сенгилеевской ГЭС Каскада Кубанских ГЭС, заключенного между АО «УК ГидроОГК» «Управляющая компания ГидроОГК» и АО «Гидроремонт-ВКК».</w:t>
      </w:r>
      <w:bookmarkStart w:id="7" w:name="_Toc50125126"/>
    </w:p>
    <w:p>
      <w:pPr>
        <w:pStyle w:val="Heading1"/>
        <w:numPr>
          <w:ilvl w:val="0"/>
          <w:numId w:val="3"/>
        </w:numPr>
        <w:ind w:hanging="0" w:left="0"/>
        <w:jc w:val="center"/>
        <w:rPr>
          <w:sz w:val="24"/>
          <w:szCs w:val="24"/>
        </w:rPr>
      </w:pPr>
      <w:bookmarkStart w:id="8" w:name="_Toc51339693"/>
      <w:bookmarkStart w:id="9" w:name="_Toc54970182"/>
      <w:r>
        <w:rPr>
          <w:sz w:val="24"/>
          <w:szCs w:val="24"/>
        </w:rPr>
        <w:t>Требования к продукции</w:t>
      </w:r>
      <w:bookmarkEnd w:id="8"/>
      <w:bookmarkEnd w:id="9"/>
    </w:p>
    <w:p>
      <w:pPr>
        <w:pStyle w:val="Heading4"/>
        <w:numPr>
          <w:ilvl w:val="1"/>
          <w:numId w:val="3"/>
        </w:numPr>
        <w:rPr>
          <w:sz w:val="24"/>
          <w:szCs w:val="24"/>
        </w:rPr>
      </w:pPr>
      <w:bookmarkStart w:id="10" w:name="_Toc54970183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по</w:t>
      </w:r>
      <w:r>
        <w:rPr>
          <w:sz w:val="24"/>
          <w:szCs w:val="24"/>
        </w:rPr>
        <w:t xml:space="preserve"> объемам и срокам</w:t>
      </w:r>
      <w:bookmarkEnd w:id="10"/>
      <w:r>
        <w:rPr>
          <w:sz w:val="24"/>
          <w:szCs w:val="24"/>
        </w:rPr>
        <w:t xml:space="preserve"> </w:t>
      </w:r>
    </w:p>
    <w:p>
      <w:pPr>
        <w:pStyle w:val="Normal"/>
        <w:keepNext w:val="true"/>
        <w:numPr>
          <w:ilvl w:val="2"/>
          <w:numId w:val="3"/>
        </w:numPr>
        <w:tabs>
          <w:tab w:val="clear" w:pos="708"/>
          <w:tab w:val="left" w:pos="567" w:leader="none"/>
        </w:tabs>
        <w:spacing w:before="120" w:after="0"/>
        <w:ind w:hanging="1227" w:left="1227" w:right="0"/>
        <w:outlineLvl w:val="2"/>
        <w:rPr>
          <w:sz w:val="24"/>
          <w:szCs w:val="24"/>
        </w:rPr>
      </w:pPr>
      <w:bookmarkStart w:id="11" w:name="_Toc125476057"/>
      <w:bookmarkStart w:id="12" w:name="_Toc125473250"/>
      <w:bookmarkStart w:id="13" w:name="_Toc75446575"/>
      <w:r>
        <w:rPr>
          <w:rFonts w:eastAsia="Calibri" w:cs="Times New Roman"/>
          <w:b/>
          <w:sz w:val="24"/>
          <w:szCs w:val="24"/>
          <w:lang w:eastAsia="x-none"/>
        </w:rPr>
        <w:t>Перечень и объем закупаемой продукции</w:t>
      </w:r>
      <w:bookmarkEnd w:id="11"/>
      <w:bookmarkEnd w:id="12"/>
      <w:bookmarkEnd w:id="13"/>
    </w:p>
    <w:p>
      <w:pPr>
        <w:pStyle w:val="Heading1"/>
        <w:numPr>
          <w:ilvl w:val="0"/>
          <w:numId w:val="0"/>
        </w:numPr>
        <w:ind w:hanging="0" w:left="0"/>
        <w:rPr>
          <w:sz w:val="24"/>
          <w:szCs w:val="24"/>
        </w:rPr>
      </w:pPr>
      <w:bookmarkStart w:id="14" w:name="_Toc51339695"/>
      <w:bookmarkStart w:id="15" w:name="_Toc54970185"/>
      <w:r>
        <w:rPr>
          <w:sz w:val="24"/>
          <w:szCs w:val="24"/>
        </w:rPr>
        <w:t>Таблица 1.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Перечень</w:t>
      </w:r>
      <w:r>
        <w:rPr>
          <w:sz w:val="24"/>
          <w:szCs w:val="24"/>
          <w:lang w:val="ru-RU"/>
        </w:rPr>
        <w:t xml:space="preserve"> и объем</w:t>
      </w:r>
      <w:r>
        <w:rPr>
          <w:sz w:val="24"/>
          <w:szCs w:val="24"/>
        </w:rPr>
        <w:t xml:space="preserve"> </w:t>
      </w:r>
      <w:bookmarkEnd w:id="14"/>
      <w:bookmarkEnd w:id="15"/>
      <w:r>
        <w:rPr>
          <w:sz w:val="24"/>
          <w:szCs w:val="24"/>
        </w:rPr>
        <w:t>закупаемоу продукции</w:t>
      </w:r>
    </w:p>
    <w:tbl>
      <w:tblPr>
        <w:tblW w:w="9810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849"/>
        <w:gridCol w:w="5416"/>
        <w:gridCol w:w="1426"/>
        <w:gridCol w:w="2118"/>
      </w:tblGrid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Источник бесперебойного электропитания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 xml:space="preserve"> И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БП 2 кВА ИДП-1-1/1-2-220-ТА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hanging="0"/>
        <w:rPr>
          <w:rFonts w:ascii="Times New Roman" w:hAnsi="Times New Roman"/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Heading1"/>
        <w:numPr>
          <w:ilvl w:val="0"/>
          <w:numId w:val="0"/>
        </w:numPr>
        <w:ind w:hanging="0" w:left="0"/>
        <w:rPr>
          <w:rFonts w:ascii="Times New Roman" w:hAnsi="Times New Roman"/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Heading3"/>
        <w:numPr>
          <w:ilvl w:val="0"/>
          <w:numId w:val="0"/>
        </w:numPr>
        <w:ind w:hanging="0" w:left="0"/>
        <w:rPr>
          <w:sz w:val="24"/>
          <w:szCs w:val="24"/>
        </w:rPr>
      </w:pPr>
      <w:r>
        <w:rPr>
          <w:sz w:val="24"/>
          <w:szCs w:val="24"/>
        </w:rPr>
        <w:t>2.1.2 Т</w:t>
      </w:r>
      <w:bookmarkStart w:id="16" w:name="_Toc54970187"/>
      <w:bookmarkStart w:id="17" w:name="_Toc51339696"/>
      <w:r>
        <w:rPr>
          <w:sz w:val="24"/>
          <w:szCs w:val="24"/>
        </w:rPr>
        <w:t xml:space="preserve">ребования </w:t>
      </w:r>
      <w:bookmarkEnd w:id="17"/>
      <w:r>
        <w:rPr>
          <w:sz w:val="24"/>
          <w:szCs w:val="24"/>
        </w:rPr>
        <w:t xml:space="preserve">к срокам поставки продукции </w:t>
      </w:r>
      <w:bookmarkEnd w:id="16"/>
    </w:p>
    <w:p>
      <w:pPr>
        <w:pStyle w:val="Heading1"/>
        <w:numPr>
          <w:ilvl w:val="0"/>
          <w:numId w:val="0"/>
        </w:numPr>
        <w:ind w:hanging="0" w:left="0"/>
        <w:rPr/>
      </w:pPr>
      <w:bookmarkStart w:id="18" w:name="_Toc54970188"/>
      <w:bookmarkStart w:id="19" w:name="_Toc51339697"/>
      <w:bookmarkStart w:id="20" w:name="_Toc50125127"/>
      <w:bookmarkEnd w:id="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21" w:name="_Hlk50465284"/>
      <w:r>
        <w:rPr>
          <w:sz w:val="24"/>
          <w:szCs w:val="24"/>
        </w:rPr>
        <w:t xml:space="preserve">Требования </w:t>
      </w:r>
      <w:bookmarkEnd w:id="19"/>
      <w:bookmarkEnd w:id="20"/>
      <w:bookmarkEnd w:id="21"/>
      <w:r>
        <w:rPr>
          <w:sz w:val="24"/>
          <w:szCs w:val="24"/>
          <w:lang w:val="ru-RU"/>
        </w:rPr>
        <w:t xml:space="preserve">по срокам </w:t>
      </w:r>
      <w:bookmarkEnd w:id="18"/>
      <w:r>
        <w:rPr>
          <w:rStyle w:val="Style8"/>
          <w:b/>
          <w:i w:val="false"/>
          <w:sz w:val="24"/>
          <w:szCs w:val="24"/>
          <w:shd w:fill="auto" w:val="clear"/>
          <w:lang w:val="ru-RU"/>
        </w:rPr>
        <w:t>поставки продукции</w:t>
      </w:r>
    </w:p>
    <w:tbl>
      <w:tblPr>
        <w:tblW w:w="9918" w:type="dxa"/>
        <w:jc w:val="left"/>
        <w:tblInd w:w="113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 w:noVBand="1" w:noHBand="0" w:lastColumn="0" w:firstColumn="1" w:lastRow="0" w:firstRow="1"/>
      </w:tblPr>
      <w:tblGrid>
        <w:gridCol w:w="1121"/>
        <w:gridCol w:w="2554"/>
        <w:gridCol w:w="2982"/>
        <w:gridCol w:w="3260"/>
      </w:tblGrid>
      <w:tr>
        <w:trPr/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bookmarkStart w:id="22" w:name="_Toc46743510"/>
            <w:bookmarkEnd w:id="22"/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продукции партии продукции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Требования к началу срока поставки продукции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112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Heading1"/>
              <w:widowControl w:val="false"/>
              <w:numPr>
                <w:ilvl w:val="0"/>
                <w:numId w:val="0"/>
              </w:numPr>
              <w:spacing w:lineRule="auto" w:line="264" w:before="120" w:after="60"/>
              <w:ind w:hanging="0" w:left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auto" w:val="clear"/>
                <w:lang w:eastAsia="ru-RU"/>
              </w:rPr>
              <w:t>ОКПД 2: 26.20.40.111</w:t>
            </w:r>
            <w:r>
              <w:rPr>
                <w:rFonts w:eastAsia="Calibri" w:cs="Times New Roman"/>
                <w:b w:val="false"/>
                <w:bCs w:val="false"/>
                <w:sz w:val="24"/>
                <w:szCs w:val="24"/>
                <w:shd w:fill="auto" w:val="clear"/>
                <w:lang w:eastAsia="ru-RU"/>
              </w:rPr>
              <w:t xml:space="preserve"> Поставка источника бесперебойного питания</w:t>
            </w:r>
            <w:r>
              <w:rPr>
                <w:rFonts w:eastAsia="Calibri" w:cs="Times New Roman"/>
                <w:b w:val="false"/>
                <w:bCs w:val="false"/>
                <w:color w:val="000000"/>
                <w:sz w:val="24"/>
                <w:szCs w:val="24"/>
                <w:shd w:fill="auto" w:val="clear"/>
                <w:lang w:eastAsia="ru-RU"/>
              </w:rPr>
              <w:t xml:space="preserve"> </w:t>
            </w:r>
            <w:r>
              <w:rPr>
                <w:rFonts w:eastAsia="Calibri" w:cs="Times New Roman"/>
                <w:b w:val="false"/>
                <w:bCs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для нужд Кубанского филиала.</w:t>
            </w:r>
          </w:p>
        </w:tc>
        <w:tc>
          <w:tcPr>
            <w:tcW w:w="29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с даты подписания договора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fill="FFFFFF" w:val="clear"/>
                <w:lang w:eastAsia="ru-RU"/>
              </w:rPr>
              <w:t>в течение 30 рабочих дней с даты подписания договора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rPr>
          <w:sz w:val="24"/>
          <w:szCs w:val="24"/>
        </w:rPr>
      </w:pPr>
      <w:bookmarkStart w:id="23" w:name="_Toc54970191"/>
      <w:bookmarkStart w:id="24" w:name="_Toc51339698"/>
      <w:bookmarkStart w:id="25" w:name="_Toc54970190"/>
      <w:bookmarkStart w:id="26" w:name="_Toc46743511_Копия_1"/>
      <w:bookmarkEnd w:id="26"/>
      <w:r>
        <w:rPr>
          <w:sz w:val="24"/>
          <w:szCs w:val="24"/>
        </w:rPr>
        <w:t xml:space="preserve">Требования к </w:t>
      </w:r>
      <w:r>
        <w:rPr>
          <w:sz w:val="24"/>
          <w:szCs w:val="24"/>
          <w:lang w:val="ru-RU"/>
        </w:rPr>
        <w:t>качеству продукции</w:t>
      </w:r>
      <w:bookmarkEnd w:id="25"/>
    </w:p>
    <w:p>
      <w:pPr>
        <w:pStyle w:val="Heading1"/>
        <w:numPr>
          <w:ilvl w:val="0"/>
          <w:numId w:val="0"/>
        </w:numPr>
        <w:ind w:hanging="0" w:left="0"/>
        <w:rPr>
          <w:sz w:val="24"/>
          <w:szCs w:val="24"/>
        </w:rPr>
      </w:pPr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bookmarkEnd w:id="24"/>
      <w:r>
        <w:rPr>
          <w:sz w:val="24"/>
          <w:szCs w:val="24"/>
          <w:lang w:val="ru-RU"/>
        </w:rPr>
        <w:t>качеству продукции</w:t>
      </w:r>
      <w:bookmarkEnd w:id="23"/>
      <w:r>
        <w:rPr>
          <w:sz w:val="24"/>
          <w:szCs w:val="24"/>
        </w:rPr>
        <w:t xml:space="preserve"> </w:t>
      </w:r>
    </w:p>
    <w:p>
      <w:pPr>
        <w:pStyle w:val="Normal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Наименование продукции : </w:t>
      </w:r>
      <w:r>
        <w:rPr>
          <w:rFonts w:eastAsia="Times New Roman" w:cs="Times New Roman"/>
          <w:b w:val="false"/>
          <w:bCs w:val="false"/>
          <w:i w:val="false"/>
          <w:iCs w:val="false"/>
          <w:sz w:val="24"/>
          <w:szCs w:val="24"/>
          <w:lang w:eastAsia="ar-SA"/>
        </w:rPr>
        <w:t>согласно Таблицы 1.1 «</w:t>
      </w:r>
      <w:r>
        <w:rPr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u w:val="none"/>
          <w:shd w:fill="auto" w:val="clear"/>
          <w:lang w:eastAsia="x-none"/>
        </w:rPr>
        <w:t>Перечень и объем закупаемой продукции</w:t>
      </w:r>
      <w:r>
        <w:rPr>
          <w:rFonts w:eastAsia="Times New Roman" w:cs="Times New Roman"/>
          <w:b w:val="false"/>
          <w:bCs w:val="false"/>
          <w:i w:val="false"/>
          <w:iCs w:val="false"/>
          <w:sz w:val="24"/>
          <w:szCs w:val="24"/>
          <w:lang w:eastAsia="ar-SA"/>
        </w:rPr>
        <w:t>»</w:t>
      </w:r>
    </w:p>
    <w:tbl>
      <w:tblPr>
        <w:tblStyle w:val="af"/>
        <w:tblW w:w="1539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769"/>
        <w:gridCol w:w="3463"/>
        <w:gridCol w:w="5071"/>
        <w:gridCol w:w="3230"/>
        <w:gridCol w:w="2857"/>
      </w:tblGrid>
      <w:tr>
        <w:trPr/>
        <w:tc>
          <w:tcPr>
            <w:tcW w:w="76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346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507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608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76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46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507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23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8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7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346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50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323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8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</w:tr>
      <w:tr>
        <w:trPr/>
        <w:tc>
          <w:tcPr>
            <w:tcW w:w="76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853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3230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57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6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8534" w:type="dxa"/>
            <w:gridSpan w:val="2"/>
            <w:tcBorders/>
            <w:vAlign w:val="center"/>
          </w:tcPr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/>
                <w:b/>
                <w:bCs/>
                <w:color w:val="000000"/>
                <w:kern w:val="0"/>
                <w:sz w:val="24"/>
                <w:szCs w:val="24"/>
                <w:lang w:val="ru-RU" w:eastAsia="en-US" w:bidi="ar-SA"/>
              </w:rPr>
              <w:t xml:space="preserve">Источник бесперебойного электропитания </w:t>
            </w:r>
            <w:r>
              <w:rPr>
                <w:rFonts w:eastAsia="Calibri" w:cs="Tahoma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en-US" w:bidi="ar-SA"/>
              </w:rPr>
              <w:t>И</w:t>
            </w:r>
            <w:r>
              <w:rPr>
                <w:rFonts w:eastAsia="Times New Roman" w:cs="Times New Roman"/>
                <w:b/>
                <w:bCs/>
                <w:i w:val="false"/>
                <w:strike w:val="false"/>
                <w:dstrike w:val="false"/>
                <w:outline w:val="false"/>
                <w:shadow w:val="false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БП 2 кВА ИДП-1-1/1-2-220-ТА</w:t>
            </w:r>
          </w:p>
        </w:tc>
        <w:tc>
          <w:tcPr>
            <w:tcW w:w="3230" w:type="dxa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color w:val="000000"/>
                <w:sz w:val="24"/>
                <w:szCs w:val="24"/>
                <w:u w:val="none"/>
                <w:shd w:fill="auto" w:val="clear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требованиям.</w:t>
            </w:r>
          </w:p>
        </w:tc>
        <w:tc>
          <w:tcPr>
            <w:tcW w:w="2857" w:type="dxa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76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463" w:type="dxa"/>
            <w:tcBorders/>
            <w:shd w:color="auto" w:fill="auto" w:val="clear"/>
          </w:tcPr>
          <w:p>
            <w:pPr>
              <w:pStyle w:val="BodyText"/>
              <w:widowControl w:val="false"/>
              <w:suppressAutoHyphens w:val="true"/>
              <w:spacing w:before="0" w:after="140"/>
              <w:jc w:val="left"/>
              <w:rPr>
                <w:sz w:val="24"/>
                <w:szCs w:val="24"/>
              </w:rPr>
            </w:pPr>
            <w:r>
              <w:rPr>
                <w:rFonts w:eastAsia="Calibri" w:cs="Tahoma"/>
                <w:color w:val="000000"/>
                <w:kern w:val="0"/>
                <w:sz w:val="24"/>
                <w:szCs w:val="24"/>
                <w:lang w:val="ru-RU" w:eastAsia="en-US" w:bidi="ar-SA"/>
              </w:rPr>
              <w:t>Номинальное выходное напряжение постоянного тока, В</w:t>
            </w:r>
          </w:p>
        </w:tc>
        <w:tc>
          <w:tcPr>
            <w:tcW w:w="5071" w:type="dxa"/>
            <w:tcBorders/>
            <w:shd w:color="auto" w:fill="auto" w:val="clear"/>
          </w:tcPr>
          <w:p>
            <w:pPr>
              <w:pStyle w:val="BodyText"/>
              <w:widowControl w:val="false"/>
              <w:suppressAutoHyphens w:val="true"/>
              <w:spacing w:before="0" w:after="0"/>
              <w:ind w:hanging="0" w:left="0" w:right="0"/>
              <w:jc w:val="left"/>
              <w:rPr>
                <w:sz w:val="24"/>
                <w:szCs w:val="24"/>
              </w:rPr>
            </w:pPr>
            <w:r>
              <w:rPr>
                <w:rFonts w:eastAsia="Calibri" w:cs="Tahoma"/>
                <w:color w:val="000000"/>
                <w:kern w:val="0"/>
                <w:sz w:val="24"/>
                <w:szCs w:val="24"/>
                <w:lang w:val="ru-RU" w:eastAsia="en-US" w:bidi="ar-SA"/>
              </w:rPr>
              <w:t>220</w:t>
            </w:r>
          </w:p>
        </w:tc>
        <w:tc>
          <w:tcPr>
            <w:tcW w:w="3230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857" w:type="dxa"/>
            <w:vMerge w:val="continue"/>
            <w:tcBorders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6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463" w:type="dxa"/>
            <w:tcBorders/>
            <w:shd w:color="auto" w:fill="auto" w:val="clear"/>
          </w:tcPr>
          <w:p>
            <w:pPr>
              <w:pStyle w:val="BodyText"/>
              <w:widowControl w:val="false"/>
              <w:suppressAutoHyphens w:val="true"/>
              <w:spacing w:before="0" w:after="140"/>
              <w:jc w:val="left"/>
              <w:rPr>
                <w:sz w:val="24"/>
                <w:szCs w:val="24"/>
              </w:rPr>
            </w:pPr>
            <w:r>
              <w:rPr>
                <w:rFonts w:eastAsia="Calibri" w:cs="Tahoma"/>
                <w:color w:val="000000"/>
                <w:kern w:val="0"/>
                <w:sz w:val="24"/>
                <w:szCs w:val="24"/>
                <w:lang w:val="ru-RU" w:eastAsia="en-US" w:bidi="ar-SA"/>
              </w:rPr>
              <w:t>Номинальное входное напряжение переменного тока, В</w:t>
            </w:r>
          </w:p>
        </w:tc>
        <w:tc>
          <w:tcPr>
            <w:tcW w:w="5071" w:type="dxa"/>
            <w:tcBorders/>
            <w:shd w:color="auto" w:fill="auto" w:val="clear"/>
          </w:tcPr>
          <w:p>
            <w:pPr>
              <w:pStyle w:val="BodyText"/>
              <w:widowControl w:val="false"/>
              <w:suppressAutoHyphens w:val="true"/>
              <w:spacing w:before="0" w:after="0"/>
              <w:ind w:hanging="0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</w:t>
            </w:r>
          </w:p>
        </w:tc>
        <w:tc>
          <w:tcPr>
            <w:tcW w:w="3230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857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1.1.3</w:t>
            </w:r>
          </w:p>
        </w:tc>
        <w:tc>
          <w:tcPr>
            <w:tcW w:w="3463" w:type="dxa"/>
            <w:tcBorders/>
            <w:shd w:color="auto" w:fill="auto" w:val="clear"/>
          </w:tcPr>
          <w:p>
            <w:pPr>
              <w:pStyle w:val="BodyText"/>
              <w:widowControl w:val="false"/>
              <w:suppressAutoHyphens w:val="true"/>
              <w:spacing w:before="0" w:after="140"/>
              <w:jc w:val="left"/>
              <w:rPr>
                <w:sz w:val="24"/>
                <w:szCs w:val="24"/>
              </w:rPr>
            </w:pPr>
            <w:r>
              <w:rPr>
                <w:rFonts w:eastAsia="Calibri" w:cs="Tahoma"/>
                <w:color w:val="000000"/>
                <w:kern w:val="0"/>
                <w:sz w:val="24"/>
                <w:szCs w:val="24"/>
                <w:lang w:val="ru-RU" w:eastAsia="en-US" w:bidi="ar-SA"/>
              </w:rPr>
              <w:t>Входной коэффициент мощности</w:t>
            </w:r>
          </w:p>
        </w:tc>
        <w:tc>
          <w:tcPr>
            <w:tcW w:w="5071" w:type="dxa"/>
            <w:tcBorders/>
            <w:shd w:color="auto" w:fill="auto" w:val="clear"/>
          </w:tcPr>
          <w:p>
            <w:pPr>
              <w:pStyle w:val="BodyText"/>
              <w:widowControl w:val="false"/>
              <w:suppressAutoHyphens w:val="true"/>
              <w:spacing w:before="0" w:after="0"/>
              <w:ind w:hanging="0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0,99</w:t>
            </w:r>
          </w:p>
        </w:tc>
        <w:tc>
          <w:tcPr>
            <w:tcW w:w="3230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857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6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1.1.4</w:t>
            </w:r>
          </w:p>
        </w:tc>
        <w:tc>
          <w:tcPr>
            <w:tcW w:w="3463" w:type="dxa"/>
            <w:tcBorders>
              <w:top w:val="nil"/>
            </w:tcBorders>
            <w:shd w:color="auto" w:fill="auto" w:val="clear"/>
          </w:tcPr>
          <w:p>
            <w:pPr>
              <w:pStyle w:val="BodyText"/>
              <w:widowControl w:val="false"/>
              <w:suppressAutoHyphens w:val="true"/>
              <w:spacing w:before="0" w:after="140"/>
              <w:jc w:val="left"/>
              <w:rPr>
                <w:sz w:val="24"/>
                <w:szCs w:val="24"/>
              </w:rPr>
            </w:pPr>
            <w:r>
              <w:rPr>
                <w:rFonts w:eastAsia="Calibri" w:cs="Tahoma"/>
                <w:color w:val="000000"/>
                <w:kern w:val="0"/>
                <w:sz w:val="24"/>
                <w:szCs w:val="24"/>
                <w:lang w:val="ru-RU" w:eastAsia="en-US" w:bidi="ar-SA"/>
              </w:rPr>
              <w:t>Вид охлаждения</w:t>
            </w:r>
          </w:p>
        </w:tc>
        <w:tc>
          <w:tcPr>
            <w:tcW w:w="5071" w:type="dxa"/>
            <w:tcBorders>
              <w:top w:val="nil"/>
            </w:tcBorders>
            <w:shd w:color="auto" w:fill="auto" w:val="clear"/>
          </w:tcPr>
          <w:p>
            <w:pPr>
              <w:pStyle w:val="BodyText"/>
              <w:widowControl w:val="false"/>
              <w:suppressAutoHyphens w:val="true"/>
              <w:spacing w:before="0" w:after="0"/>
              <w:ind w:hanging="0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принудительное</w:t>
            </w:r>
          </w:p>
        </w:tc>
        <w:tc>
          <w:tcPr>
            <w:tcW w:w="3230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857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6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1.1.5</w:t>
            </w:r>
          </w:p>
        </w:tc>
        <w:tc>
          <w:tcPr>
            <w:tcW w:w="3463" w:type="dxa"/>
            <w:tcBorders>
              <w:top w:val="nil"/>
            </w:tcBorders>
            <w:shd w:color="auto" w:fill="auto" w:val="clear"/>
          </w:tcPr>
          <w:p>
            <w:pPr>
              <w:pStyle w:val="BodyText"/>
              <w:widowControl w:val="false"/>
              <w:suppressAutoHyphens w:val="true"/>
              <w:spacing w:before="0" w:after="140"/>
              <w:jc w:val="left"/>
              <w:rPr>
                <w:sz w:val="24"/>
                <w:szCs w:val="24"/>
              </w:rPr>
            </w:pPr>
            <w:r>
              <w:rPr>
                <w:rFonts w:eastAsia="Calibri" w:cs="Tahoma"/>
                <w:color w:val="000000"/>
                <w:kern w:val="0"/>
                <w:sz w:val="24"/>
                <w:szCs w:val="24"/>
                <w:lang w:val="ru-RU" w:eastAsia="en-US" w:bidi="ar-SA"/>
              </w:rPr>
              <w:t>Максимальная выходная мощность, Вт</w:t>
            </w:r>
          </w:p>
        </w:tc>
        <w:tc>
          <w:tcPr>
            <w:tcW w:w="5071" w:type="dxa"/>
            <w:tcBorders>
              <w:top w:val="nil"/>
            </w:tcBorders>
            <w:shd w:color="auto" w:fill="auto" w:val="clear"/>
          </w:tcPr>
          <w:p>
            <w:pPr>
              <w:pStyle w:val="BodyText"/>
              <w:widowControl w:val="false"/>
              <w:suppressAutoHyphens w:val="true"/>
              <w:spacing w:before="0" w:after="0"/>
              <w:ind w:hanging="0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1600</w:t>
            </w:r>
          </w:p>
        </w:tc>
        <w:tc>
          <w:tcPr>
            <w:tcW w:w="3230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857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6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1.1.6</w:t>
            </w:r>
          </w:p>
        </w:tc>
        <w:tc>
          <w:tcPr>
            <w:tcW w:w="3463" w:type="dxa"/>
            <w:tcBorders>
              <w:top w:val="nil"/>
            </w:tcBorders>
            <w:shd w:color="auto" w:fill="auto" w:val="clear"/>
          </w:tcPr>
          <w:p>
            <w:pPr>
              <w:pStyle w:val="BodyText"/>
              <w:widowControl w:val="false"/>
              <w:suppressAutoHyphens w:val="true"/>
              <w:spacing w:before="0" w:after="140"/>
              <w:jc w:val="left"/>
              <w:rPr>
                <w:sz w:val="24"/>
                <w:szCs w:val="24"/>
              </w:rPr>
            </w:pPr>
            <w:r>
              <w:rPr>
                <w:rFonts w:eastAsia="Calibri" w:cs="Tahoma"/>
                <w:color w:val="000000"/>
                <w:kern w:val="0"/>
                <w:sz w:val="24"/>
                <w:szCs w:val="24"/>
                <w:lang w:val="ru-RU" w:eastAsia="en-US" w:bidi="ar-SA"/>
              </w:rPr>
              <w:t>Количество аккумуляторных батарей подключаемых к ИБП</w:t>
            </w:r>
          </w:p>
        </w:tc>
        <w:tc>
          <w:tcPr>
            <w:tcW w:w="5071" w:type="dxa"/>
            <w:tcBorders>
              <w:top w:val="nil"/>
            </w:tcBorders>
            <w:shd w:color="auto" w:fill="auto" w:val="clear"/>
          </w:tcPr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/>
                <w:color w:val="000000"/>
                <w:kern w:val="0"/>
                <w:sz w:val="24"/>
                <w:szCs w:val="24"/>
                <w:lang w:val="ru-RU" w:eastAsia="en-US" w:bidi="ar-SA"/>
              </w:rPr>
              <w:t>4</w:t>
            </w:r>
          </w:p>
        </w:tc>
        <w:tc>
          <w:tcPr>
            <w:tcW w:w="3230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857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6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1.1.7</w:t>
            </w:r>
          </w:p>
        </w:tc>
        <w:tc>
          <w:tcPr>
            <w:tcW w:w="3463" w:type="dxa"/>
            <w:tcBorders>
              <w:top w:val="nil"/>
            </w:tcBorders>
            <w:shd w:color="auto" w:fill="auto" w:val="clear"/>
          </w:tcPr>
          <w:p>
            <w:pPr>
              <w:pStyle w:val="BodyText"/>
              <w:widowControl w:val="false"/>
              <w:suppressAutoHyphens w:val="true"/>
              <w:spacing w:before="0" w:after="140"/>
              <w:jc w:val="left"/>
              <w:rPr>
                <w:sz w:val="24"/>
                <w:szCs w:val="24"/>
              </w:rPr>
            </w:pPr>
            <w:r>
              <w:rPr>
                <w:rFonts w:eastAsia="Calibri" w:cs="Tahoma"/>
                <w:color w:val="000000"/>
                <w:kern w:val="0"/>
                <w:sz w:val="24"/>
                <w:szCs w:val="24"/>
                <w:lang w:val="ru-RU" w:eastAsia="en-US" w:bidi="ar-SA"/>
              </w:rPr>
              <w:t>Интерфейс</w:t>
            </w:r>
          </w:p>
        </w:tc>
        <w:tc>
          <w:tcPr>
            <w:tcW w:w="5071" w:type="dxa"/>
            <w:tcBorders>
              <w:top w:val="nil"/>
            </w:tcBorders>
            <w:shd w:color="auto" w:fill="auto" w:val="clear"/>
          </w:tcPr>
          <w:p>
            <w:pPr>
              <w:pStyle w:val="BodyText"/>
              <w:widowControl w:val="false"/>
              <w:suppressAutoHyphens w:val="true"/>
              <w:spacing w:before="0" w:after="0"/>
              <w:ind w:hanging="0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RS-232, USB</w:t>
            </w:r>
          </w:p>
        </w:tc>
        <w:tc>
          <w:tcPr>
            <w:tcW w:w="3230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857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69" w:type="dxa"/>
            <w:vMerge w:val="restart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1.1.8</w:t>
            </w:r>
          </w:p>
        </w:tc>
        <w:tc>
          <w:tcPr>
            <w:tcW w:w="3463" w:type="dxa"/>
            <w:vMerge w:val="restart"/>
            <w:tcBorders>
              <w:top w:val="nil"/>
            </w:tcBorders>
            <w:shd w:color="auto" w:fill="auto" w:val="clear"/>
          </w:tcPr>
          <w:p>
            <w:pPr>
              <w:pStyle w:val="BodyText"/>
              <w:widowControl w:val="false"/>
              <w:suppressAutoHyphens w:val="true"/>
              <w:spacing w:before="0" w:after="140"/>
              <w:jc w:val="left"/>
              <w:rPr>
                <w:sz w:val="24"/>
                <w:szCs w:val="24"/>
              </w:rPr>
            </w:pPr>
            <w:r>
              <w:rPr>
                <w:rFonts w:eastAsia="Calibri" w:cs="Tahoma"/>
                <w:color w:val="000000"/>
                <w:kern w:val="0"/>
                <w:sz w:val="24"/>
                <w:szCs w:val="24"/>
                <w:lang w:val="ru-RU" w:eastAsia="en-US" w:bidi="ar-SA"/>
              </w:rPr>
              <w:t>Электронная защита от</w:t>
            </w:r>
          </w:p>
        </w:tc>
        <w:tc>
          <w:tcPr>
            <w:tcW w:w="5071" w:type="dxa"/>
            <w:tcBorders>
              <w:top w:val="nil"/>
            </w:tcBorders>
            <w:shd w:color="auto" w:fill="auto" w:val="clear"/>
          </w:tcPr>
          <w:p>
            <w:pPr>
              <w:pStyle w:val="BodyText"/>
              <w:widowControl w:val="false"/>
              <w:suppressAutoHyphens w:val="true"/>
              <w:spacing w:before="0" w:after="0"/>
              <w:ind w:hanging="0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перегрузки ИБП</w:t>
            </w:r>
          </w:p>
        </w:tc>
        <w:tc>
          <w:tcPr>
            <w:tcW w:w="3230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857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69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463" w:type="dxa"/>
            <w:vMerge w:val="continue"/>
            <w:tcBorders>
              <w:top w:val="nil"/>
            </w:tcBorders>
            <w:shd w:color="auto" w:fill="auto" w:val="clear"/>
          </w:tcPr>
          <w:p>
            <w:pPr>
              <w:pStyle w:val="BodyText"/>
              <w:widowControl w:val="false"/>
              <w:suppressAutoHyphens w:val="true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071" w:type="dxa"/>
            <w:tcBorders>
              <w:top w:val="nil"/>
            </w:tcBorders>
            <w:shd w:color="auto" w:fill="auto" w:val="clear"/>
          </w:tcPr>
          <w:p>
            <w:pPr>
              <w:pStyle w:val="BodyText"/>
              <w:widowControl w:val="false"/>
              <w:suppressAutoHyphens w:val="true"/>
              <w:spacing w:before="0" w:after="0"/>
              <w:ind w:hanging="0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перегрева ИБП</w:t>
            </w:r>
          </w:p>
        </w:tc>
        <w:tc>
          <w:tcPr>
            <w:tcW w:w="3230" w:type="dxa"/>
            <w:vMerge w:val="continue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857" w:type="dxa"/>
            <w:vMerge w:val="continue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69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463" w:type="dxa"/>
            <w:vMerge w:val="continue"/>
            <w:tcBorders>
              <w:top w:val="nil"/>
            </w:tcBorders>
            <w:shd w:color="auto" w:fill="auto" w:val="clear"/>
          </w:tcPr>
          <w:p>
            <w:pPr>
              <w:pStyle w:val="BodyText"/>
              <w:widowControl w:val="false"/>
              <w:suppressAutoHyphens w:val="true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071" w:type="dxa"/>
            <w:tcBorders>
              <w:top w:val="nil"/>
            </w:tcBorders>
            <w:shd w:color="auto" w:fill="auto" w:val="clear"/>
          </w:tcPr>
          <w:p>
            <w:pPr>
              <w:pStyle w:val="BodyText"/>
              <w:widowControl w:val="false"/>
              <w:suppressAutoHyphens w:val="true"/>
              <w:spacing w:before="0" w:after="0"/>
              <w:ind w:hanging="0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КЗ</w:t>
            </w:r>
          </w:p>
        </w:tc>
        <w:tc>
          <w:tcPr>
            <w:tcW w:w="3230" w:type="dxa"/>
            <w:vMerge w:val="continue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857" w:type="dxa"/>
            <w:vMerge w:val="continue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69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463" w:type="dxa"/>
            <w:vMerge w:val="continue"/>
            <w:tcBorders>
              <w:top w:val="nil"/>
            </w:tcBorders>
            <w:shd w:color="auto" w:fill="auto" w:val="clear"/>
          </w:tcPr>
          <w:p>
            <w:pPr>
              <w:pStyle w:val="BodyText"/>
              <w:widowControl w:val="false"/>
              <w:suppressAutoHyphens w:val="true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071" w:type="dxa"/>
            <w:tcBorders>
              <w:top w:val="nil"/>
            </w:tcBorders>
            <w:shd w:color="auto" w:fill="auto" w:val="clear"/>
          </w:tcPr>
          <w:p>
            <w:pPr>
              <w:pStyle w:val="BodyText"/>
              <w:widowControl w:val="false"/>
              <w:suppressAutoHyphens w:val="true"/>
              <w:spacing w:before="0" w:after="0"/>
              <w:ind w:hanging="0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глубокого разряда АБ</w:t>
            </w:r>
          </w:p>
        </w:tc>
        <w:tc>
          <w:tcPr>
            <w:tcW w:w="3230" w:type="dxa"/>
            <w:vMerge w:val="continue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857" w:type="dxa"/>
            <w:vMerge w:val="continue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69" w:type="dxa"/>
            <w:vMerge w:val="restart"/>
            <w:tcBorders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1.1.9</w:t>
            </w:r>
          </w:p>
        </w:tc>
        <w:tc>
          <w:tcPr>
            <w:tcW w:w="3463" w:type="dxa"/>
            <w:vMerge w:val="restart"/>
            <w:tcBorders/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BodyText"/>
              <w:widowControl w:val="false"/>
              <w:suppressAutoHyphens w:val="true"/>
              <w:spacing w:before="0" w:after="140"/>
              <w:jc w:val="left"/>
              <w:rPr>
                <w:sz w:val="24"/>
                <w:szCs w:val="24"/>
              </w:rPr>
            </w:pPr>
            <w:r>
              <w:rPr>
                <w:rFonts w:eastAsia="Calibri" w:cs="Tahoma"/>
                <w:color w:val="000000"/>
                <w:kern w:val="0"/>
                <w:sz w:val="24"/>
                <w:szCs w:val="24"/>
                <w:lang w:val="ru-RU" w:eastAsia="en-US" w:bidi="ar-SA"/>
              </w:rPr>
              <w:t>Подключение нагрузки</w:t>
            </w:r>
          </w:p>
        </w:tc>
        <w:tc>
          <w:tcPr>
            <w:tcW w:w="5071" w:type="dxa"/>
            <w:tcBorders>
              <w:top w:val="nil"/>
            </w:tcBorders>
            <w:shd w:color="auto" w:fill="auto" w:val="clear"/>
          </w:tcPr>
          <w:p>
            <w:pPr>
              <w:pStyle w:val="BodyText"/>
              <w:widowControl w:val="false"/>
              <w:suppressAutoHyphens w:val="true"/>
              <w:spacing w:before="0" w:after="0"/>
              <w:ind w:hanging="0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компьютерная розетка- 4 шт</w:t>
            </w:r>
          </w:p>
        </w:tc>
        <w:tc>
          <w:tcPr>
            <w:tcW w:w="3230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857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69" w:type="dxa"/>
            <w:vMerge w:val="continue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463" w:type="dxa"/>
            <w:vMerge w:val="continue"/>
            <w:tcBorders>
              <w:top w:val="nil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BodyText"/>
              <w:widowControl w:val="false"/>
              <w:suppressAutoHyphens w:val="true"/>
              <w:spacing w:before="0" w:after="1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071" w:type="dxa"/>
            <w:tcBorders>
              <w:top w:val="nil"/>
            </w:tcBorders>
            <w:shd w:color="auto" w:fill="auto" w:val="clear"/>
          </w:tcPr>
          <w:p>
            <w:pPr>
              <w:pStyle w:val="BodyText"/>
              <w:widowControl w:val="false"/>
              <w:suppressAutoHyphens w:val="true"/>
              <w:spacing w:before="0" w:after="0"/>
              <w:ind w:hanging="0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клеммная колодка -1 шт</w:t>
            </w:r>
          </w:p>
        </w:tc>
        <w:tc>
          <w:tcPr>
            <w:tcW w:w="3230" w:type="dxa"/>
            <w:vMerge w:val="continue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857" w:type="dxa"/>
            <w:vMerge w:val="continue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6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853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60" w:after="0"/>
              <w:jc w:val="left"/>
              <w:rPr>
                <w:sz w:val="24"/>
                <w:szCs w:val="24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3230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857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6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463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Гарантия, не менее</w:t>
            </w:r>
          </w:p>
        </w:tc>
        <w:tc>
          <w:tcPr>
            <w:tcW w:w="50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На Продукцию устанавливается гарантийный срок, равный 36 (Тридцать шесть) месяцев, исчисляемый с даты ввода Продукции в эксплуатацию, но не более 42 (Сорок два) месяцев с даты подписания Сторонами товарной накладной по форме ТОРГ-12 или Универсального передаточного документа (УПД)</w:t>
            </w:r>
          </w:p>
        </w:tc>
        <w:tc>
          <w:tcPr>
            <w:tcW w:w="3230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857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6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853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Условия выполнения гарантийных обязательств поставщика или производителя не должны включать требование привлечения, специально аккредитованных производителем организаций или специалистов.</w:t>
            </w:r>
          </w:p>
        </w:tc>
        <w:tc>
          <w:tcPr>
            <w:tcW w:w="3230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857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6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853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60" w:after="0"/>
              <w:jc w:val="left"/>
              <w:rPr>
                <w:sz w:val="24"/>
                <w:szCs w:val="24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3230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857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6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463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Паспорт качества</w:t>
            </w:r>
          </w:p>
        </w:tc>
        <w:tc>
          <w:tcPr>
            <w:tcW w:w="50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1 экземпляра</w:t>
            </w:r>
          </w:p>
        </w:tc>
        <w:tc>
          <w:tcPr>
            <w:tcW w:w="3230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857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6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463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Сертификат страны происхождения (РФ)</w:t>
            </w:r>
          </w:p>
        </w:tc>
        <w:tc>
          <w:tcPr>
            <w:tcW w:w="50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1 экземпляра</w:t>
            </w:r>
          </w:p>
        </w:tc>
        <w:tc>
          <w:tcPr>
            <w:tcW w:w="3230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857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6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463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Упаковочный лист</w:t>
            </w:r>
          </w:p>
        </w:tc>
        <w:tc>
          <w:tcPr>
            <w:tcW w:w="50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1 экземпляра</w:t>
            </w:r>
          </w:p>
        </w:tc>
        <w:tc>
          <w:tcPr>
            <w:tcW w:w="3230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857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6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463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tabs>
                <w:tab w:val="clear" w:pos="708"/>
                <w:tab w:val="left" w:pos="851" w:leader="none"/>
                <w:tab w:val="left" w:pos="900" w:leader="none"/>
                <w:tab w:val="left" w:pos="1134" w:leader="none"/>
                <w:tab w:val="left" w:pos="1276" w:leader="none"/>
              </w:tabs>
              <w:spacing w:before="0" w:after="120"/>
              <w:ind w:hanging="0" w:left="0" w:right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lang w:val="ru-RU" w:eastAsia="ru-RU" w:bidi="ar-SA"/>
              </w:rPr>
              <w:t>иные документы предусмотренные п 3.3 договора</w:t>
            </w:r>
          </w:p>
        </w:tc>
        <w:tc>
          <w:tcPr>
            <w:tcW w:w="50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2 шт.</w:t>
            </w:r>
          </w:p>
        </w:tc>
        <w:tc>
          <w:tcPr>
            <w:tcW w:w="3230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eastAsia="Times New Roman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</w:r>
          </w:p>
        </w:tc>
        <w:tc>
          <w:tcPr>
            <w:tcW w:w="2857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6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853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3230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857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6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46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Место поставки</w:t>
            </w:r>
          </w:p>
        </w:tc>
        <w:tc>
          <w:tcPr>
            <w:tcW w:w="5071" w:type="dxa"/>
            <w:tcBorders/>
          </w:tcPr>
          <w:p>
            <w:pPr>
              <w:pStyle w:val="ListParagraph"/>
              <w:widowControl w:val="false"/>
              <w:numPr>
                <w:ilvl w:val="1"/>
              </w:numPr>
              <w:shd w:val="clear" w:fill="FFFFFF"/>
              <w:tabs>
                <w:tab w:val="clear" w:pos="708"/>
                <w:tab w:val="left" w:pos="142" w:leader="none"/>
                <w:tab w:val="left" w:pos="540" w:leader="none"/>
              </w:tabs>
              <w:spacing w:before="0" w:after="0"/>
              <w:ind w:hanging="0" w:left="0" w:right="0"/>
              <w:contextualSpacing w:val="false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lang w:val="ru-RU" w:eastAsia="ru-RU" w:bidi="ar-SA"/>
              </w:rPr>
              <w:t>357007, Ставропольский край, Кочубеевский р-н, с. Кочубеевское, АВТОДОРОГА «КАВКАЗ» 246КМ+1200М(СПРАВА)</w:t>
            </w:r>
          </w:p>
        </w:tc>
        <w:tc>
          <w:tcPr>
            <w:tcW w:w="3230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857" w:type="dxa"/>
            <w:vMerge w:val="continue"/>
            <w:tcBorders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6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8534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Условия поставки за счет средств Поставщика</w:t>
            </w:r>
          </w:p>
        </w:tc>
        <w:tc>
          <w:tcPr>
            <w:tcW w:w="3230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857" w:type="dxa"/>
            <w:vMerge w:val="continue"/>
            <w:tcBorders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69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8534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shd w:fill="auto" w:val="clear"/>
                <w:lang w:eastAsia="ru-RU"/>
              </w:rPr>
              <w:t>Продукция должна быть новой, не бывшей в употреблении</w:t>
            </w:r>
          </w:p>
        </w:tc>
        <w:tc>
          <w:tcPr>
            <w:tcW w:w="3230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857" w:type="dxa"/>
            <w:vMerge w:val="continue"/>
            <w:tcBorders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69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8534" w:type="dxa"/>
            <w:gridSpan w:val="2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bidi w:val="0"/>
              <w:spacing w:lineRule="auto" w:line="259" w:before="0" w:after="200"/>
              <w:ind w:hanging="0" w:left="57" w:right="0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fill="auto" w:val="clear"/>
                <w:lang w:eastAsia="ru-RU"/>
              </w:rPr>
              <w:t xml:space="preserve">Доставка оборудования должна соответствовать установленным требованиям. 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Продукция должна поставляться в пригодной для транспортировки упаковке, которая может защитить его от воздействия внешних условий, таких как вода, пыль и т.п., в соответствии с ГОСТ Р 51908-2002 «Общие требования к машинам, приборам и другим техническим изделиям в части условий хранения и транспортирования». Упаковка должна обеспечивать полную сохранность продукции на весь срок его транспортировки с учетом перегрузок и длительного хранения.</w:t>
            </w:r>
          </w:p>
        </w:tc>
        <w:tc>
          <w:tcPr>
            <w:tcW w:w="3230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857" w:type="dxa"/>
            <w:vMerge w:val="continue"/>
            <w:tcBorders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</w:tbl>
    <w:p>
      <w:pPr>
        <w:pStyle w:val="Normal"/>
        <w:keepNext w:val="true"/>
        <w:keepLines/>
        <w:numPr>
          <w:ilvl w:val="0"/>
          <w:numId w:val="0"/>
        </w:numPr>
        <w:spacing w:before="120" w:after="0"/>
        <w:ind w:hanging="0" w:left="0"/>
        <w:contextualSpacing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before="120" w:after="0"/>
        <w:ind w:hanging="0" w:left="0"/>
        <w:contextualSpacing/>
        <w:jc w:val="center"/>
        <w:outlineLvl w:val="0"/>
        <w:rPr>
          <w:sz w:val="24"/>
          <w:szCs w:val="24"/>
        </w:rPr>
      </w:pPr>
      <w:r>
        <w:rPr>
          <w:sz w:val="24"/>
          <w:szCs w:val="24"/>
          <w:lang w:val="ru-RU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Fonts w:ascii="Times New Roman" w:hAnsi="Times New Roman"/>
          <w:b w:val="false"/>
          <w:bCs/>
          <w:iCs/>
          <w:sz w:val="24"/>
          <w:szCs w:val="24"/>
        </w:rPr>
      </w:pPr>
      <w:r>
        <w:rPr>
          <w:b w:val="false"/>
          <w:bCs/>
          <w:iCs/>
          <w:sz w:val="24"/>
          <w:szCs w:val="24"/>
        </w:rPr>
      </w:r>
    </w:p>
    <w:p>
      <w:pPr>
        <w:pStyle w:val="Normal"/>
        <w:spacing w:before="0" w:after="120"/>
        <w:rPr>
          <w:rFonts w:ascii="Times New Roman" w:hAnsi="Times New Roman"/>
          <w:b w:val="false"/>
          <w:bCs/>
          <w:iCs/>
          <w:caps/>
          <w:sz w:val="24"/>
          <w:szCs w:val="24"/>
        </w:rPr>
      </w:pPr>
      <w:r>
        <w:rPr>
          <w:b w:val="false"/>
          <w:bCs/>
          <w:iCs/>
          <w:caps/>
          <w:sz w:val="24"/>
          <w:szCs w:val="24"/>
        </w:rPr>
      </w:r>
    </w:p>
    <w:sectPr>
      <w:headerReference w:type="default" r:id="rId5"/>
      <w:headerReference w:type="first" r:id="rId6"/>
      <w:type w:val="nextPage"/>
      <w:pgSz w:orient="landscape" w:w="16838" w:h="11906"/>
      <w:pgMar w:left="992" w:right="567" w:gutter="0" w:header="680" w:top="851" w:footer="0" w:bottom="851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 w:val="fals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04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qFormat/>
    <w:rsid w:val="004f0b32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1"/>
      </w:num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4f0b32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4f0b32"/>
    <w:rPr>
      <w:color w:val="605E5C"/>
      <w:shd w:fill="E1DFDD" w:val="clear"/>
    </w:rPr>
  </w:style>
  <w:style w:type="character" w:styleId="Style14">
    <w:name w:val="Ссылка указателя"/>
    <w:qFormat/>
    <w:rPr/>
  </w:style>
  <w:style w:type="character" w:styleId="Style15">
    <w:name w:val="Маркеры"/>
    <w:qFormat/>
    <w:rPr>
      <w:rFonts w:ascii="OpenSymbol" w:hAnsi="OpenSymbol" w:eastAsia="OpenSymbol" w:cs="OpenSymbol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 Unicode MS"/>
    </w:rPr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e2850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hanging="0" w:left="280"/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4">
    <w:name w:val="Содержимое врезки"/>
    <w:basedOn w:val="Normal"/>
    <w:qFormat/>
    <w:pPr/>
    <w:rPr/>
  </w:style>
  <w:style w:type="paragraph" w:styleId="Style35">
    <w:name w:val="Содержимое таблицы"/>
    <w:basedOn w:val="Normal"/>
    <w:qFormat/>
    <w:pPr>
      <w:widowControl w:val="false"/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D429C3-1F79-4F0A-990A-76A7E86E0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Application>AlterOffice/2026.2.1.0$Linux_X86_64 LibreOffice_project/f008988ffacaa0b2bf57911c2759d08ca79831df</Application>
  <AppVersion>15.0000</AppVersion>
  <Pages>6</Pages>
  <Words>621</Words>
  <Characters>4158</Characters>
  <CharactersWithSpaces>4641</CharactersWithSpaces>
  <Paragraphs>134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2021-04-04T12:37:00Z</dcterms:created>
  <dc:creator>Быстров Олег Геннадьевич</dc:creator>
  <dc:description/>
  <dc:language>ru-RU</dc:language>
  <cp:lastModifiedBy>velikosvyatnn@corp.gidroogk.com</cp:lastModifiedBy>
  <cp:lastPrinted>2006-07-26T14:04:00Z</cp:lastPrinted>
  <dcterms:modified xsi:type="dcterms:W3CDTF">2026-09-16T18:26:33Z</dcterms:modified>
  <cp:revision>31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