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docx" ContentType="application/vnd.openxmlformats-officedocument.wordprocessingml.document"/>
  <Override PartName="/word/embeddings/oleObject5.docx" ContentType="application/vnd.openxmlformats-officedocument.wordprocessingml.document"/>
  <Override PartName="/word/embeddings/oleObject6.docx" ContentType="application/vnd.openxmlformats-officedocument.wordprocessingml.document"/>
  <Override PartName="/word/embeddings/oleObject7.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7.wmf" ContentType="image/x-wmf"/>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pacing w:lineRule="auto" w:line="240" w:before="5400" w:after="120"/>
        <w:jc w:val="center"/>
        <w:rPr>
          <w:rFonts w:ascii="Times New Roman" w:hAnsi="Times New Roman" w:eastAsia="Calibri" w:cs="Times New Roman"/>
          <w:b/>
          <w:caps/>
          <w:sz w:val="24"/>
          <w:szCs w:val="24"/>
          <w:lang w:eastAsia="ru-RU"/>
        </w:rPr>
      </w:pPr>
      <w:r>
        <w:rPr>
          <w:rFonts w:eastAsia="Calibri" w:cs="Times New Roman" w:ascii="Times New Roman" w:hAnsi="Times New Roman"/>
          <w:b/>
          <w:caps/>
          <w:sz w:val="24"/>
          <w:szCs w:val="24"/>
          <w:lang w:eastAsia="ru-RU"/>
        </w:rPr>
        <w:t>Технические требования</w:t>
      </w:r>
    </w:p>
    <w:p>
      <w:pPr>
        <w:pStyle w:val="Normal"/>
        <w:keepNext w:val="true"/>
        <w:keepLines/>
        <w:spacing w:lineRule="auto" w:line="240" w:before="240" w:after="240"/>
        <w:jc w:val="center"/>
        <w:rPr>
          <w:rFonts w:ascii="Times New Roman" w:hAnsi="Times New Roman" w:cs="Times New Roman"/>
          <w:caps/>
          <w:sz w:val="24"/>
          <w:szCs w:val="24"/>
        </w:rPr>
      </w:pPr>
      <w:r>
        <w:rPr>
          <w:rFonts w:cs="Times New Roman" w:ascii="Times New Roman" w:hAnsi="Times New Roman"/>
          <w:caps/>
          <w:sz w:val="24"/>
          <w:szCs w:val="24"/>
        </w:rPr>
        <w:t>ОКПД2 26.30.11.139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w:t>
      </w:r>
      <w:r>
        <w:rPr/>
        <w:t xml:space="preserve">. </w:t>
      </w:r>
      <w:r>
        <w:rPr>
          <w:rFonts w:cs="Times New Roman" w:ascii="Times New Roman" w:hAnsi="Times New Roman"/>
          <w:caps/>
          <w:sz w:val="24"/>
          <w:szCs w:val="24"/>
        </w:rPr>
        <w:t xml:space="preserve">Красноярский край, Кежемский муниципальный округ, Богучанская ГЭС на р. Ангара. </w:t>
      </w:r>
    </w:p>
    <w:p>
      <w:pPr>
        <w:pStyle w:val="Normal"/>
        <w:keepNext w:val="true"/>
        <w:keepLines/>
        <w:spacing w:lineRule="auto" w:line="240" w:before="240" w:after="240"/>
        <w:jc w:val="center"/>
        <w:rPr>
          <w:rFonts w:ascii="Times New Roman" w:hAnsi="Times New Roman" w:eastAsia="Calibri" w:cs="Times New Roman"/>
          <w:b/>
          <w:caps/>
          <w:sz w:val="24"/>
          <w:szCs w:val="24"/>
          <w:lang w:eastAsia="ru-RU"/>
        </w:rPr>
      </w:pPr>
      <w:r>
        <w:rPr>
          <w:rFonts w:eastAsia="Calibri" w:cs="Times New Roman" w:ascii="Times New Roman" w:hAnsi="Times New Roman"/>
          <w:b/>
          <w:caps/>
          <w:sz w:val="24"/>
          <w:szCs w:val="24"/>
          <w:lang w:eastAsia="ru-RU"/>
        </w:rPr>
        <w:t xml:space="preserve">Лот </w:t>
      </w:r>
      <w:r>
        <w:rPr>
          <w:rStyle w:val="Strong"/>
          <w:rFonts w:eastAsia="Calibri" w:cs="Times New Roman" w:ascii="Times New Roman" w:hAnsi="Times New Roman"/>
          <w:caps/>
          <w:sz w:val="24"/>
          <w:szCs w:val="24"/>
          <w:lang w:eastAsia="ru-RU"/>
        </w:rPr>
        <w:t>0054-ТПиР ИТ ДОХ-2026-РГЦР</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r>
        <w:br w:type="page"/>
      </w:r>
    </w:p>
    <w:p>
      <w:pPr>
        <w:pStyle w:val="Normal"/>
        <w:keepNext w:val="true"/>
        <w:numPr>
          <w:ilvl w:val="0"/>
          <w:numId w:val="3"/>
        </w:numPr>
        <w:spacing w:lineRule="auto" w:line="240" w:before="120" w:after="60"/>
        <w:ind w:hanging="0" w:left="0"/>
        <w:jc w:val="center"/>
        <w:outlineLvl w:val="0"/>
        <w:rPr>
          <w:rFonts w:ascii="Times New Roman" w:hAnsi="Times New Roman" w:eastAsia="Calibri" w:cs="Times New Roman"/>
          <w:b/>
          <w:caps/>
          <w:sz w:val="28"/>
          <w:szCs w:val="28"/>
          <w:lang w:eastAsia="x-none"/>
        </w:rPr>
      </w:pPr>
      <w:bookmarkStart w:id="0" w:name="_Toc193878080"/>
      <w:r>
        <w:rPr>
          <w:rFonts w:eastAsia="Calibri" w:cs="Times New Roman" w:ascii="Times New Roman" w:hAnsi="Times New Roman"/>
          <w:b/>
          <w:sz w:val="28"/>
          <w:szCs w:val="28"/>
          <w:lang w:eastAsia="x-none"/>
        </w:rPr>
        <w:t xml:space="preserve"> </w:t>
      </w:r>
      <w:r>
        <w:rPr>
          <w:rFonts w:eastAsia="Calibri" w:cs="Times New Roman" w:ascii="Times New Roman" w:hAnsi="Times New Roman"/>
          <w:b/>
          <w:sz w:val="28"/>
          <w:szCs w:val="28"/>
          <w:lang w:eastAsia="x-none"/>
        </w:rPr>
        <w:t>Общие сведения</w:t>
      </w:r>
      <w:bookmarkEnd w:id="0"/>
    </w:p>
    <w:p>
      <w:pPr>
        <w:pStyle w:val="Heading4"/>
        <w:numPr>
          <w:ilvl w:val="1"/>
          <w:numId w:val="3"/>
        </w:numPr>
        <w:ind w:hanging="709" w:left="709"/>
        <w:rPr>
          <w:lang w:val="ru-RU"/>
        </w:rPr>
      </w:pPr>
      <w:bookmarkStart w:id="1" w:name="_Toc130201860"/>
      <w:bookmarkStart w:id="2" w:name="_Toc46743505"/>
      <w:bookmarkStart w:id="3" w:name="_Toc193878081"/>
      <w:r>
        <w:rPr>
          <w:lang w:val="ru-RU"/>
        </w:rPr>
        <w:t>Обозначения и сокращения</w:t>
      </w:r>
      <w:bookmarkEnd w:id="1"/>
      <w:bookmarkEnd w:id="2"/>
      <w:bookmarkEnd w:id="3"/>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2200"/>
        <w:gridCol w:w="7720"/>
      </w:tblGrid>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АСУ</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Автоматизированная система управления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iCs/>
                <w:sz w:val="24"/>
                <w:szCs w:val="24"/>
                <w:lang w:eastAsia="ru-RU"/>
              </w:rPr>
              <w:t>АСУТП</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Автоматизированная система управления технологическим процессом</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rPr>
                <w:rFonts w:ascii="Times New Roman" w:hAnsi="Times New Roman" w:eastAsia="Times New Roman" w:cs="Times New Roman"/>
                <w:iCs/>
                <w:sz w:val="24"/>
                <w:szCs w:val="24"/>
                <w:lang w:eastAsia="ru-RU"/>
              </w:rPr>
            </w:pPr>
            <w:r>
              <w:rPr>
                <w:rFonts w:eastAsia="Times New Roman" w:cs="Times New Roman" w:ascii="Times New Roman" w:hAnsi="Times New Roman"/>
                <w:iCs/>
                <w:sz w:val="24"/>
                <w:szCs w:val="24"/>
                <w:lang w:eastAsia="ru-RU"/>
              </w:rPr>
              <w:t>ВУ</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Верхний уровень</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ЕСКД</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Единая система конструкторской документации</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Заказчик</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ООО «РГЦР»</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iCs/>
                <w:sz w:val="24"/>
                <w:szCs w:val="24"/>
                <w:lang w:eastAsia="ru-RU"/>
              </w:rPr>
              <w:t>ЗЗИ</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Задание заводу изготовителю</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sz w:val="24"/>
                <w:szCs w:val="24"/>
                <w:lang w:eastAsia="ru-RU"/>
              </w:rPr>
              <w:t>ИС</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Информационная система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iCs/>
                <w:sz w:val="24"/>
                <w:szCs w:val="24"/>
                <w:lang w:eastAsia="ru-RU"/>
              </w:rPr>
              <w:t>КД</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Конструкторская документация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iCs/>
                <w:sz w:val="24"/>
                <w:szCs w:val="24"/>
                <w:lang w:eastAsia="ru-RU"/>
              </w:rPr>
            </w:pPr>
            <w:r>
              <w:rPr>
                <w:rFonts w:eastAsia="Times New Roman" w:cs="Times New Roman" w:ascii="Times New Roman" w:hAnsi="Times New Roman"/>
                <w:iCs/>
                <w:sz w:val="24"/>
                <w:szCs w:val="24"/>
                <w:lang w:eastAsia="ru-RU"/>
              </w:rPr>
              <w:t>КСПД</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Корпоративная сеть передачи данных</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iCs/>
                <w:sz w:val="24"/>
                <w:szCs w:val="24"/>
                <w:lang w:eastAsia="ru-RU"/>
              </w:rPr>
            </w:pPr>
            <w:r>
              <w:rPr>
                <w:rFonts w:eastAsia="Times New Roman" w:cs="Times New Roman" w:ascii="Times New Roman" w:hAnsi="Times New Roman"/>
                <w:iCs/>
                <w:sz w:val="24"/>
                <w:szCs w:val="24"/>
                <w:lang w:eastAsia="ru-RU"/>
              </w:rPr>
              <w:t>KKS</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sz w:val="24"/>
                <w:szCs w:val="24"/>
                <w:lang w:eastAsia="ru-RU"/>
              </w:rPr>
            </w:pPr>
            <w:r>
              <w:rPr>
                <w:rFonts w:cs="Times New Roman" w:ascii="Times New Roman" w:hAnsi="Times New Roman"/>
                <w:color w:val="000000"/>
                <w:sz w:val="24"/>
                <w:szCs w:val="24"/>
                <w:shd w:fill="FFFFFF" w:val="clear"/>
              </w:rPr>
              <w:t xml:space="preserve">Система унифицированного кодирования </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Комплект ЗИП</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Набор запасных частей, инструментов, принадлежностей и расходных материалов, необходимых для обеспечения функционирования, технического обслуживания и ремонта объекта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sz w:val="24"/>
                <w:szCs w:val="24"/>
                <w:lang w:eastAsia="ru-RU"/>
              </w:rPr>
              <w:t>МТР</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Материально-технические ресурсы</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Объект</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Богучанская ГЭС</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ПЛК</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Программируемый логический контроллер</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iCs/>
                <w:sz w:val="24"/>
                <w:szCs w:val="24"/>
                <w:lang w:eastAsia="ru-RU"/>
              </w:rPr>
              <w:t>ПНР</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Пусконаладочные работы</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ПТК</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Программно-технический комплекс</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ПО</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Программное обеспечение</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Поставщик</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Победитель закупочной процедуры получивший право заключения договора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ППО</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Прикладное программное обеспечение</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Times New Roman" w:ascii="Times New Roman" w:hAnsi="Times New Roman"/>
                <w:sz w:val="24"/>
                <w:szCs w:val="24"/>
                <w:lang w:eastAsia="ru-RU"/>
              </w:rPr>
              <w:t>Производитель</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both"/>
              <w:rPr>
                <w:rFonts w:ascii="Times New Roman" w:hAnsi="Times New Roman" w:eastAsia="Times New Roman" w:cs="Calibri"/>
                <w:sz w:val="24"/>
                <w:szCs w:val="24"/>
                <w:lang w:eastAsia="ru-RU"/>
              </w:rPr>
            </w:pPr>
            <w:r>
              <w:rPr>
                <w:rFonts w:eastAsia="Times New Roman" w:cs="Times New Roman" w:ascii="Times New Roman" w:hAnsi="Times New Roman"/>
                <w:sz w:val="24"/>
                <w:szCs w:val="24"/>
                <w:lang w:eastAsia="ru-RU"/>
              </w:rPr>
              <w:t>Физическое или юридическое лицо, обладающее полным спектром вещных прав на продукцию, выпускающее ее под своей торговой маркой самостоятельно (либо с привлечением услуг маркировщиков, упаковщиков, проектировщиков и изготовителей) и несущее полную ответственность за соблюдение требований безопасности, установленных в конкретной отрасли. Информация о нем в обязательном порядке указывается на продукции и доводится до Потребителя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iCs/>
                <w:sz w:val="24"/>
                <w:szCs w:val="24"/>
                <w:lang w:eastAsia="ru-RU"/>
              </w:rPr>
              <w:t>РД</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Рабочая документация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iCs/>
                <w:sz w:val="24"/>
                <w:szCs w:val="24"/>
                <w:lang w:eastAsia="ru-RU"/>
              </w:rPr>
            </w:pPr>
            <w:r>
              <w:rPr>
                <w:rFonts w:eastAsia="Times New Roman" w:cs="Calibri" w:ascii="Times New Roman" w:hAnsi="Times New Roman"/>
                <w:iCs/>
                <w:sz w:val="24"/>
                <w:szCs w:val="24"/>
                <w:lang w:eastAsia="ru-RU"/>
              </w:rPr>
              <w:t>РП</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Рабочий проект</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САУ</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Система автоматического управления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СИ</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Средство измерений</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СОТИАССО</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Система обмена технологической информацией с автоматизированной системой системного оператора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СУ</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Система управления</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ТТ</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Техническое требование</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ТЗ</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pPr>
            <w:r>
              <w:rPr>
                <w:rFonts w:eastAsia="Times New Roman" w:cs="Calibri" w:ascii="Times New Roman" w:hAnsi="Times New Roman"/>
                <w:sz w:val="24"/>
                <w:szCs w:val="24"/>
                <w:lang w:eastAsia="ru-RU"/>
              </w:rPr>
              <w:t>Техническое задание</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ТРП</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Техно-рабочий проект</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ТС</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iCs/>
                <w:sz w:val="24"/>
                <w:szCs w:val="24"/>
                <w:lang w:eastAsia="ru-RU"/>
              </w:rPr>
              <w:t>Технологическая система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ТП</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Технологический процесс</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УСО</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Устройство связи с объектом</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Х</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Дата подписания договора</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ЦОД</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Центр обработки данных</w:t>
            </w:r>
          </w:p>
        </w:tc>
      </w:tr>
      <w:tr>
        <w:trPr>
          <w:cantSplit w:val="true"/>
        </w:trPr>
        <w:tc>
          <w:tcPr>
            <w:tcW w:w="22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ЭТО</w:t>
            </w:r>
          </w:p>
        </w:tc>
        <w:tc>
          <w:tcPr>
            <w:tcW w:w="77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Calibri"/>
                <w:sz w:val="24"/>
                <w:szCs w:val="24"/>
                <w:lang w:eastAsia="ru-RU"/>
              </w:rPr>
            </w:pPr>
            <w:r>
              <w:rPr>
                <w:rFonts w:eastAsia="Times New Roman" w:cs="Calibri" w:ascii="Times New Roman" w:hAnsi="Times New Roman"/>
                <w:sz w:val="24"/>
                <w:szCs w:val="24"/>
                <w:lang w:eastAsia="ru-RU"/>
              </w:rPr>
              <w:t>Электротехническое оборудование</w:t>
            </w:r>
          </w:p>
        </w:tc>
      </w:tr>
    </w:tbl>
    <w:p>
      <w:pPr>
        <w:pStyle w:val="Normal"/>
        <w:rPr/>
      </w:pPr>
      <w:r>
        <w:rPr/>
      </w:r>
      <w:r>
        <w:br w:type="page"/>
      </w:r>
    </w:p>
    <w:p>
      <w:pPr>
        <w:pStyle w:val="Heading4"/>
        <w:numPr>
          <w:ilvl w:val="1"/>
          <w:numId w:val="3"/>
        </w:numPr>
        <w:ind w:hanging="709" w:left="709"/>
        <w:rPr>
          <w:lang w:val="ru-RU"/>
        </w:rPr>
      </w:pPr>
      <w:bookmarkStart w:id="4" w:name="_Toc130201861"/>
      <w:bookmarkStart w:id="5" w:name="_Toc193878082"/>
      <w:r>
        <w:rPr>
          <w:lang w:val="ru-RU"/>
        </w:rPr>
        <w:t>Наименование закупаемой продукции</w:t>
      </w:r>
      <w:bookmarkEnd w:id="4"/>
      <w:bookmarkEnd w:id="5"/>
    </w:p>
    <w:p>
      <w:pPr>
        <w:pStyle w:val="Normal"/>
        <w:spacing w:lineRule="auto" w:line="240" w:before="0" w:after="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(Лот № </w:t>
      </w:r>
      <w:r>
        <w:rPr>
          <w:rStyle w:val="Strong"/>
          <w:rFonts w:eastAsia="Calibri" w:cs="Times New Roman" w:ascii="Times New Roman" w:hAnsi="Times New Roman"/>
          <w:b w:val="false"/>
          <w:bCs w:val="false"/>
          <w:sz w:val="24"/>
          <w:szCs w:val="24"/>
          <w:lang w:eastAsia="ru-RU"/>
        </w:rPr>
        <w:t>0054-ТПиР ИТ ДОХ-2026-РГЦР</w:t>
      </w:r>
      <w:r>
        <w:rPr>
          <w:rFonts w:eastAsia="Calibri" w:cs="Times New Roman" w:ascii="Times New Roman" w:hAnsi="Times New Roman"/>
          <w:sz w:val="24"/>
          <w:szCs w:val="24"/>
          <w:lang w:eastAsia="ru-RU"/>
        </w:rPr>
        <w:t>).</w:t>
      </w:r>
    </w:p>
    <w:p>
      <w:pPr>
        <w:pStyle w:val="Heading4"/>
        <w:numPr>
          <w:ilvl w:val="1"/>
          <w:numId w:val="3"/>
        </w:numPr>
        <w:ind w:hanging="709" w:left="709"/>
        <w:rPr>
          <w:lang w:val="ru-RU"/>
        </w:rPr>
      </w:pPr>
      <w:bookmarkStart w:id="6" w:name="_Toc130201862"/>
      <w:bookmarkStart w:id="7" w:name="_Toc193878083"/>
      <w:bookmarkStart w:id="8" w:name="_Toc46743507"/>
      <w:bookmarkEnd w:id="8"/>
      <w:r>
        <w:rPr>
          <w:lang w:val="ru-RU"/>
        </w:rPr>
        <w:t>Цель использования продукции</w:t>
      </w:r>
      <w:bookmarkEnd w:id="6"/>
      <w:bookmarkEnd w:id="7"/>
      <w:r>
        <w:rPr>
          <w:lang w:val="ru-RU"/>
        </w:rPr>
        <w:t xml:space="preserve"> </w:t>
      </w:r>
    </w:p>
    <w:p>
      <w:pPr>
        <w:pStyle w:val="Normal"/>
        <w:spacing w:lineRule="auto" w:line="240" w:before="0" w:after="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Данная работа выполняется в рамках исполнения ПП РФ №1712 "Об утверждении критериев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порядка определения наличия указанной технической возможности, а также обязательного минимального состава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и соответствующего заключения утверждённого АО «Богучанской ГЭС» и АО «СО ЕЭС». Дополнительно в рамках работ выполняется импортозамещение сетевых коммутаторов и терминальных АРМ шкафов местного управления АСУТП. </w:t>
      </w:r>
    </w:p>
    <w:p>
      <w:pPr>
        <w:pStyle w:val="Heading4"/>
        <w:numPr>
          <w:ilvl w:val="1"/>
          <w:numId w:val="3"/>
        </w:numPr>
        <w:ind w:hanging="709" w:left="709"/>
        <w:rPr>
          <w:lang w:val="ru-RU"/>
        </w:rPr>
      </w:pPr>
      <w:bookmarkStart w:id="9" w:name="_Toc130201863"/>
      <w:bookmarkStart w:id="10" w:name="_Toc46743508"/>
      <w:bookmarkStart w:id="11" w:name="_Toc193878084"/>
      <w:r>
        <w:rPr>
          <w:lang w:val="ru-RU"/>
        </w:rPr>
        <w:t>Существующее положение</w:t>
      </w:r>
      <w:bookmarkEnd w:id="9"/>
      <w:bookmarkEnd w:id="10"/>
      <w:bookmarkEnd w:id="11"/>
    </w:p>
    <w:p>
      <w:pPr>
        <w:pStyle w:val="Normal"/>
        <w:spacing w:lineRule="auto" w:line="240" w:before="0" w:after="0"/>
        <w:jc w:val="both"/>
        <w:rPr>
          <w:rFonts w:ascii="Times New Roman" w:hAnsi="Times New Roman" w:eastAsia="Calibri" w:cs="Times New Roman"/>
          <w:sz w:val="24"/>
          <w:szCs w:val="24"/>
          <w:lang w:eastAsia="ru-RU"/>
        </w:rPr>
      </w:pPr>
      <w:bookmarkStart w:id="12" w:name="_Toc54970179"/>
      <w:r>
        <w:rPr>
          <w:rFonts w:eastAsia="Calibri" w:cs="Times New Roman" w:ascii="Times New Roman" w:hAnsi="Times New Roman"/>
          <w:sz w:val="24"/>
          <w:szCs w:val="24"/>
          <w:lang w:eastAsia="ru-RU"/>
        </w:rPr>
        <w:t>Проект: Модернизация АСУТП Богучанской ГЭС.</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Управление оборудованием энергообъекта производится круглосуточно сменой оперативного персонала, находящейся непосредственно на Богучанской ГЭС и состоящей из: Начальника смены станции (НСС), Начальника смены машинного зала (НСМ), Инженера по обслуживанию подстанции (дежурный инженер подстанции - ДИП), Машинистов гидроагрегатов (МГА), Электромонтера по обслуживанию подстанции, Электромонтера главного щита управления (ЭГЩУ), Инженера по обслуживанию подстанции ОПП-500 (дежурный инженер подстанции – ДИП ОПП).</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Электромонтер по обслуживанию подстанции совместно и под управлением инженера по обслуживанию подстанции обслуживают оборудование КРУЭ-220 кВ, КРУЭ-500 кВ, ОПП-500 кВ. (балансовая принадлежность оборудования не имеет значения в вопросах оперативной подчиненности, команды на производство переключений будут исходить только от начальника смены). Возможно привлечение персонала Россетей для оперативного обслуживания КРУЭ-220 кВ, но оперативная подчиненность должна сохраниться и оговариваться соответствующими инструкциями по взаимодействию. Ремонтные работы на оборудовании, не находящемся на балансе Богучанской ГЭС, могут производиться персоналом Россетей или персоналом Богучанской ГЭС по соответствующим договорам.</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В настоящее время управление коммутационными аппаратами КРУЭ- 220 кВ, КРУЭ- 500 кВ (включая КРУЭ-500 кВ ОПП-500 кВ) выполняется оперативным персоналом по командам диспетчерского центра по принадлежности. </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АО «Богучанская ГЭС» имеет две группы точек поставки генерации и одно сечение коммерческого учета с ПАО «Россети», оснащена АИИСКУЭ на базе Пирамида 2.0, СОТИАССО реализована средствами ПТК «Апогей» на базе АСУТП производства ООО «Ракурс-инжиниринг». </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Рабочее место оператора оптового рынка организовано в помещении ЦПУ на отм.162,9 (Рабочее место НСС и ЭГЩУ), установлено следующее программное обеспечение: Консоль сбора данных об изменении системных условий (подготовка и обмен макетами 53500 о составе и параметрах работы генерирующего оборудования, получение из АО «СО ЕЭС» плановых диспетчерских графиков, согласование зарегистрированных в отношении электростанции СДК), Система управления диспетчерскими заявками СК-11Регистрация аварийных событий реализована комплексом РАС «Черный ящик», включающих в себя сервер РАС, Базовые измерительные модули уровней машзал, щиты постоянного тока, КРУЭ 500кВ, концентратора сети bb-net. Сервер РАС «Черный ящик» используется для сбора и передачи в ССПИ СОТИ АССО ТИ значений токов через выключатели КРУЭ, значений дозирующих воздействий и аварийных сигналов Противоаварийной автоматики. Дополнительно выполняется осцилографирование аварийных процессов микропроцессорными терминалами РЗА с передачей данных в АСУТП.</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Синхронизация времени подсистем АСУТП, терминалов РЗА, РАС «Черный ящик» выполнены от обще станционной системы обеспечения единого времени (СОЕВ).</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Главная схема Богучанской ГЭС приведена в Приложении 7.</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Структурная схема сбора информации в АСУТП с передачей в ССПИ (СОТИ) приведена в приложении 8.</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В целях организации информационных каналов СОТИ АССО существует два канала до диспетчерского центра Красноярское РДУ. В целях организации каналов АРЧМ и СДПМ существует два канала до диспетчерского центра ОДУ Сибири. </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Каналы до Филиала АО «СО ЕЭС» ОДУ Сибири на 25.11.25</w:t>
      </w:r>
    </w:p>
    <w:p>
      <w:pPr>
        <w:pStyle w:val="Normal"/>
        <w:spacing w:lineRule="auto" w:line="240" w:before="120" w:after="60"/>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eastAsia="ru-RU"/>
        </w:rPr>
        <w:t>Резервные каналы</w:t>
      </w:r>
      <w:r>
        <w:rPr>
          <w:rFonts w:eastAsia="Calibri" w:cs="Times New Roman" w:ascii="Times New Roman" w:hAnsi="Times New Roman"/>
          <w:sz w:val="24"/>
          <w:szCs w:val="24"/>
          <w:lang w:val="en-US" w:eastAsia="ru-RU"/>
        </w:rPr>
        <w:t>:</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АРЧМ – 64кбит/с таймслот в Е1</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ТСОП – 128кбит/с 2 таймслота в Е1</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СМПР/ЦСПА – Ethernet, 1 Мбит/с</w:t>
      </w:r>
    </w:p>
    <w:p>
      <w:pPr>
        <w:pStyle w:val="Normal"/>
        <w:spacing w:lineRule="auto" w:line="240" w:before="120" w:after="60"/>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eastAsia="ru-RU"/>
        </w:rPr>
        <w:t>Основные каналы</w:t>
      </w:r>
      <w:r>
        <w:rPr>
          <w:rFonts w:eastAsia="Calibri" w:cs="Times New Roman" w:ascii="Times New Roman" w:hAnsi="Times New Roman"/>
          <w:sz w:val="24"/>
          <w:szCs w:val="24"/>
          <w:lang w:val="en-US" w:eastAsia="ru-RU"/>
        </w:rPr>
        <w:t>:</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АРЧМ – 64кбит/с по сети SDH Россетей</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ТСОП – 64кбит/с FXO/FXS по сети SDH Россетей</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СМПР/ЦСПА – Ethernet, 1 Мбит/с</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bookmarkStart w:id="13" w:name="_GoBack"/>
      <w:bookmarkStart w:id="14" w:name="_GoBack"/>
      <w:bookmarkEnd w:id="14"/>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Каналы до Филиала АО «СО ЕЭС» Красноярское РДУ</w:t>
      </w:r>
    </w:p>
    <w:p>
      <w:pPr>
        <w:pStyle w:val="Normal"/>
        <w:spacing w:lineRule="auto" w:line="240" w:before="120" w:after="60"/>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eastAsia="ru-RU"/>
        </w:rPr>
        <w:t>Резервные каналы</w:t>
      </w:r>
      <w:r>
        <w:rPr>
          <w:rFonts w:eastAsia="Calibri" w:cs="Times New Roman" w:ascii="Times New Roman" w:hAnsi="Times New Roman"/>
          <w:sz w:val="24"/>
          <w:szCs w:val="24"/>
          <w:lang w:val="en-US" w:eastAsia="ru-RU"/>
        </w:rPr>
        <w:t>:</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ТМ – 12 таймслотов в потоке е1 (768 вбит/с)</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ТСОП – 14 таймслотов в потоке е1 (768 вбит/с)</w:t>
      </w:r>
    </w:p>
    <w:p>
      <w:pPr>
        <w:pStyle w:val="Normal"/>
        <w:spacing w:lineRule="auto" w:line="240" w:before="120" w:after="60"/>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eastAsia="ru-RU"/>
        </w:rPr>
        <w:t>Основные каналы</w:t>
      </w:r>
      <w:r>
        <w:rPr>
          <w:rFonts w:eastAsia="Calibri" w:cs="Times New Roman" w:ascii="Times New Roman" w:hAnsi="Times New Roman"/>
          <w:sz w:val="24"/>
          <w:szCs w:val="24"/>
          <w:lang w:val="en-US" w:eastAsia="ru-RU"/>
        </w:rPr>
        <w:t>:</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ТМ – Ethernet, 10мбит/с по сети SDH Россетей</w:t>
      </w:r>
    </w:p>
    <w:p>
      <w:pPr>
        <w:pStyle w:val="Normal"/>
        <w:spacing w:lineRule="auto" w:line="240" w:before="12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ТСОП – 64кбит/с FXO/FXS по сети SDH Россетей</w:t>
      </w:r>
    </w:p>
    <w:p>
      <w:pPr>
        <w:pStyle w:val="Normal"/>
        <w:spacing w:lineRule="auto" w:line="240" w:before="120" w:after="60"/>
        <w:jc w:val="both"/>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 xml:space="preserve"> </w:t>
      </w:r>
      <w:r>
        <w:rPr>
          <w:rFonts w:eastAsia="Calibri" w:cs="Times New Roman" w:ascii="Times New Roman" w:hAnsi="Times New Roman"/>
          <w:b/>
          <w:sz w:val="24"/>
          <w:szCs w:val="24"/>
          <w:lang w:eastAsia="ru-RU"/>
        </w:rPr>
        <w:t>Таблица 1. Перечень объектов заказчика</w:t>
      </w:r>
      <w:bookmarkEnd w:id="12"/>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749"/>
        <w:gridCol w:w="4364"/>
        <w:gridCol w:w="2388"/>
        <w:gridCol w:w="2419"/>
      </w:tblGrid>
      <w:tr>
        <w:trPr/>
        <w:tc>
          <w:tcPr>
            <w:tcW w:w="7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rPr>
            </w:pPr>
            <w:r>
              <w:rPr>
                <w:rFonts w:cs="Times New Roman" w:ascii="Times New Roman" w:hAnsi="Times New Roman"/>
                <w:b/>
              </w:rPr>
              <w:t>№</w:t>
            </w:r>
            <w:r>
              <w:rPr>
                <w:rFonts w:cs="Times New Roman" w:ascii="Times New Roman" w:hAnsi="Times New Roman"/>
                <w:b/>
              </w:rPr>
              <w:t>п/п</w:t>
            </w:r>
          </w:p>
        </w:tc>
        <w:tc>
          <w:tcPr>
            <w:tcW w:w="436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rPr>
            </w:pPr>
            <w:r>
              <w:rPr>
                <w:rFonts w:cs="Times New Roman" w:ascii="Times New Roman" w:hAnsi="Times New Roman"/>
                <w:b/>
              </w:rPr>
              <w:t>Наименование объекта</w:t>
            </w:r>
          </w:p>
        </w:tc>
        <w:tc>
          <w:tcPr>
            <w:tcW w:w="238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rPr>
            </w:pPr>
            <w:r>
              <w:rPr>
                <w:rFonts w:cs="Times New Roman" w:ascii="Times New Roman" w:hAnsi="Times New Roman"/>
                <w:b/>
              </w:rPr>
              <w:t xml:space="preserve">Расположение объекта </w:t>
              <w:br/>
              <w:t>(место поставки МТР, производства работ, оказания услуг)</w:t>
            </w:r>
          </w:p>
        </w:tc>
        <w:tc>
          <w:tcPr>
            <w:tcW w:w="2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rPr>
            </w:pPr>
            <w:r>
              <w:rPr>
                <w:rFonts w:cs="Times New Roman" w:ascii="Times New Roman" w:hAnsi="Times New Roman"/>
                <w:b/>
              </w:rPr>
              <w:t xml:space="preserve">Наименование основного средства </w:t>
              <w:br/>
              <w:t>(в отношении которого выполняются работы, оказываются услуги)</w:t>
            </w:r>
          </w:p>
        </w:tc>
      </w:tr>
      <w:tr>
        <w:trPr/>
        <w:tc>
          <w:tcPr>
            <w:tcW w:w="7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rPr>
            </w:pPr>
            <w:r>
              <w:rPr>
                <w:rFonts w:cs="Times New Roman" w:ascii="Times New Roman" w:hAnsi="Times New Roman"/>
              </w:rPr>
              <w:t>1</w:t>
            </w:r>
          </w:p>
        </w:tc>
        <w:tc>
          <w:tcPr>
            <w:tcW w:w="436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2</w:t>
            </w:r>
          </w:p>
        </w:tc>
        <w:tc>
          <w:tcPr>
            <w:tcW w:w="238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3</w:t>
            </w:r>
          </w:p>
        </w:tc>
        <w:tc>
          <w:tcPr>
            <w:tcW w:w="2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t>4</w:t>
            </w:r>
          </w:p>
        </w:tc>
      </w:tr>
      <w:tr>
        <w:trPr>
          <w:trHeight w:val="881" w:hRule="atLeast"/>
        </w:trPr>
        <w:tc>
          <w:tcPr>
            <w:tcW w:w="7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pacing w:lineRule="auto" w:line="240" w:before="0" w:after="0"/>
              <w:ind w:hanging="0" w:left="0"/>
              <w:contextualSpacing/>
              <w:jc w:val="center"/>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436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w:t>
            </w:r>
          </w:p>
        </w:tc>
        <w:tc>
          <w:tcPr>
            <w:tcW w:w="238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sz w:val="24"/>
                <w:szCs w:val="24"/>
                <w:lang w:eastAsia="ru-RU"/>
              </w:rPr>
            </w:pPr>
            <w:r>
              <w:rPr>
                <w:rFonts w:eastAsia="Calibri" w:cs="Times New Roman" w:ascii="Times New Roman" w:hAnsi="Times New Roman"/>
                <w:sz w:val="24"/>
                <w:szCs w:val="24"/>
                <w:lang w:eastAsia="ru-RU"/>
              </w:rPr>
              <w:t xml:space="preserve">Красноярский край, Кежемский муниципальный округ, Богучанская ГЭС на р. Ангара. </w:t>
            </w:r>
          </w:p>
        </w:tc>
        <w:tc>
          <w:tcPr>
            <w:tcW w:w="24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Calibri"/>
                <w:sz w:val="24"/>
                <w:szCs w:val="24"/>
                <w:lang w:val="en-US" w:eastAsia="ru-RU"/>
              </w:rPr>
            </w:pPr>
            <w:r>
              <w:rPr>
                <w:rFonts w:eastAsia="Times New Roman" w:cs="Calibri" w:ascii="Times New Roman" w:hAnsi="Times New Roman"/>
                <w:sz w:val="24"/>
                <w:szCs w:val="24"/>
                <w:lang w:val="en-US" w:eastAsia="ru-RU"/>
              </w:rPr>
              <w:t>ПТК АСУТП Богучанской ГЭС</w:t>
            </w:r>
          </w:p>
        </w:tc>
      </w:tr>
    </w:tbl>
    <w:p>
      <w:pPr>
        <w:pStyle w:val="Heading4"/>
        <w:numPr>
          <w:ilvl w:val="1"/>
          <w:numId w:val="3"/>
        </w:numPr>
        <w:ind w:hanging="709" w:left="709"/>
        <w:jc w:val="both"/>
        <w:rPr>
          <w:lang w:val="ru-RU"/>
        </w:rPr>
      </w:pPr>
      <w:bookmarkStart w:id="15" w:name="_Toc130201865"/>
      <w:bookmarkStart w:id="16" w:name="_Toc193878085"/>
      <w:r>
        <w:rPr>
          <w:lang w:val="ru-RU"/>
        </w:rPr>
        <w:t xml:space="preserve">Информация в отношении исполнения договора, </w:t>
      </w:r>
      <w:bookmarkStart w:id="17" w:name="_Hlk46492347"/>
      <w:r>
        <w:rPr>
          <w:lang w:val="ru-RU"/>
        </w:rPr>
        <w:t xml:space="preserve">которая должна быть учтена </w:t>
      </w:r>
      <w:bookmarkEnd w:id="17"/>
      <w:r>
        <w:rPr>
          <w:lang w:val="ru-RU"/>
        </w:rPr>
        <w:t>(в том числе перечень ресурсов, услуг и документов, предоставляемых заказчиком на этапе исполнения договора)</w:t>
      </w:r>
      <w:bookmarkEnd w:id="15"/>
      <w:bookmarkEnd w:id="16"/>
    </w:p>
    <w:p>
      <w:pPr>
        <w:pStyle w:val="ListParagraph"/>
        <w:numPr>
          <w:ilvl w:val="2"/>
          <w:numId w:val="3"/>
        </w:numPr>
        <w:ind w:hanging="709" w:left="709"/>
        <w:jc w:val="both"/>
        <w:rPr/>
      </w:pPr>
      <w:r>
        <w:rPr>
          <w:rFonts w:eastAsia="Times New Roman"/>
        </w:rPr>
        <w:t>В ходе исполнения договора Подрядчику необходимо предусмотреть следующие виды ресурсов:</w:t>
      </w:r>
    </w:p>
    <w:p>
      <w:pPr>
        <w:pStyle w:val="ListParagraph"/>
        <w:jc w:val="both"/>
        <w:rPr/>
      </w:pPr>
      <w:r>
        <w:rPr/>
        <w:t>1)</w:t>
        <w:tab/>
        <w:t>Подключение к электроэнергии.</w:t>
      </w:r>
    </w:p>
    <w:p>
      <w:pPr>
        <w:pStyle w:val="ListParagraph"/>
        <w:jc w:val="both"/>
        <w:rPr/>
      </w:pPr>
      <w:r>
        <w:rPr/>
        <w:t>2)</w:t>
        <w:tab/>
        <w:t>Помещение для размещения персонала подрядчика с обеспечением санитарно-гигиенических и бытовых условий.</w:t>
      </w:r>
    </w:p>
    <w:p>
      <w:pPr>
        <w:pStyle w:val="ListParagraph"/>
        <w:jc w:val="both"/>
        <w:rPr/>
      </w:pPr>
      <w:r>
        <w:rPr/>
        <w:t>3)</w:t>
        <w:tab/>
        <w:t>Складские помещения и площадки для погрузки / разгрузки / складирования / хранения материально-технических ресурсов, оборудования Подрядчика.</w:t>
      </w:r>
    </w:p>
    <w:p>
      <w:pPr>
        <w:pStyle w:val="ListParagraph"/>
        <w:numPr>
          <w:ilvl w:val="2"/>
          <w:numId w:val="3"/>
        </w:numPr>
        <w:ind w:hanging="709" w:left="709"/>
        <w:jc w:val="both"/>
        <w:rPr>
          <w:color w:val="000000" w:themeColor="text1"/>
        </w:rPr>
      </w:pPr>
      <w:r>
        <w:rPr>
          <w:color w:val="000000" w:themeColor="text1"/>
        </w:rPr>
        <w:t>Поставляемые оборудование и программное обеспечение не могут быть заменены эквивалентными или аналогичными в связи с производственной необходимостью Заказчика, обоснованной следующими причинами:</w:t>
      </w:r>
    </w:p>
    <w:p>
      <w:pPr>
        <w:pStyle w:val="ListParagraph"/>
        <w:numPr>
          <w:ilvl w:val="0"/>
          <w:numId w:val="17"/>
        </w:numPr>
        <w:ind w:hanging="567" w:left="1276"/>
        <w:jc w:val="both"/>
        <w:rPr>
          <w:color w:val="000000" w:themeColor="text1"/>
        </w:rPr>
      </w:pPr>
      <w:r>
        <w:rPr>
          <w:color w:val="000000" w:themeColor="text1"/>
        </w:rPr>
        <w:t>Реализацией развития инженерных решений в соответствии с Перечнем используемых/рекомендуемых технических решений информационно-технологической инфраструктуры Группы РусГидро, с целью унификации технических решений в соответствии с требованиями законодательства РФ, в том числе в части импортозамещения, а также в соответствии со Стратегией цифровой трансформации Группы РусГидро на период 2022-2024 годов с перспективой до 2030 года – https://rushydro.ru/activity/tsifrovaya-transformatsiya/.</w:t>
      </w:r>
    </w:p>
    <w:p>
      <w:pPr>
        <w:pStyle w:val="ListParagraph"/>
        <w:numPr>
          <w:ilvl w:val="0"/>
          <w:numId w:val="17"/>
        </w:numPr>
        <w:ind w:hanging="567" w:left="1276"/>
        <w:jc w:val="both"/>
        <w:rPr>
          <w:color w:val="000000" w:themeColor="text1"/>
        </w:rPr>
      </w:pPr>
      <w:r>
        <w:rPr>
          <w:color w:val="000000" w:themeColor="text1"/>
        </w:rPr>
        <w:t>Исключением технической несовместимости (на основании пп. а) п. 3 ч. 6.1. ст. 3 Федерального закона от 18.07.2011 № 223ФЗ «О закупках товаров, работ, услуг отдельными видами юридических лиц»).</w:t>
      </w:r>
    </w:p>
    <w:p>
      <w:pPr>
        <w:pStyle w:val="ListParagraph"/>
        <w:numPr>
          <w:ilvl w:val="0"/>
          <w:numId w:val="17"/>
        </w:numPr>
        <w:ind w:hanging="567" w:left="1276"/>
        <w:jc w:val="both"/>
        <w:rPr>
          <w:color w:val="000000" w:themeColor="text1"/>
        </w:rPr>
      </w:pPr>
      <w:r>
        <w:rPr>
          <w:color w:val="000000" w:themeColor="text1"/>
        </w:rPr>
        <w:t>Наличием обязательств Заказчика перед третьими лицами, в связи с чем использование иной продукции невозможно (на основании пп. в) п. 6.5.1.3 Единого положения о закупке продукции для нужд Группы РусГидро).</w:t>
      </w:r>
    </w:p>
    <w:p>
      <w:pPr>
        <w:pStyle w:val="ListParagraph"/>
        <w:numPr>
          <w:ilvl w:val="0"/>
          <w:numId w:val="17"/>
        </w:numPr>
        <w:ind w:hanging="567" w:left="1276"/>
        <w:jc w:val="both"/>
        <w:rPr>
          <w:color w:val="000000" w:themeColor="text1"/>
        </w:rPr>
      </w:pPr>
      <w:r>
        <w:rPr>
          <w:color w:val="000000" w:themeColor="text1"/>
        </w:rPr>
        <w:t>Соблюдением требований безопасности эксплуатации сложного технологического объекта, относящегося к субъектам критической информационной инфраструктуры в соответствии с п. 8 статьи 2 Федеральный закон от 26.07.2017 № 187-ФЗ «О безопасности критической информационной инфраструктуры Российской Федерации».</w:t>
      </w:r>
    </w:p>
    <w:p>
      <w:pPr>
        <w:pStyle w:val="ListParagraph"/>
        <w:numPr>
          <w:ilvl w:val="2"/>
          <w:numId w:val="3"/>
        </w:numPr>
        <w:ind w:hanging="709" w:left="709"/>
        <w:jc w:val="both"/>
        <w:rPr>
          <w:color w:val="000000" w:themeColor="text1"/>
        </w:rPr>
      </w:pPr>
      <w:r>
        <w:rPr>
          <w:color w:val="000000" w:themeColor="text1"/>
        </w:rPr>
        <w:t>В ходе исполнения договора Поставщику необходимо учесть наличие обновления Производителями модельного ряда поставляемого серийного оборудования и при использовании новых моделей обеспечить полную сохранность функциональности, заданной в Приложениях №№ 1-10 к Техническим требованиям.</w:t>
      </w:r>
    </w:p>
    <w:p>
      <w:pPr>
        <w:pStyle w:val="ListParagraph"/>
        <w:numPr>
          <w:ilvl w:val="2"/>
          <w:numId w:val="3"/>
        </w:numPr>
        <w:ind w:hanging="709" w:left="709"/>
        <w:jc w:val="both"/>
        <w:rPr>
          <w:color w:val="000000" w:themeColor="text1"/>
        </w:rPr>
      </w:pPr>
      <w:r>
        <w:rPr>
          <w:color w:val="000000" w:themeColor="text1"/>
        </w:rPr>
        <w:t xml:space="preserve">Наличие у Поставщика опыта (в рамках одного или нескольких выполненных договоров) выполнения работ по проектированию и применению технических решений ПТК на базе контроллерного оборудования производства </w:t>
      </w:r>
      <w:r>
        <w:rPr>
          <w:color w:val="000000" w:themeColor="text1"/>
          <w:lang w:val="en-US"/>
        </w:rPr>
        <w:t>Omron</w:t>
      </w:r>
      <w:r>
        <w:rPr>
          <w:color w:val="000000" w:themeColor="text1"/>
        </w:rPr>
        <w:t>, при модернизации/строительстве гидроэлектростанций.</w:t>
      </w:r>
    </w:p>
    <w:p>
      <w:pPr>
        <w:pStyle w:val="ListParagraph"/>
        <w:numPr>
          <w:ilvl w:val="2"/>
          <w:numId w:val="3"/>
        </w:numPr>
        <w:ind w:hanging="709" w:left="709"/>
        <w:jc w:val="both"/>
        <w:rPr>
          <w:color w:val="000000" w:themeColor="text1"/>
        </w:rPr>
      </w:pPr>
      <w:r>
        <w:rPr>
          <w:color w:val="000000" w:themeColor="text1"/>
        </w:rPr>
        <w:t>Наличие у Поставщика опыта разработки конструкторской документации, предусматривающей внедрение ПТК верхнего уровня АСУТП и SCADA-системы на базе программного комплекса «Раскада» обеспечивающего взаимодействие с нижним уровнем АСУТП за последние 5 (Пять) лет, предшествующих дате подачи заявки.</w:t>
      </w:r>
    </w:p>
    <w:p>
      <w:pPr>
        <w:pStyle w:val="ListParagraph"/>
        <w:numPr>
          <w:ilvl w:val="2"/>
          <w:numId w:val="3"/>
        </w:numPr>
        <w:ind w:hanging="709" w:left="709"/>
        <w:jc w:val="both"/>
        <w:rPr>
          <w:color w:val="000000" w:themeColor="text1"/>
        </w:rPr>
      </w:pPr>
      <w:r>
        <w:rPr>
          <w:color w:val="000000" w:themeColor="text1"/>
        </w:rPr>
        <w:t>Наличие лицензии ФСТЭК на деятельность по технической защите конфиденциальной информации.</w:t>
      </w:r>
    </w:p>
    <w:p>
      <w:pPr>
        <w:pStyle w:val="ListParagraph"/>
        <w:numPr>
          <w:ilvl w:val="2"/>
          <w:numId w:val="3"/>
        </w:numPr>
        <w:ind w:hanging="709" w:left="709"/>
        <w:jc w:val="both"/>
        <w:rPr>
          <w:color w:val="000000" w:themeColor="text1"/>
        </w:rPr>
      </w:pPr>
      <w:r>
        <w:rPr>
          <w:color w:val="000000" w:themeColor="text1"/>
        </w:rPr>
        <w:t>Наличие лицензии ФСБ на СКЗИ.</w:t>
      </w:r>
    </w:p>
    <w:p>
      <w:pPr>
        <w:pStyle w:val="Heading4"/>
        <w:numPr>
          <w:ilvl w:val="1"/>
          <w:numId w:val="3"/>
        </w:numPr>
        <w:ind w:hanging="709" w:left="709"/>
        <w:rPr>
          <w:color w:val="000000" w:themeColor="text1"/>
          <w:lang w:val="ru-RU"/>
        </w:rPr>
      </w:pPr>
      <w:bookmarkStart w:id="18" w:name="_Toc54970181"/>
      <w:bookmarkStart w:id="19" w:name="_Toc193878086"/>
      <w:r>
        <w:rPr>
          <w:color w:val="000000" w:themeColor="text1"/>
          <w:lang w:val="ru-RU"/>
        </w:rPr>
        <w:t>Иные требования и сведения общего характера</w:t>
      </w:r>
      <w:bookmarkEnd w:id="18"/>
      <w:bookmarkEnd w:id="19"/>
    </w:p>
    <w:p>
      <w:pPr>
        <w:pStyle w:val="Normal"/>
        <w:spacing w:lineRule="auto" w:line="240" w:before="0" w:after="0"/>
        <w:ind w:firstLine="709"/>
        <w:contextualSpacing/>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Выполнение комплекса работ производится в таком объеме, который позволяет начать эксплуатацию непосредственно после их окончания.</w:t>
      </w:r>
    </w:p>
    <w:p>
      <w:pPr>
        <w:pStyle w:val="Normal"/>
        <w:spacing w:lineRule="auto" w:line="240" w:before="0" w:after="0"/>
        <w:rPr>
          <w:rFonts w:ascii="Times New Roman" w:hAnsi="Times New Roman" w:eastAsia="Calibri" w:cs="Times New Roman"/>
          <w:b/>
          <w:sz w:val="28"/>
          <w:szCs w:val="28"/>
          <w:lang w:eastAsia="x-none"/>
        </w:rPr>
      </w:pPr>
      <w:r>
        <w:rPr>
          <w:rFonts w:eastAsia="Calibri" w:cs="Times New Roman" w:ascii="Times New Roman" w:hAnsi="Times New Roman"/>
          <w:b/>
          <w:sz w:val="28"/>
          <w:szCs w:val="28"/>
          <w:lang w:eastAsia="x-none"/>
        </w:rPr>
      </w:r>
      <w:r>
        <w:br w:type="page"/>
      </w:r>
    </w:p>
    <w:p>
      <w:pPr>
        <w:pStyle w:val="Normal"/>
        <w:keepNext w:val="true"/>
        <w:numPr>
          <w:ilvl w:val="0"/>
          <w:numId w:val="3"/>
        </w:numPr>
        <w:spacing w:lineRule="auto" w:line="240" w:before="120" w:after="60"/>
        <w:ind w:hanging="0" w:left="0"/>
        <w:jc w:val="center"/>
        <w:outlineLvl w:val="0"/>
        <w:rPr>
          <w:rFonts w:ascii="Times New Roman" w:hAnsi="Times New Roman" w:eastAsia="Calibri" w:cs="Times New Roman"/>
          <w:b/>
          <w:caps/>
          <w:sz w:val="28"/>
          <w:szCs w:val="28"/>
          <w:lang w:eastAsia="x-none"/>
        </w:rPr>
      </w:pPr>
      <w:bookmarkStart w:id="20" w:name="_Toc193878087"/>
      <w:bookmarkStart w:id="21" w:name="_Toc130201867"/>
      <w:bookmarkStart w:id="22" w:name="_Toc51339693"/>
      <w:r>
        <w:rPr>
          <w:rFonts w:eastAsia="Calibri" w:cs="Times New Roman" w:ascii="Times New Roman" w:hAnsi="Times New Roman"/>
          <w:b/>
          <w:sz w:val="28"/>
          <w:szCs w:val="28"/>
          <w:lang w:eastAsia="x-none"/>
        </w:rPr>
        <w:t>Требования к продукции</w:t>
      </w:r>
      <w:bookmarkEnd w:id="20"/>
      <w:bookmarkEnd w:id="21"/>
      <w:bookmarkEnd w:id="22"/>
    </w:p>
    <w:p>
      <w:pPr>
        <w:pStyle w:val="Heading4"/>
        <w:numPr>
          <w:ilvl w:val="1"/>
          <w:numId w:val="3"/>
        </w:numPr>
        <w:ind w:hanging="709" w:left="709"/>
        <w:rPr>
          <w:lang w:val="ru-RU"/>
        </w:rPr>
      </w:pPr>
      <w:bookmarkStart w:id="23" w:name="_Toc193878088"/>
      <w:bookmarkStart w:id="24" w:name="_Toc130201868"/>
      <w:r>
        <w:rPr>
          <w:lang w:val="ru-RU"/>
        </w:rPr>
        <w:t>Требования по объемам</w:t>
      </w:r>
      <w:bookmarkEnd w:id="24"/>
      <w:r>
        <w:rPr>
          <w:lang w:val="ru-RU"/>
        </w:rPr>
        <w:t xml:space="preserve"> и срокам</w:t>
      </w:r>
      <w:bookmarkEnd w:id="23"/>
    </w:p>
    <w:p>
      <w:pPr>
        <w:pStyle w:val="Heading4"/>
        <w:numPr>
          <w:ilvl w:val="2"/>
          <w:numId w:val="3"/>
        </w:numPr>
        <w:ind w:hanging="720" w:left="720"/>
        <w:rPr>
          <w:lang w:val="ru-RU"/>
        </w:rPr>
      </w:pPr>
      <w:bookmarkStart w:id="25" w:name="_Toc130201869"/>
      <w:bookmarkStart w:id="26" w:name="_Toc164155634"/>
      <w:bookmarkStart w:id="27" w:name="_Toc166871910"/>
      <w:bookmarkStart w:id="28" w:name="_Toc193878089"/>
      <w:r>
        <w:rPr>
          <w:lang w:val="ru-RU"/>
        </w:rPr>
        <w:t>Требования к видам и объемам поставок МТР, работ, услуг</w:t>
      </w:r>
      <w:bookmarkEnd w:id="25"/>
      <w:bookmarkEnd w:id="26"/>
      <w:bookmarkEnd w:id="27"/>
      <w:bookmarkEnd w:id="28"/>
    </w:p>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2.1. Перечень и объем закупаемых МТР</w:t>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875"/>
        <w:gridCol w:w="5773"/>
        <w:gridCol w:w="1578"/>
        <w:gridCol w:w="1694"/>
      </w:tblGrid>
      <w:tr>
        <w:trPr>
          <w:tblHeader w:val="true"/>
          <w:trHeight w:val="384"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 xml:space="preserve">№ </w:t>
            </w:r>
            <w:r>
              <w:rPr>
                <w:rFonts w:cs="Times New Roman" w:ascii="Times New Roman" w:hAnsi="Times New Roman"/>
                <w:b/>
                <w:sz w:val="20"/>
                <w:szCs w:val="20"/>
              </w:rPr>
              <w:t>п/п</w:t>
            </w:r>
          </w:p>
        </w:tc>
        <w:tc>
          <w:tcPr>
            <w:tcW w:w="57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Наименование</w:t>
            </w:r>
          </w:p>
        </w:tc>
        <w:tc>
          <w:tcPr>
            <w:tcW w:w="15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Единица измерения</w:t>
            </w:r>
          </w:p>
        </w:tc>
        <w:tc>
          <w:tcPr>
            <w:tcW w:w="16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Количество</w:t>
            </w:r>
          </w:p>
        </w:tc>
      </w:tr>
      <w:tr>
        <w:trPr>
          <w:tblHeader w:val="true"/>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15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r>
      <w:tr>
        <w:trPr/>
        <w:tc>
          <w:tcPr>
            <w:tcW w:w="875"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numPr>
                <w:ilvl w:val="0"/>
                <w:numId w:val="12"/>
              </w:numPr>
              <w:spacing w:lineRule="auto" w:line="240" w:before="60" w:after="60"/>
              <w:rPr>
                <w:rFonts w:ascii="Times New Roman" w:hAnsi="Times New Roman" w:eastAsia="Calibri" w:cs="Times New Roman"/>
                <w:b/>
                <w:color w:val="000000" w:themeColor="text1"/>
                <w:sz w:val="24"/>
                <w:szCs w:val="24"/>
                <w:lang w:eastAsia="ru-RU"/>
              </w:rPr>
            </w:pPr>
            <w:r>
              <w:rPr>
                <w:rFonts w:eastAsia="Calibri" w:cs="Times New Roman" w:ascii="Times New Roman" w:hAnsi="Times New Roman"/>
                <w:b/>
                <w:color w:val="000000" w:themeColor="text1"/>
                <w:sz w:val="24"/>
                <w:szCs w:val="24"/>
                <w:lang w:eastAsia="ru-RU"/>
              </w:rPr>
            </w:r>
          </w:p>
        </w:tc>
        <w:tc>
          <w:tcPr>
            <w:tcW w:w="9045"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eastAsia="Calibri" w:cs="Times New Roman"/>
                <w:b/>
                <w:color w:val="000000" w:themeColor="text1"/>
                <w:sz w:val="24"/>
                <w:szCs w:val="24"/>
                <w:lang w:eastAsia="ru-RU"/>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а именно:</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оборудования АСУТП (для реализации ДУ)</w:t>
            </w:r>
          </w:p>
        </w:tc>
        <w:tc>
          <w:tcPr>
            <w:tcW w:w="15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ПО АСУТП (для реализации ДУ)</w:t>
            </w:r>
          </w:p>
        </w:tc>
        <w:tc>
          <w:tcPr>
            <w:tcW w:w="15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ЗИП АСУТП (для реализации ДУ)</w:t>
            </w:r>
          </w:p>
        </w:tc>
        <w:tc>
          <w:tcPr>
            <w:tcW w:w="15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оборудования по терминальным АРМ и сетевому оборудованию</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ПО по терминальным АРМ и сетевому оборудованию</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1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ЗИП по терминальным АРМ и сетевому оборудованию</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bl>
    <w:p>
      <w:pPr>
        <w:pStyle w:val="Normal"/>
        <w:spacing w:lineRule="auto" w:line="240" w:before="120" w:after="60"/>
        <w:jc w:val="right"/>
        <w:rPr>
          <w:rFonts w:ascii="Times New Roman" w:hAnsi="Times New Roman" w:eastAsia="Calibri" w:cs="Times New Roman"/>
          <w:b/>
          <w:sz w:val="24"/>
          <w:szCs w:val="24"/>
          <w:lang w:eastAsia="ru-RU"/>
        </w:rPr>
      </w:pPr>
      <w:bookmarkStart w:id="29" w:name="_Toc130201870"/>
      <w:bookmarkStart w:id="30" w:name="_Toc51339695"/>
      <w:r>
        <w:rPr>
          <w:rFonts w:eastAsia="Calibri" w:cs="Times New Roman" w:ascii="Times New Roman" w:hAnsi="Times New Roman"/>
          <w:b/>
          <w:sz w:val="24"/>
          <w:szCs w:val="24"/>
          <w:lang w:eastAsia="ru-RU"/>
        </w:rPr>
        <w:t xml:space="preserve">Таблица 2.2. Перечень и объем </w:t>
      </w:r>
      <w:bookmarkEnd w:id="29"/>
      <w:bookmarkEnd w:id="30"/>
      <w:r>
        <w:rPr>
          <w:rFonts w:eastAsia="Calibri" w:cs="Times New Roman" w:ascii="Times New Roman" w:hAnsi="Times New Roman"/>
          <w:b/>
          <w:sz w:val="24"/>
          <w:szCs w:val="24"/>
          <w:lang w:eastAsia="ru-RU"/>
        </w:rPr>
        <w:t>выполняемых работ, услуг</w:t>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875"/>
        <w:gridCol w:w="5773"/>
        <w:gridCol w:w="1578"/>
        <w:gridCol w:w="1694"/>
      </w:tblGrid>
      <w:tr>
        <w:trPr>
          <w:tblHeader w:val="true"/>
          <w:trHeight w:val="384"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 xml:space="preserve">№ </w:t>
            </w:r>
            <w:r>
              <w:rPr>
                <w:rFonts w:cs="Times New Roman" w:ascii="Times New Roman" w:hAnsi="Times New Roman"/>
                <w:b/>
                <w:sz w:val="20"/>
                <w:szCs w:val="20"/>
              </w:rPr>
              <w:t>п/п</w:t>
            </w:r>
          </w:p>
        </w:tc>
        <w:tc>
          <w:tcPr>
            <w:tcW w:w="57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Наименование</w:t>
            </w:r>
          </w:p>
        </w:tc>
        <w:tc>
          <w:tcPr>
            <w:tcW w:w="15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Единица измерения</w:t>
            </w:r>
          </w:p>
        </w:tc>
        <w:tc>
          <w:tcPr>
            <w:tcW w:w="16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t>Количество</w:t>
            </w:r>
          </w:p>
        </w:tc>
      </w:tr>
      <w:tr>
        <w:trPr>
          <w:tblHeader w:val="true"/>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15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r>
      <w:tr>
        <w:trPr/>
        <w:tc>
          <w:tcPr>
            <w:tcW w:w="875"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numPr>
                <w:ilvl w:val="0"/>
                <w:numId w:val="20"/>
              </w:numPr>
              <w:spacing w:lineRule="auto" w:line="240" w:before="60" w:after="60"/>
              <w:rPr>
                <w:rFonts w:ascii="Times New Roman" w:hAnsi="Times New Roman" w:eastAsia="Calibri" w:cs="Times New Roman"/>
                <w:b/>
                <w:color w:val="000000" w:themeColor="text1"/>
                <w:sz w:val="24"/>
                <w:szCs w:val="24"/>
                <w:lang w:eastAsia="ru-RU"/>
              </w:rPr>
            </w:pPr>
            <w:r>
              <w:rPr>
                <w:rFonts w:eastAsia="Calibri" w:cs="Times New Roman" w:ascii="Times New Roman" w:hAnsi="Times New Roman"/>
                <w:b/>
                <w:color w:val="000000" w:themeColor="text1"/>
                <w:sz w:val="24"/>
                <w:szCs w:val="24"/>
                <w:lang w:eastAsia="ru-RU"/>
              </w:rPr>
            </w:r>
          </w:p>
        </w:tc>
        <w:tc>
          <w:tcPr>
            <w:tcW w:w="9045" w:type="dxa"/>
            <w:gridSpan w:val="3"/>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eastAsia="Calibri" w:cs="Times New Roman"/>
                <w:b/>
                <w:color w:val="000000" w:themeColor="text1"/>
                <w:sz w:val="24"/>
                <w:szCs w:val="24"/>
                <w:lang w:eastAsia="ru-RU"/>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а именно:</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Предпроектное обследование. Разработка отчета ППО. Разработка рабочей документации по организации ДУ</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Разработка РД на импортозамещение терминальных АРМ и сетевого оборудования в шкафах АСУТП</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строительно-монтажных работ ДУ</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строительно-монтажных работ по терминальным АРМ и сетевому оборудованию</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пусконаладочных работ ПТК АСУТП в части ДУ</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r>
        <w:trPr>
          <w:trHeight w:val="226" w:hRule="atLeast"/>
        </w:trPr>
        <w:tc>
          <w:tcPr>
            <w:tcW w:w="87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1"/>
              </w:numPr>
              <w:spacing w:lineRule="auto" w:line="240" w:before="60" w:after="60"/>
              <w:rPr>
                <w:rFonts w:ascii="Times New Roman" w:hAnsi="Times New Roman" w:eastAsia="Calibri" w:cs="Times New Roman"/>
                <w:color w:val="000000" w:themeColor="text1"/>
                <w:sz w:val="24"/>
                <w:szCs w:val="24"/>
                <w:lang w:eastAsia="ru-RU"/>
              </w:rPr>
            </w:pPr>
            <w:r>
              <w:rPr>
                <w:rFonts w:eastAsia="Calibri" w:cs="Times New Roman" w:ascii="Times New Roman" w:hAnsi="Times New Roman"/>
                <w:color w:val="000000" w:themeColor="text1"/>
                <w:sz w:val="24"/>
                <w:szCs w:val="24"/>
                <w:lang w:eastAsia="ru-RU"/>
              </w:rPr>
            </w:r>
          </w:p>
        </w:tc>
        <w:tc>
          <w:tcPr>
            <w:tcW w:w="57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пусконаладочных работ ПТК АСУТП в по терминальным АРМ и сетевому оборудованию</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w:t>
            </w:r>
          </w:p>
        </w:tc>
        <w:tc>
          <w:tcPr>
            <w:tcW w:w="16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1</w:t>
            </w:r>
          </w:p>
        </w:tc>
      </w:tr>
    </w:tbl>
    <w:p>
      <w:pPr>
        <w:pStyle w:val="Normal"/>
        <w:spacing w:lineRule="auto" w:line="240" w:before="0" w:after="0"/>
        <w:rPr>
          <w:rFonts w:ascii="Times New Roman" w:hAnsi="Times New Roman" w:eastAsia="Calibri" w:cs="Times New Roman"/>
          <w:b/>
          <w:bCs/>
          <w:sz w:val="24"/>
          <w:szCs w:val="24"/>
          <w:lang w:eastAsia="x-none"/>
        </w:rPr>
      </w:pPr>
      <w:r>
        <w:rPr>
          <w:rFonts w:eastAsia="Calibri" w:cs="Times New Roman" w:ascii="Times New Roman" w:hAnsi="Times New Roman"/>
          <w:b/>
          <w:bCs/>
          <w:sz w:val="24"/>
          <w:szCs w:val="24"/>
          <w:lang w:eastAsia="x-none"/>
        </w:rPr>
      </w:r>
      <w:bookmarkStart w:id="31" w:name="_Toc46743510"/>
      <w:bookmarkStart w:id="32" w:name="_Toc46743510"/>
      <w:bookmarkEnd w:id="32"/>
      <w:r>
        <w:br w:type="page"/>
      </w:r>
    </w:p>
    <w:p>
      <w:pPr>
        <w:pStyle w:val="Heading4"/>
        <w:numPr>
          <w:ilvl w:val="2"/>
          <w:numId w:val="3"/>
        </w:numPr>
        <w:ind w:hanging="720" w:left="720"/>
        <w:rPr>
          <w:lang w:val="ru-RU"/>
        </w:rPr>
      </w:pPr>
      <w:r>
        <w:rPr>
          <w:lang w:val="ru-RU"/>
        </w:rPr>
        <w:t>Требования к срокам поставки МТР, выполнению работ</w:t>
      </w:r>
    </w:p>
    <w:p>
      <w:pPr>
        <w:pStyle w:val="Normal"/>
        <w:spacing w:lineRule="auto" w:line="240" w:before="60" w:after="6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Дата начала срока – дата, следующая за датой подписания договора (далее – Д).</w:t>
      </w:r>
    </w:p>
    <w:p>
      <w:pPr>
        <w:pStyle w:val="Normal"/>
        <w:spacing w:lineRule="auto" w:line="240" w:before="60" w:after="6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Сроки поставки продукции рассчитывается в календарных днях относительно даты начала в формате «Д +… к.д.».</w:t>
      </w:r>
    </w:p>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3.1. Требования по срокам поставки МТР</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92"/>
        <w:gridCol w:w="5959"/>
        <w:gridCol w:w="1557"/>
        <w:gridCol w:w="46"/>
        <w:gridCol w:w="1666"/>
      </w:tblGrid>
      <w:tr>
        <w:trPr/>
        <w:tc>
          <w:tcPr>
            <w:tcW w:w="692"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 xml:space="preserve">№ </w:t>
            </w:r>
            <w:r>
              <w:rPr>
                <w:rFonts w:eastAsia="Times New Roman" w:cs="Times New Roman" w:ascii="Times New Roman" w:hAnsi="Times New Roman"/>
                <w:b/>
                <w:sz w:val="20"/>
                <w:szCs w:val="20"/>
                <w:lang w:eastAsia="ru-RU"/>
              </w:rPr>
              <w:t>п/п</w:t>
            </w:r>
          </w:p>
        </w:tc>
        <w:tc>
          <w:tcPr>
            <w:tcW w:w="5959"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Наименование продукции / партии продукции</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началу срока поставки продукции</w:t>
            </w:r>
          </w:p>
        </w:tc>
        <w:tc>
          <w:tcPr>
            <w:tcW w:w="1712"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окончанию срока поставки продукции</w:t>
            </w:r>
          </w:p>
        </w:tc>
      </w:tr>
      <w:tr>
        <w:trPr/>
        <w:tc>
          <w:tcPr>
            <w:tcW w:w="692"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5959"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ind w:left="57" w:right="57"/>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1712"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ind w:left="57" w:right="57"/>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r>
      <w:tr>
        <w:trPr>
          <w:trHeight w:val="1264" w:hRule="atLeast"/>
        </w:trPr>
        <w:tc>
          <w:tcPr>
            <w:tcW w:w="692"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numPr>
                <w:ilvl w:val="0"/>
                <w:numId w:val="10"/>
              </w:numPr>
              <w:spacing w:lineRule="auto" w:line="240" w:before="60" w:after="60"/>
              <w:jc w:val="center"/>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r>
          </w:p>
        </w:tc>
        <w:tc>
          <w:tcPr>
            <w:tcW w:w="9228" w:type="dxa"/>
            <w:gridSpan w:val="4"/>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60" w:after="60"/>
              <w:jc w:val="both"/>
              <w:rPr>
                <w:rFonts w:ascii="Times New Roman" w:hAnsi="Times New Roman" w:cs="Times New Roman"/>
                <w:sz w:val="24"/>
                <w:szCs w:val="24"/>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 xml:space="preserve">26.30.11.139 </w:t>
            </w:r>
            <w:r>
              <w:rPr>
                <w:rFonts w:eastAsia="Calibri" w:cs="Times New Roman" w:ascii="Times New Roman" w:hAnsi="Times New Roman"/>
                <w:sz w:val="24"/>
                <w:szCs w:val="24"/>
                <w:lang w:eastAsia="ru-RU"/>
              </w:rPr>
              <w:t>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а именно:</w:t>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оборудования АСУТП (для реализации ДУ)</w:t>
            </w:r>
          </w:p>
        </w:tc>
        <w:tc>
          <w:tcPr>
            <w:tcW w:w="160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w:t>
            </w:r>
          </w:p>
        </w:tc>
        <w:tc>
          <w:tcPr>
            <w:tcW w:w="16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val="en-US" w:eastAsia="ru-RU"/>
              </w:rPr>
              <w:t>01</w:t>
            </w:r>
            <w:r>
              <w:rPr>
                <w:rFonts w:eastAsia="Times New Roman" w:cs="Times New Roman" w:ascii="Times New Roman" w:hAnsi="Times New Roman"/>
                <w:sz w:val="24"/>
                <w:szCs w:val="24"/>
                <w:lang w:eastAsia="ru-RU"/>
              </w:rPr>
              <w:t>.12.2026</w:t>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ПО АСУТП (для реализации ДУ)</w:t>
            </w:r>
          </w:p>
        </w:tc>
        <w:tc>
          <w:tcPr>
            <w:tcW w:w="1603" w:type="dxa"/>
            <w:gridSpan w:val="2"/>
            <w:vMerge w:val="continue"/>
            <w:tcBorders>
              <w:left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c>
          <w:tcPr>
            <w:tcW w:w="1666" w:type="dxa"/>
            <w:vMerge w:val="continue"/>
            <w:tcBorders>
              <w:left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ЗИП АСУТП (для реализации ДУ)</w:t>
            </w:r>
          </w:p>
        </w:tc>
        <w:tc>
          <w:tcPr>
            <w:tcW w:w="160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c>
          <w:tcPr>
            <w:tcW w:w="16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оборудования по терминальным АРМ и сетевому оборудованию</w:t>
            </w:r>
          </w:p>
        </w:tc>
        <w:tc>
          <w:tcPr>
            <w:tcW w:w="160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lang w:eastAsia="ru-RU"/>
              </w:rPr>
              <w:t>Д</w:t>
            </w:r>
          </w:p>
        </w:tc>
        <w:tc>
          <w:tcPr>
            <w:tcW w:w="16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lang w:eastAsia="ru-RU"/>
              </w:rPr>
              <w:t>01.06.2027</w:t>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ПО по терминальным АРМ и сетевому оборудованию</w:t>
            </w:r>
          </w:p>
        </w:tc>
        <w:tc>
          <w:tcPr>
            <w:tcW w:w="160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c>
          <w:tcPr>
            <w:tcW w:w="166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r>
      <w:tr>
        <w:trPr/>
        <w:tc>
          <w:tcPr>
            <w:tcW w:w="69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6"/>
              </w:numPr>
              <w:spacing w:before="60" w:after="60"/>
              <w:ind w:hanging="0" w:left="29"/>
              <w:contextualSpacing/>
              <w:jc w:val="center"/>
              <w:rPr/>
            </w:pPr>
            <w:r>
              <w:rPr/>
            </w:r>
          </w:p>
        </w:tc>
        <w:tc>
          <w:tcPr>
            <w:tcW w:w="5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Комплект ЗИП по терминальным АРМ и сетевому оборудованию</w:t>
            </w:r>
          </w:p>
        </w:tc>
        <w:tc>
          <w:tcPr>
            <w:tcW w:w="160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c>
          <w:tcPr>
            <w:tcW w:w="166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jc w:val="center"/>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tc>
      </w:tr>
    </w:tbl>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3.1. Требования по срокам выполнения работ, услуг</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821"/>
        <w:gridCol w:w="5830"/>
        <w:gridCol w:w="1579"/>
        <w:gridCol w:w="46"/>
        <w:gridCol w:w="1644"/>
      </w:tblGrid>
      <w:tr>
        <w:trPr>
          <w:tblHeader w:val="true"/>
        </w:trPr>
        <w:tc>
          <w:tcPr>
            <w:tcW w:w="821"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 xml:space="preserve">№ </w:t>
            </w:r>
            <w:r>
              <w:rPr>
                <w:rFonts w:eastAsia="Times New Roman" w:cs="Times New Roman" w:ascii="Times New Roman" w:hAnsi="Times New Roman"/>
                <w:b/>
                <w:sz w:val="20"/>
                <w:szCs w:val="20"/>
                <w:lang w:eastAsia="ru-RU"/>
              </w:rPr>
              <w:t>п/п</w:t>
            </w:r>
          </w:p>
        </w:tc>
        <w:tc>
          <w:tcPr>
            <w:tcW w:w="5830"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Наименование продукции / партии продукции</w:t>
            </w:r>
          </w:p>
        </w:tc>
        <w:tc>
          <w:tcPr>
            <w:tcW w:w="1579"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началу срока поставки продукции</w:t>
            </w:r>
          </w:p>
        </w:tc>
        <w:tc>
          <w:tcPr>
            <w:tcW w:w="1690"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окончанию срока поставки продукции</w:t>
            </w:r>
          </w:p>
        </w:tc>
      </w:tr>
      <w:tr>
        <w:trPr>
          <w:tblHeader w:val="true"/>
        </w:trPr>
        <w:tc>
          <w:tcPr>
            <w:tcW w:w="821"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5830"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1579"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ind w:left="57" w:right="57"/>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1690"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ind w:left="57" w:right="57"/>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r>
      <w:tr>
        <w:trPr>
          <w:trHeight w:val="555" w:hRule="atLeast"/>
        </w:trPr>
        <w:tc>
          <w:tcPr>
            <w:tcW w:w="82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numPr>
                <w:ilvl w:val="0"/>
                <w:numId w:val="22"/>
              </w:numPr>
              <w:spacing w:lineRule="auto" w:line="240" w:before="60" w:after="60"/>
              <w:jc w:val="center"/>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r>
          </w:p>
        </w:tc>
        <w:tc>
          <w:tcPr>
            <w:tcW w:w="9099" w:type="dxa"/>
            <w:gridSpan w:val="4"/>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60" w:after="60"/>
              <w:jc w:val="both"/>
              <w:rPr>
                <w:rFonts w:ascii="Times New Roman" w:hAnsi="Times New Roman" w:cs="Times New Roman"/>
                <w:sz w:val="24"/>
                <w:szCs w:val="24"/>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а именно:</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Предпроектное обследование. Разработка отчета ППО. Разработка рабочей документации по организации ДУ</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01.11.2026</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Разработка РД на импортозамещение терминальных АРМ и сетевого оборудования в шкафах АСУТП</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30.12.2026</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строительно-монтажных работ ДУ</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01.12.2026</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строительно-монтажных работ по терминальным АРМ и сетевому оборудованию</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01.10.2027</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пусконаладочных работ ПТК АСУТП в части ДУ</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27.12.2026</w:t>
            </w:r>
          </w:p>
        </w:tc>
      </w:tr>
      <w:tr>
        <w:trPr/>
        <w:tc>
          <w:tcPr>
            <w:tcW w:w="8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15"/>
              </w:numPr>
              <w:spacing w:before="60" w:after="60"/>
              <w:ind w:hanging="0" w:left="0"/>
              <w:contextualSpacing w:val="false"/>
              <w:rPr/>
            </w:pPr>
            <w:r>
              <w:rPr/>
            </w:r>
          </w:p>
        </w:tc>
        <w:tc>
          <w:tcPr>
            <w:tcW w:w="58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60" w:after="60"/>
              <w:rPr>
                <w:rFonts w:ascii="Times New Roman" w:hAnsi="Times New Roman" w:eastAsia="Times New Roman" w:cs="Times New Roman"/>
                <w:color w:val="000000" w:themeColor="text1"/>
                <w:sz w:val="24"/>
                <w:szCs w:val="24"/>
                <w:lang w:eastAsia="ru-RU"/>
              </w:rPr>
            </w:pPr>
            <w:r>
              <w:rPr>
                <w:rFonts w:eastAsia="Times New Roman" w:cs="Times New Roman" w:ascii="Times New Roman" w:hAnsi="Times New Roman"/>
                <w:color w:val="000000" w:themeColor="text1"/>
                <w:sz w:val="24"/>
                <w:szCs w:val="24"/>
                <w:lang w:eastAsia="ru-RU"/>
              </w:rPr>
              <w:t>Выполнение пусконаладочных работ ПТК АСУТП в по  терминальным АРМ и сетевому оборудованию</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eastAsia="ru-RU"/>
              </w:rPr>
              <w:t>Д</w:t>
            </w:r>
          </w:p>
        </w:tc>
        <w:tc>
          <w:tcPr>
            <w:tcW w:w="1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jc w:val="center"/>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30.12.2027</w:t>
            </w:r>
          </w:p>
        </w:tc>
      </w:tr>
    </w:tbl>
    <w:p>
      <w:pPr>
        <w:sectPr>
          <w:footerReference w:type="default" r:id="rId2"/>
          <w:type w:val="nextPage"/>
          <w:pgSz w:w="11906" w:h="16838"/>
          <w:pgMar w:left="1418" w:right="567" w:gutter="0" w:header="0" w:top="567" w:footer="567" w:bottom="709"/>
          <w:pgNumType w:fmt="decimal"/>
          <w:formProt w:val="false"/>
          <w:titlePg/>
          <w:textDirection w:val="lrTb"/>
          <w:docGrid w:type="default" w:linePitch="381" w:charSpace="28672"/>
        </w:sectPr>
      </w:pPr>
    </w:p>
    <w:p>
      <w:pPr>
        <w:pStyle w:val="Heading4"/>
        <w:numPr>
          <w:ilvl w:val="1"/>
          <w:numId w:val="3"/>
        </w:numPr>
        <w:spacing w:before="240" w:after="60"/>
        <w:ind w:hanging="431" w:left="431"/>
        <w:rPr>
          <w:lang w:val="ru-RU"/>
        </w:rPr>
      </w:pPr>
      <w:bookmarkStart w:id="33" w:name="_Toc193878091"/>
      <w:r>
        <w:rPr>
          <w:lang w:val="ru-RU"/>
        </w:rPr>
        <w:t>Требования к продукции</w:t>
      </w:r>
      <w:bookmarkEnd w:id="33"/>
    </w:p>
    <w:p>
      <w:pPr>
        <w:pStyle w:val="Normal"/>
        <w:spacing w:lineRule="auto" w:line="240" w:before="60" w:after="60"/>
        <w:rPr>
          <w:rFonts w:ascii="Times New Roman" w:hAnsi="Times New Roman" w:cs="Times New Roman"/>
          <w:b/>
          <w:sz w:val="24"/>
          <w:szCs w:val="24"/>
        </w:rPr>
      </w:pPr>
      <w:r>
        <w:rPr>
          <w:rFonts w:cs="Times New Roman" w:ascii="Times New Roman" w:hAnsi="Times New Roman"/>
          <w:b/>
          <w:sz w:val="24"/>
          <w:szCs w:val="24"/>
        </w:rPr>
        <w:t>Наименование продукции (позиция № 1. Таблицы 2.2.):</w:t>
      </w:r>
    </w:p>
    <w:p>
      <w:pPr>
        <w:pStyle w:val="Normal"/>
        <w:spacing w:lineRule="auto" w:line="240" w:before="60" w:after="6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ОКПД2 </w:t>
      </w:r>
      <w:r>
        <w:rPr>
          <w:rFonts w:cs="Times New Roman" w:ascii="Times New Roman" w:hAnsi="Times New Roman"/>
          <w:caps/>
          <w:sz w:val="24"/>
          <w:szCs w:val="24"/>
        </w:rPr>
        <w:t>26.30.11.139</w:t>
      </w:r>
      <w:r>
        <w:rPr>
          <w:rFonts w:eastAsia="Calibri" w:cs="Times New Roman" w:ascii="Times New Roman" w:hAnsi="Times New Roman"/>
          <w:sz w:val="24"/>
          <w:szCs w:val="24"/>
          <w:lang w:eastAsia="ru-RU"/>
        </w:rPr>
        <w:t xml:space="preserve"> Разработка рабочей документации, поставка, монтаж, наладка составных частей ПТК АСУТП Богучанской ГЭС в целях выполнения дистанционного управления КРУЭ 220кВ и КРУЭ 500кВ от Красноярского РДУ и ОДУ Сибири по принадлежности» в Красноярском крае, Кежемский муниципальный округ, Богучанская ГЭС на р. Ангара.  (лот № </w:t>
      </w:r>
      <w:r>
        <w:rPr>
          <w:rStyle w:val="Strong"/>
          <w:rFonts w:eastAsia="Calibri" w:cs="Times New Roman" w:ascii="Times New Roman" w:hAnsi="Times New Roman"/>
          <w:b w:val="false"/>
          <w:bCs w:val="false"/>
          <w:sz w:val="24"/>
          <w:szCs w:val="24"/>
          <w:lang w:eastAsia="ru-RU"/>
        </w:rPr>
        <w:t>0054-ТПиР ИТ ДОХ-2026-РГЦР).</w:t>
      </w:r>
    </w:p>
    <w:p>
      <w:pPr>
        <w:pStyle w:val="Normal"/>
        <w:spacing w:lineRule="auto" w:line="240" w:before="240" w:after="120"/>
        <w:jc w:val="both"/>
        <w:rPr>
          <w:rFonts w:ascii="Times New Roman" w:hAnsi="Times New Roman" w:cs="Times New Roman"/>
          <w:b/>
          <w:i/>
          <w:i/>
          <w:sz w:val="24"/>
          <w:szCs w:val="24"/>
          <w:u w:val="single"/>
        </w:rPr>
      </w:pPr>
      <w:r>
        <w:rPr>
          <w:rFonts w:eastAsia="Calibri" w:cs="Times New Roman" w:ascii="Times New Roman" w:hAnsi="Times New Roman"/>
          <w:b/>
          <w:i/>
          <w:sz w:val="24"/>
          <w:szCs w:val="24"/>
          <w:u w:val="single"/>
          <w:lang w:eastAsia="ru-RU"/>
        </w:rPr>
        <w:t>Стадия 1. Разработка проектной документации по модернизации ПТК АСУТП Богучанской ГЭС по ДУ и импортозамещению терминальных АРМ и сетевого оборудования в шкафах АСУТП    (позиции №№ 1.1.- 1.4. Таблицы 2.2.)</w:t>
      </w:r>
    </w:p>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4.1. Требования к выполнению проектных работ</w:t>
      </w:r>
    </w:p>
    <w:tbl>
      <w:tblPr>
        <w:tblStyle w:val="52"/>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716"/>
        <w:gridCol w:w="2468"/>
        <w:gridCol w:w="12520"/>
      </w:tblGrid>
      <w:tr>
        <w:trPr>
          <w:tblHeader w:val="true"/>
          <w:trHeight w:val="269" w:hRule="atLeast"/>
        </w:trPr>
        <w:tc>
          <w:tcPr>
            <w:tcW w:w="716" w:type="dxa"/>
            <w:vMerge w:val="restart"/>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 xml:space="preserve">№ </w:t>
            </w:r>
            <w:r>
              <w:rPr>
                <w:rFonts w:eastAsia="Times New Roman" w:cs="Times New Roman" w:ascii="Times New Roman" w:hAnsi="Times New Roman"/>
                <w:b/>
                <w:bCs/>
                <w:kern w:val="0"/>
                <w:sz w:val="20"/>
                <w:szCs w:val="20"/>
                <w:lang w:val="ru-RU" w:eastAsia="ru-RU" w:bidi="ar-SA"/>
              </w:rPr>
              <w:t>п/п</w:t>
            </w:r>
          </w:p>
        </w:tc>
        <w:tc>
          <w:tcPr>
            <w:tcW w:w="2468" w:type="dxa"/>
            <w:vMerge w:val="restart"/>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Наименование параметра</w:t>
            </w:r>
          </w:p>
        </w:tc>
        <w:tc>
          <w:tcPr>
            <w:tcW w:w="12520" w:type="dxa"/>
            <w:vMerge w:val="restart"/>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Требование заказчика</w:t>
            </w:r>
          </w:p>
        </w:tc>
      </w:tr>
      <w:tr>
        <w:trPr>
          <w:tblHeader w:val="true"/>
          <w:trHeight w:val="269" w:hRule="atLeast"/>
        </w:trPr>
        <w:tc>
          <w:tcPr>
            <w:tcW w:w="716" w:type="dxa"/>
            <w:vMerge w:val="continue"/>
            <w:tcBorders/>
          </w:tcPr>
          <w:p>
            <w:pPr>
              <w:pStyle w:val="Normal"/>
              <w:widowControl/>
              <w:suppressAutoHyphens w:val="false"/>
              <w:spacing w:lineRule="auto" w:line="240" w:before="0" w:after="0"/>
              <w:jc w:val="center"/>
              <w:rPr>
                <w:b/>
                <w:bCs/>
              </w:rPr>
            </w:pPr>
            <w:r>
              <w:rPr>
                <w:b/>
                <w:bCs/>
              </w:rPr>
            </w:r>
          </w:p>
        </w:tc>
        <w:tc>
          <w:tcPr>
            <w:tcW w:w="2468" w:type="dxa"/>
            <w:vMerge w:val="continue"/>
            <w:tcBorders/>
          </w:tcPr>
          <w:p>
            <w:pPr>
              <w:pStyle w:val="Normal"/>
              <w:widowControl/>
              <w:suppressAutoHyphens w:val="false"/>
              <w:spacing w:lineRule="auto" w:line="240" w:before="0" w:after="0"/>
              <w:jc w:val="center"/>
              <w:rPr>
                <w:b/>
                <w:bCs/>
              </w:rPr>
            </w:pPr>
            <w:r>
              <w:rPr>
                <w:b/>
                <w:bCs/>
              </w:rPr>
            </w:r>
          </w:p>
        </w:tc>
        <w:tc>
          <w:tcPr>
            <w:tcW w:w="12520" w:type="dxa"/>
            <w:vMerge w:val="continue"/>
            <w:tcBorders/>
          </w:tcPr>
          <w:p>
            <w:pPr>
              <w:pStyle w:val="Normal"/>
              <w:widowControl/>
              <w:suppressAutoHyphens w:val="false"/>
              <w:spacing w:lineRule="auto" w:line="240" w:before="0" w:after="0"/>
              <w:jc w:val="center"/>
              <w:rPr>
                <w:b/>
                <w:bCs/>
              </w:rPr>
            </w:pPr>
            <w:r>
              <w:rPr>
                <w:b/>
                <w:bCs/>
              </w:rPr>
            </w:r>
          </w:p>
        </w:tc>
      </w:tr>
      <w:tr>
        <w:trPr>
          <w:tblHeader w:val="true"/>
        </w:trPr>
        <w:tc>
          <w:tcPr>
            <w:tcW w:w="716" w:type="dxa"/>
            <w:tcBorders/>
          </w:tcPr>
          <w:p>
            <w:pPr>
              <w:pStyle w:val="Normal"/>
              <w:widowControl/>
              <w:suppressAutoHyphens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b/>
                <w:kern w:val="0"/>
                <w:sz w:val="20"/>
                <w:szCs w:val="20"/>
                <w:lang w:val="ru-RU" w:eastAsia="ru-RU" w:bidi="ar-SA"/>
              </w:rPr>
              <w:t>1</w:t>
            </w:r>
          </w:p>
        </w:tc>
        <w:tc>
          <w:tcPr>
            <w:tcW w:w="2468" w:type="dxa"/>
            <w:tcBorders/>
            <w:vAlign w:val="center"/>
          </w:tcPr>
          <w:p>
            <w:pPr>
              <w:pStyle w:val="Normal"/>
              <w:widowControl/>
              <w:suppressAutoHyphens w:val="false"/>
              <w:spacing w:lineRule="auto" w:line="240" w:before="0" w:after="0"/>
              <w:jc w:val="center"/>
              <w:rPr>
                <w:b/>
              </w:rPr>
            </w:pPr>
            <w:r>
              <w:rPr>
                <w:rFonts w:eastAsia="Times New Roman" w:cs="Times New Roman" w:ascii="Times New Roman" w:hAnsi="Times New Roman"/>
                <w:b/>
                <w:kern w:val="0"/>
                <w:sz w:val="20"/>
                <w:szCs w:val="20"/>
                <w:lang w:val="ru-RU" w:eastAsia="ru-RU" w:bidi="ar-SA"/>
              </w:rPr>
              <w:t>2</w:t>
            </w:r>
          </w:p>
        </w:tc>
        <w:tc>
          <w:tcPr>
            <w:tcW w:w="12520" w:type="dxa"/>
            <w:tcBorders/>
            <w:vAlign w:val="center"/>
          </w:tcPr>
          <w:p>
            <w:pPr>
              <w:pStyle w:val="Normal"/>
              <w:widowControl/>
              <w:suppressAutoHyphens w:val="false"/>
              <w:spacing w:lineRule="auto" w:line="240" w:before="0" w:after="0"/>
              <w:jc w:val="center"/>
              <w:rPr>
                <w:b/>
              </w:rPr>
            </w:pPr>
            <w:r>
              <w:rPr>
                <w:rFonts w:eastAsia="Times New Roman" w:cs="Times New Roman" w:ascii="Times New Roman" w:hAnsi="Times New Roman"/>
                <w:b/>
                <w:kern w:val="0"/>
                <w:sz w:val="20"/>
                <w:szCs w:val="20"/>
                <w:lang w:val="ru-RU" w:eastAsia="ru-RU" w:bidi="ar-SA"/>
              </w:rPr>
              <w:t>3</w:t>
            </w:r>
          </w:p>
        </w:tc>
      </w:tr>
      <w:tr>
        <w:trPr/>
        <w:tc>
          <w:tcPr>
            <w:tcW w:w="716" w:type="dxa"/>
            <w:tcBorders/>
          </w:tcPr>
          <w:p>
            <w:pPr>
              <w:pStyle w:val="Normal"/>
              <w:widowControl/>
              <w:numPr>
                <w:ilvl w:val="0"/>
                <w:numId w:val="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Требования к выполнению работ</w:t>
            </w:r>
          </w:p>
        </w:tc>
      </w:tr>
      <w:tr>
        <w:trPr/>
        <w:tc>
          <w:tcPr>
            <w:tcW w:w="716" w:type="dxa"/>
            <w:tcBorders/>
          </w:tcPr>
          <w:p>
            <w:pPr>
              <w:pStyle w:val="Normal"/>
              <w:widowControl/>
              <w:numPr>
                <w:ilvl w:val="1"/>
                <w:numId w:val="6"/>
              </w:numPr>
              <w:suppressAutoHyphens w:val="false"/>
              <w:spacing w:lineRule="auto" w:line="240" w:before="60" w:after="60"/>
              <w:jc w:val="left"/>
              <w:rPr>
                <w:rFonts w:eastAsia="Calibri"/>
                <w:b/>
                <w:bCs/>
                <w:sz w:val="24"/>
                <w:szCs w:val="24"/>
              </w:rPr>
            </w:pPr>
            <w:r>
              <w:rPr>
                <w:rFonts w:eastAsia="Calibri"/>
                <w:b/>
                <w:bCs/>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Общие требования к выполнению работ</w:t>
            </w:r>
          </w:p>
        </w:tc>
      </w:tr>
      <w:tr>
        <w:trPr/>
        <w:tc>
          <w:tcPr>
            <w:tcW w:w="716" w:type="dxa"/>
            <w:tcBorders/>
          </w:tcPr>
          <w:p>
            <w:pPr>
              <w:pStyle w:val="Normal"/>
              <w:widowControl/>
              <w:numPr>
                <w:ilvl w:val="2"/>
                <w:numId w:val="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Объекты и границы проектирования</w:t>
            </w:r>
          </w:p>
        </w:tc>
        <w:tc>
          <w:tcPr>
            <w:tcW w:w="12520" w:type="dxa"/>
            <w:tcBorders/>
          </w:tcPr>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Объектом проектирования является ПТК АСУТП Богучанской ГЭС.</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Выполняется проектирование комплекта ПД и РД по СОТИ АССО, включая схемы подключения первичных преобразователей к ССПИ.</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Выполняется проектирование комплекта РД по дистанционному управлению, включая схемы управления и сигнализации ячеек КРУЭ, ШМУ, ПТК ДУС 220кВ, ПТК ДУС 500кВ, ГРАРМ. Границами проектирования по подключению и привязке оборудования полевого уровня к СОТИАССО являются выходные клеммы шкафов каждого из объектов контроля/управления.</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Выполняется разработка отдельного перечня сигналов, участвующих в СОТИ АССО и ДУ, Формуляр согласования приема / передачи данных между системой АСУП (СОТИ) АО «Богучанская ГЭС» и Диспетчерским Центром согласно ГОСТ Р МЭК 60870-5-104. </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Выполняется проектирование отдельного комплекта рабочей документации по организации каналов связи с описанием средств криптографической защиты информации и принятыми мерами информационной безопасности.</w:t>
            </w:r>
          </w:p>
          <w:p>
            <w:pPr>
              <w:pStyle w:val="Normal"/>
              <w:widowControl/>
              <w:numPr>
                <w:ilvl w:val="3"/>
                <w:numId w:val="6"/>
              </w:numPr>
              <w:suppressAutoHyphens w:val="false"/>
              <w:spacing w:lineRule="auto" w:line="240" w:before="60" w:after="60"/>
              <w:jc w:val="both"/>
              <w:rPr>
                <w:rFonts w:eastAsia="Calibri"/>
                <w:sz w:val="24"/>
                <w:szCs w:val="24"/>
              </w:rPr>
            </w:pPr>
            <w:r>
              <w:rPr>
                <w:rFonts w:eastAsia="Times New Roman" w:cs="Times New Roman" w:ascii="Times New Roman" w:hAnsi="Times New Roman"/>
                <w:color w:val="000000" w:themeColor="text1"/>
                <w:kern w:val="0"/>
                <w:sz w:val="24"/>
                <w:szCs w:val="24"/>
                <w:lang w:val="ru-RU" w:eastAsia="ru-RU" w:bidi="ar-SA"/>
              </w:rPr>
              <w:t>Выполняется разработка РД по импортозамещению терминальных АРМ и сетевого оборудования в шкафах АСУТП</w:t>
            </w:r>
          </w:p>
        </w:tc>
      </w:tr>
      <w:tr>
        <w:trPr/>
        <w:tc>
          <w:tcPr>
            <w:tcW w:w="716" w:type="dxa"/>
            <w:tcBorders/>
          </w:tcPr>
          <w:p>
            <w:pPr>
              <w:pStyle w:val="Normal"/>
              <w:widowControl/>
              <w:numPr>
                <w:ilvl w:val="2"/>
                <w:numId w:val="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Объём проектирования</w:t>
            </w:r>
          </w:p>
        </w:tc>
        <w:tc>
          <w:tcPr>
            <w:tcW w:w="12520" w:type="dxa"/>
            <w:tcBorders/>
          </w:tcPr>
          <w:p>
            <w:pPr>
              <w:pStyle w:val="Normal"/>
              <w:widowControl/>
              <w:suppressAutoHyphens w:val="false"/>
              <w:spacing w:lineRule="auto" w:line="240" w:before="60" w:after="60"/>
              <w:ind w:left="284"/>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 xml:space="preserve">В составе разрабатываемой документации обязательном порядке должно быть разработано (но не ограничиваясь): </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Пояснительная записка, включающая, в том числе, описание логических блокировок и функциональных модулей, реализованных в контроллерах и верхнем уровне АСУТП;</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Техническое задание на проектирование крипто защищённых каналов связи;</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Комплект РД. Схема организации крипто защищённых каналов связей СОТИ и ДУ;</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Модель угроз СОТИ АССО;</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Комплект РД. Система защиты информации АСУТП.</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и методика автономных испытаний логических блокировок и дистанционного управления коммутационным оборудованием КРУЭ 220кВ;</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и методика автономных испытаний логических блокировок и дистанционного управления коммутационным оборудованием КРУЭ 500кВ;</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 xml:space="preserve">Программа испытаний крипто защищённого канала связи; </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опытной эксплуатации АСУТП;</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автономных испытаний СОТИ АССО Богучанской ГЭС (прохождение сигналов);</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автономных испытаний СОТИ АССО Богучанской ГЭС (управление КА КРУЭ);</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и методики комплексных испытаний СОТИАССО Богучанской ГЭС в части передачи дополнительного объема телеметрической информации для целей ДУ;</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Программа приемочных испытаний АСУТП;</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Программы проверки информационного обмена для целей дистанционного управления между АСУ ТП Богучанской ГЭС и филиалами АО «СО ЕЭС» ОДУ Сибири и Красноярское РДУ;</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Формуляр согласования приема/передачи телеметрической информации по протоколу телемеханики согласно ГОСТ Р МЭК 60870-5-104-2004 между Богучанской ГЭС и Филиалом АО «СО ЕЭС» Красноярское РДУ (актуализированный);</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kern w:val="0"/>
                <w:sz w:val="24"/>
                <w:szCs w:val="24"/>
                <w:lang w:val="ru-RU" w:eastAsia="ru-RU" w:bidi="ar-SA"/>
              </w:rPr>
              <w:t xml:space="preserve">Формуляр согласования приема/передачи телеметрической информации по протоколу телемеханики согласно ГОСТ Р МЭК 60870-5-104-2004 между Богучанской ГЭС и Филиалом АО «СО ЕЭС» Красноярское РДУ для целей дистанционного управления; </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Формуляр согласования приема/передачи телеметрической информации по протоколу телемеханики согласно ГОСТ Р МЭК 60870-5-104-2004 между Богучанской ГЭС и Филиалом АО «СО ЕЭС» ОДУ Сибири для целей дистанционного управления.</w:t>
            </w:r>
          </w:p>
          <w:p>
            <w:pPr>
              <w:pStyle w:val="Normal"/>
              <w:widowControl/>
              <w:numPr>
                <w:ilvl w:val="3"/>
                <w:numId w:val="6"/>
              </w:numPr>
              <w:suppressAutoHyphens w:val="false"/>
              <w:spacing w:lineRule="auto" w:line="240" w:before="60" w:after="60"/>
              <w:jc w:val="both"/>
              <w:rPr>
                <w:rFonts w:eastAsia="Calibri"/>
                <w:sz w:val="24"/>
                <w:szCs w:val="24"/>
              </w:rPr>
            </w:pPr>
            <w:r>
              <w:rPr>
                <w:rFonts w:eastAsia="Calibri" w:cs="Times New Roman" w:ascii="Times New Roman" w:hAnsi="Times New Roman"/>
                <w:kern w:val="0"/>
                <w:sz w:val="24"/>
                <w:szCs w:val="24"/>
                <w:lang w:val="ru-RU" w:eastAsia="ru-RU" w:bidi="ar-SA"/>
              </w:rPr>
              <w:t>Включая корректировку конструкторской документации и схем внешних связей модернизируемых шкафов:</w:t>
            </w:r>
          </w:p>
          <w:p>
            <w:pPr>
              <w:pStyle w:val="Normal"/>
              <w:widowControl/>
              <w:suppressAutoHyphens w:val="false"/>
              <w:spacing w:lineRule="auto" w:line="240" w:before="60" w:after="60"/>
              <w:ind w:left="284"/>
              <w:jc w:val="both"/>
              <w:rPr>
                <w:rFonts w:eastAsia="Calibri"/>
                <w:sz w:val="24"/>
                <w:szCs w:val="24"/>
              </w:rPr>
            </w:pPr>
            <w:r>
              <w:rPr>
                <w:rFonts w:eastAsia="Calibri" w:cs="Times New Roman" w:ascii="Times New Roman" w:hAnsi="Times New Roman"/>
                <w:kern w:val="0"/>
                <w:sz w:val="24"/>
                <w:szCs w:val="24"/>
                <w:lang w:val="ru-RU" w:eastAsia="ru-RU" w:bidi="ar-SA"/>
              </w:rPr>
              <w:t xml:space="preserve"> </w:t>
            </w:r>
          </w:p>
          <w:tbl>
            <w:tblPr>
              <w:tblW w:w="974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810"/>
              <w:gridCol w:w="4820"/>
              <w:gridCol w:w="4117"/>
            </w:tblGrid>
            <w:tr>
              <w:trPr>
                <w:trHeight w:val="268" w:hRule="atLeast"/>
              </w:trPr>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w:t>
                  </w:r>
                  <w:r>
                    <w:rPr>
                      <w:rFonts w:eastAsia="Calibri" w:cs="Times New Roman" w:ascii="Times New Roman" w:hAnsi="Times New Roman"/>
                      <w:sz w:val="24"/>
                      <w:szCs w:val="24"/>
                      <w:lang w:eastAsia="ru-RU"/>
                    </w:rPr>
                    <w:t>п/п</w:t>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ind w:firstLine="25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Наименование основного средства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ind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Перечень документов</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Шкаф сетевого оборудования ШСО1.1.</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Шкаф сетевого оборудования ШСО1.2.</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ШОСИ. Шкаф общестанционный сигнализации и измерений</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ШСИ500. Шкаф сигнализации и измерений 220кВ</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ШСИ500. Шкаф сигнализации и измерений 500кВ</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ШУ500. Шкаф управления 220кВ</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ПТК ШУ500. Шкаф управления 500кВ</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Пульт-стол резервного пункта управления</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Пульт-стол ЦПУ</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ШУОС 6,3 кВ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ШУОС 0,4 кВ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1 (1Б3)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2 (2Б3)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p>
                  <w:pPr>
                    <w:pStyle w:val="Normal"/>
                    <w:widowControl w:val="false"/>
                    <w:spacing w:lineRule="auto" w:line="240" w:before="0" w:after="160"/>
                    <w:ind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3 (3Б3)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4 (4Б3)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5 (5Б3)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6 (6Б3)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7 (7Б3)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8 (8Б3)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управления генератором 9 (9Б3)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1 (1Б4)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2 (2Б4)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3 (3Б4)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4 (4Б4)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5 (5Б4)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6 (6Б4)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7 (7Б4)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8 (8Б4)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сигнализации и измерения генератора 9 (9Б4) (в части замены терминального АРМ и коммутатора)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УСО Водоприемника</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Шкаф обще станционный синхронизации времени (замена коммутатора и сервера точного времени)</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Конструкторская документация;</w:t>
                  </w:r>
                </w:p>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внешних связей шкафа.</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Р08.2024.00.001.С1</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Замена сетевого оборудования и архитектуры сети</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Р08.2024.00.002.С1</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Схема структурная организации сигнализации и управления в целях СОТИАССО, АВРЧМ и управления коммутационными аппаратами</w:t>
                  </w:r>
                </w:p>
              </w:tc>
            </w:tr>
            <w:tr>
              <w:trPr/>
              <w:tc>
                <w:tcPr>
                  <w:tcW w:w="81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39"/>
                    </w:numPr>
                    <w:ind w:hanging="360" w:left="360" w:right="423"/>
                    <w:jc w:val="both"/>
                    <w:rPr/>
                  </w:pPr>
                  <w:r>
                    <w:rPr/>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Р08.2024.00.0012.ПД</w:t>
                  </w:r>
                </w:p>
              </w:tc>
              <w:tc>
                <w:tcPr>
                  <w:tcW w:w="41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60"/>
                    <w:ind w:left="61" w:right="229"/>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Общее описание системы</w:t>
                  </w:r>
                </w:p>
              </w:tc>
            </w:tr>
          </w:tbl>
          <w:p>
            <w:pPr>
              <w:pStyle w:val="Normal"/>
              <w:widowControl/>
              <w:suppressAutoHyphens w:val="false"/>
              <w:spacing w:lineRule="auto" w:line="240" w:before="60" w:after="60"/>
              <w:ind w:left="284"/>
              <w:jc w:val="both"/>
              <w:rPr>
                <w:rFonts w:eastAsia="Calibri"/>
                <w:sz w:val="24"/>
                <w:szCs w:val="24"/>
              </w:rPr>
            </w:pPr>
            <w:r>
              <w:rPr>
                <w:rFonts w:eastAsia="Calibri" w:cs="Times New Roman" w:ascii="Times New Roman" w:hAnsi="Times New Roman"/>
                <w:kern w:val="0"/>
                <w:sz w:val="24"/>
                <w:szCs w:val="24"/>
                <w:lang w:val="ru-RU" w:eastAsia="ru-RU" w:bidi="ar-SA"/>
              </w:rPr>
              <w:t xml:space="preserve">Объем и состав разрабатываемой документации уточняется и согласовывается с Заказчиком на стадии реализации работ.   </w:t>
            </w:r>
          </w:p>
        </w:tc>
      </w:tr>
      <w:tr>
        <w:trPr/>
        <w:tc>
          <w:tcPr>
            <w:tcW w:w="716" w:type="dxa"/>
            <w:tcBorders/>
          </w:tcPr>
          <w:p>
            <w:pPr>
              <w:pStyle w:val="Normal"/>
              <w:widowControl/>
              <w:numPr>
                <w:ilvl w:val="2"/>
                <w:numId w:val="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Основные требования к проектным решениям</w:t>
            </w:r>
          </w:p>
        </w:tc>
        <w:tc>
          <w:tcPr>
            <w:tcW w:w="12520" w:type="dxa"/>
            <w:tcBorders/>
          </w:tcPr>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Содержание документации, разрабатываемой Поставщиком, должно соответствовать 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Документация, разрабатываемая Поставщиком, должна быть выполнена на основании проектной документации и рабочей, разработанной ООО «Ракурс-инжиниринг»</w:t>
            </w:r>
          </w:p>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Оборудование, применяемое в проекте, должно быть согласовано с Заказчиком и иметь сертификаты соответствия, качества, соответствовать Техническим регламентам Таможенного союза, Госстандарту РФ (ГОСТ Р), требованиям Федеральной службы по экологическому, технологическому и атомному надзору (Ростехнадзор), Роспотребнадзора РФ.</w:t>
            </w:r>
          </w:p>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Применяемое   оборудование   (контроллерное,   серверное,   коммутационное, АРМы, панели оператора и т.д.) должно иметь заключение МИНПРОМТОРГ о подтверждении   производства   на   территории   РФ,   в   соответствии   с</w:t>
              <w:tab/>
              <w:t>постановлением Правительства РФ №719 от 17.07.15 или постановлением</w:t>
              <w:tab/>
              <w:t xml:space="preserve">Правительства РФ №878 от 10.07.19. Программное обеспечение, применяемое для операционных систем и системы управления   базами   данных,   должно   быть   включены   в   Единый   реестр российских программ для электронных вычислительных машин и баз данных Минкомсвязи России (https://reestr.minsvyaz.ru/reestr/  ). </w:t>
            </w:r>
          </w:p>
          <w:p>
            <w:pPr>
              <w:pStyle w:val="Normal"/>
              <w:widowControl/>
              <w:numPr>
                <w:ilvl w:val="3"/>
                <w:numId w:val="6"/>
              </w:numPr>
              <w:tabs>
                <w:tab w:val="clear" w:pos="708"/>
                <w:tab w:val="left" w:pos="0" w:leader="none"/>
              </w:tabs>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Проектные решения должны обеспечивать достижение наилучших технических параметров и характеристик как на этапе строительства, так и этапе эксплуатации объекта и отвечать требованиям действующей нормативной документации, указанной в п. 2.4.1.1. 14) Таблицы 4.1.</w:t>
            </w:r>
          </w:p>
          <w:p>
            <w:pPr>
              <w:pStyle w:val="Normal"/>
              <w:widowControl/>
              <w:suppressAutoHyphens w:val="false"/>
              <w:spacing w:lineRule="auto" w:line="240" w:before="60" w:after="60"/>
              <w:ind w:left="851"/>
              <w:jc w:val="left"/>
              <w:rPr>
                <w:rFonts w:eastAsia="Calibri"/>
                <w:sz w:val="24"/>
                <w:szCs w:val="24"/>
              </w:rPr>
            </w:pPr>
            <w:r>
              <w:rPr>
                <w:rFonts w:eastAsia="Calibri"/>
                <w:sz w:val="24"/>
                <w:szCs w:val="24"/>
              </w:rPr>
            </w:r>
          </w:p>
        </w:tc>
      </w:tr>
      <w:tr>
        <w:trPr/>
        <w:tc>
          <w:tcPr>
            <w:tcW w:w="716" w:type="dxa"/>
            <w:tcBorders/>
          </w:tcPr>
          <w:p>
            <w:pPr>
              <w:pStyle w:val="Normal"/>
              <w:widowControl/>
              <w:numPr>
                <w:ilvl w:val="2"/>
                <w:numId w:val="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bCs/>
                <w:sz w:val="24"/>
                <w:szCs w:val="24"/>
              </w:rPr>
            </w:pPr>
            <w:r>
              <w:rPr>
                <w:rFonts w:eastAsia="Times New Roman" w:cs="Times New Roman" w:ascii="Times New Roman" w:hAnsi="Times New Roman"/>
                <w:kern w:val="0"/>
                <w:sz w:val="24"/>
                <w:szCs w:val="24"/>
                <w:lang w:val="ru-RU" w:eastAsia="ru-RU" w:bidi="ar-SA"/>
              </w:rPr>
              <w:t>Требования к объему выдаваемой документации</w:t>
            </w:r>
          </w:p>
        </w:tc>
        <w:tc>
          <w:tcPr>
            <w:tcW w:w="12520" w:type="dxa"/>
            <w:tcBorders/>
          </w:tcPr>
          <w:p>
            <w:pPr>
              <w:pStyle w:val="Normal"/>
              <w:widowControl/>
              <w:suppressAutoHyphens w:val="false"/>
              <w:spacing w:lineRule="auto" w:line="240" w:before="60" w:after="60"/>
              <w:ind w:left="284"/>
              <w:jc w:val="both"/>
              <w:rPr>
                <w:rFonts w:eastAsia="Calibri"/>
                <w:sz w:val="24"/>
                <w:szCs w:val="24"/>
              </w:rPr>
            </w:pPr>
            <w:r>
              <w:rPr>
                <w:rFonts w:eastAsia="Calibri" w:cs="Times New Roman" w:ascii="Times New Roman" w:hAnsi="Times New Roman"/>
                <w:kern w:val="0"/>
                <w:sz w:val="24"/>
                <w:szCs w:val="24"/>
                <w:lang w:val="ru-RU" w:eastAsia="ru-RU" w:bidi="ar-SA"/>
              </w:rPr>
              <w:t xml:space="preserve">Объем и состав разрабатываемой документации уточняется и согласовывается с Заказчиком на стадии реализации работ.   </w:t>
            </w:r>
          </w:p>
        </w:tc>
      </w:tr>
      <w:tr>
        <w:trPr/>
        <w:tc>
          <w:tcPr>
            <w:tcW w:w="716" w:type="dxa"/>
            <w:tcBorders/>
          </w:tcPr>
          <w:p>
            <w:pPr>
              <w:pStyle w:val="Normal"/>
              <w:widowControl/>
              <w:numPr>
                <w:ilvl w:val="2"/>
                <w:numId w:val="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Дополнительные требования к выполнению проектных работ</w:t>
            </w:r>
          </w:p>
        </w:tc>
        <w:tc>
          <w:tcPr>
            <w:tcW w:w="12520" w:type="dxa"/>
            <w:tcBorders/>
          </w:tcPr>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При разработке календарных планов-графиков Поставщик должен предусмотреть разбивку операций</w:t>
              <w:br/>
              <w:t>в графиках с недельным циклом.</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Поставщик должен осуществлять ежемесячную отчетность перед Заказчиком о ходе выполнения проектных работ в формате, подлежащем согласованию на стадии заключения Договора.</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При условии согласования Заказчиком необходимости привлечения субподрядных организаций Поставщик должен:</w:t>
            </w:r>
          </w:p>
          <w:p>
            <w:pPr>
              <w:pStyle w:val="ListParagraph"/>
              <w:widowControl/>
              <w:numPr>
                <w:ilvl w:val="0"/>
                <w:numId w:val="14"/>
              </w:numPr>
              <w:suppressAutoHyphens w:val="false"/>
              <w:spacing w:before="60" w:after="60"/>
              <w:ind w:hanging="567" w:left="1418"/>
              <w:contextualSpacing w:val="false"/>
              <w:jc w:val="both"/>
              <w:rPr>
                <w:kern w:val="0"/>
                <w:lang w:val="ru-RU" w:bidi="ar-SA"/>
              </w:rPr>
            </w:pPr>
            <w:r>
              <w:rPr>
                <w:kern w:val="0"/>
                <w:lang w:val="ru-RU" w:bidi="ar-SA"/>
              </w:rPr>
              <w:t>Разрабатывать, составлять и выдавать технические задания субподрядным организациям на выполнение отдельных видов и этапов работ;</w:t>
            </w:r>
          </w:p>
          <w:p>
            <w:pPr>
              <w:pStyle w:val="ListParagraph"/>
              <w:widowControl/>
              <w:numPr>
                <w:ilvl w:val="0"/>
                <w:numId w:val="14"/>
              </w:numPr>
              <w:suppressAutoHyphens w:val="false"/>
              <w:spacing w:before="60" w:after="60"/>
              <w:ind w:hanging="567" w:left="1418"/>
              <w:contextualSpacing w:val="false"/>
              <w:jc w:val="both"/>
              <w:rPr>
                <w:kern w:val="0"/>
                <w:lang w:val="ru-RU" w:bidi="ar-SA"/>
              </w:rPr>
            </w:pPr>
            <w:r>
              <w:rPr>
                <w:kern w:val="0"/>
                <w:lang w:val="ru-RU" w:bidi="ar-SA"/>
              </w:rPr>
              <w:t>Проводить согласование планов, программ, схем работ и сроков их выполнения с субпоставщиками;</w:t>
            </w:r>
          </w:p>
          <w:p>
            <w:pPr>
              <w:pStyle w:val="ListParagraph"/>
              <w:widowControl/>
              <w:numPr>
                <w:ilvl w:val="0"/>
                <w:numId w:val="14"/>
              </w:numPr>
              <w:suppressAutoHyphens w:val="false"/>
              <w:spacing w:before="60" w:after="60"/>
              <w:ind w:hanging="567" w:left="1418"/>
              <w:contextualSpacing w:val="false"/>
              <w:jc w:val="both"/>
              <w:rPr>
                <w:kern w:val="0"/>
                <w:lang w:val="ru-RU" w:bidi="ar-SA"/>
              </w:rPr>
            </w:pPr>
            <w:r>
              <w:rPr>
                <w:kern w:val="0"/>
                <w:lang w:val="ru-RU" w:bidi="ar-SA"/>
              </w:rPr>
              <w:t>Осуществлять координацию работы всех задействованных субподрядных организаций;</w:t>
            </w:r>
          </w:p>
          <w:p>
            <w:pPr>
              <w:pStyle w:val="ListParagraph"/>
              <w:widowControl/>
              <w:numPr>
                <w:ilvl w:val="0"/>
                <w:numId w:val="14"/>
              </w:numPr>
              <w:suppressAutoHyphens w:val="false"/>
              <w:spacing w:before="60" w:after="60"/>
              <w:ind w:hanging="567" w:left="1418"/>
              <w:contextualSpacing w:val="false"/>
              <w:jc w:val="both"/>
              <w:rPr>
                <w:kern w:val="0"/>
                <w:lang w:val="ru-RU" w:bidi="ar-SA"/>
              </w:rPr>
            </w:pPr>
            <w:r>
              <w:rPr>
                <w:kern w:val="0"/>
                <w:lang w:val="ru-RU" w:bidi="ar-SA"/>
              </w:rPr>
              <w:t>Осуществлять проверку качества и приемку работы, выполненной субподрядными организациями.</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Поставщик должен участвовать в устранении недочетов в рабочей документации в ходе реализации проекта ПТК АСУТП.</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Поставщиком должен за счет собственных сил и средств устранять все замечания заинтересованных организаций (в том числе экспертных, контролирующих и надзорных органов), а также несоответствия рабочей документации и проектных решений требованиям действующих нормативных</w:t>
              <w:br/>
              <w:t>и законодательных актов путем внесения необходимых исправлений и изменений в разрабатываемую проектную документацию.</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Поставщик должен выполнять рассмотрение, согласование и проверку исходных данных, получаемых</w:t>
              <w:br/>
              <w:t>от поставщиков оборудования на корректность технических параметров и характеристик, соответствие НТД, проектным решениям и совместимость со смежным оборудованием.</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При разработке маркировочных табличек изделий АСУТП, программного обеспечения, а также для кодирования входных/выходных сигналов, кроме KKS кодов тех сигналов, которые передаются в составе исходных данных, должна применяться инструкция по кодированию в системе KKS для данного объекта, передаваемая Поставщику в составе исходных данных.</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Средства и аппаратура, относящаяся к технологическим защитам (ряды зажимов, ключи и переключатели) должна применяться в соответствии с п. 375 Приказа Минэнерго России от 04.10.2022 № 1070 «Об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13.09.2018 г. N 757, от 12.07.2018 г. N 548» с изменениями от 08.04.2026 №343.</w:t>
            </w:r>
          </w:p>
          <w:p>
            <w:pPr>
              <w:pStyle w:val="Normal"/>
              <w:widowControl/>
              <w:numPr>
                <w:ilvl w:val="3"/>
                <w:numId w:val="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 </w:t>
            </w:r>
            <w:r>
              <w:rPr>
                <w:rFonts w:eastAsia="Calibri" w:cs="Times New Roman" w:ascii="Times New Roman" w:hAnsi="Times New Roman"/>
                <w:kern w:val="0"/>
                <w:sz w:val="24"/>
                <w:szCs w:val="24"/>
                <w:lang w:val="ru-RU" w:eastAsia="ru-RU" w:bidi="ar-SA"/>
              </w:rPr>
              <w:t>При создании схем организации каналов связи необходимо должно быть учтены требования СТО 59012820.35.110.002-2022 от 25.03.2022 и ГОСТ Р 71962-2025.</w:t>
            </w:r>
          </w:p>
        </w:tc>
      </w:tr>
      <w:tr>
        <w:trPr/>
        <w:tc>
          <w:tcPr>
            <w:tcW w:w="716" w:type="dxa"/>
            <w:tcBorders/>
          </w:tcPr>
          <w:p>
            <w:pPr>
              <w:pStyle w:val="Normal"/>
              <w:widowControl/>
              <w:numPr>
                <w:ilvl w:val="1"/>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Требования к организации работ</w:t>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Организационно-технические мероприятия по допуску персонала Поставщика</w:t>
            </w:r>
          </w:p>
        </w:tc>
        <w:tc>
          <w:tcPr>
            <w:tcW w:w="12520" w:type="dxa"/>
            <w:tcBorders/>
          </w:tcPr>
          <w:p>
            <w:pPr>
              <w:pStyle w:val="Normal"/>
              <w:widowControl/>
              <w:suppressAutoHyphens w:val="false"/>
              <w:spacing w:lineRule="auto" w:line="240" w:before="60" w:after="60"/>
              <w:jc w:val="both"/>
              <w:rPr>
                <w:rFonts w:ascii="Times New Roman" w:hAnsi="Times New Roman" w:eastAsia="Times New Roman" w:cs="Times New Roman"/>
                <w:lang w:eastAsia="ru-RU"/>
              </w:rPr>
            </w:pPr>
            <w:r>
              <w:rPr>
                <w:rFonts w:eastAsia="Times New Roman" w:cs="Times New Roman" w:ascii="Times New Roman" w:hAnsi="Times New Roman"/>
                <w:kern w:val="0"/>
                <w:sz w:val="24"/>
                <w:szCs w:val="24"/>
                <w:lang w:val="ru-RU" w:eastAsia="ru-RU" w:bidi="ar-SA"/>
              </w:rPr>
              <w:t xml:space="preserve">Допуск персонала Поставщика для выполнения работ должен осуществляться с обязательным оформлением необходимых инструктажей в соответствии Приложением № 11 к Техническим требованиям - </w:t>
            </w:r>
            <w:r>
              <w:rPr>
                <w:rFonts w:eastAsia="Times New Roman" w:cs="Times New Roman" w:ascii="Times New Roman" w:hAnsi="Times New Roman"/>
                <w:color w:val="000000" w:themeColor="text1"/>
                <w:kern w:val="0"/>
                <w:sz w:val="24"/>
                <w:szCs w:val="24"/>
                <w:lang w:val="ru-RU" w:eastAsia="ru-RU" w:bidi="ar-SA"/>
              </w:rPr>
              <w:t>Регламент процесса «Допуск персонала подрядных организаций на объекты ПАО «РусГидро» по Методике допуска персонала подрядных организаций к выполнению работ на объектах ПАО «РусГидро».</w:t>
            </w:r>
          </w:p>
        </w:tc>
      </w:tr>
      <w:tr>
        <w:trPr/>
        <w:tc>
          <w:tcPr>
            <w:tcW w:w="716" w:type="dxa"/>
            <w:tcBorders/>
          </w:tcPr>
          <w:p>
            <w:pPr>
              <w:pStyle w:val="Normal"/>
              <w:widowControl/>
              <w:numPr>
                <w:ilvl w:val="0"/>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bCs/>
                <w:sz w:val="24"/>
                <w:szCs w:val="24"/>
              </w:rPr>
            </w:pPr>
            <w:r>
              <w:rPr>
                <w:rFonts w:eastAsia="Times New Roman" w:cs="Times New Roman" w:ascii="Times New Roman" w:hAnsi="Times New Roman"/>
                <w:b/>
                <w:bCs/>
                <w:kern w:val="0"/>
                <w:sz w:val="24"/>
                <w:szCs w:val="24"/>
                <w:lang w:val="ru-RU" w:eastAsia="ru-RU" w:bidi="ar-SA"/>
              </w:rPr>
              <w:t>Требования к результатам работ</w:t>
            </w:r>
          </w:p>
        </w:tc>
      </w:tr>
      <w:tr>
        <w:trPr/>
        <w:tc>
          <w:tcPr>
            <w:tcW w:w="716" w:type="dxa"/>
            <w:tcBorders/>
          </w:tcPr>
          <w:p>
            <w:pPr>
              <w:pStyle w:val="Normal"/>
              <w:widowControl/>
              <w:numPr>
                <w:ilvl w:val="1"/>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Общие требования к результатам работ</w:t>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Учет особых условий работы оборудования и производства работ</w:t>
            </w:r>
          </w:p>
        </w:tc>
        <w:tc>
          <w:tcPr>
            <w:tcW w:w="12520" w:type="dxa"/>
            <w:tcBorders/>
          </w:tcPr>
          <w:p>
            <w:pPr>
              <w:pStyle w:val="Normal"/>
              <w:widowControl/>
              <w:suppressAutoHyphens w:val="false"/>
              <w:spacing w:lineRule="auto" w:line="240" w:before="60" w:after="60"/>
              <w:jc w:val="both"/>
              <w:rPr>
                <w:rFonts w:eastAsia="Calibri"/>
                <w:color w:val="000000" w:themeColor="text1"/>
                <w:sz w:val="24"/>
                <w:szCs w:val="24"/>
              </w:rPr>
            </w:pPr>
            <w:r>
              <w:rPr>
                <w:rFonts w:eastAsia="Calibri" w:cs="Times New Roman" w:ascii="Times New Roman" w:hAnsi="Times New Roman"/>
                <w:color w:val="000000" w:themeColor="text1"/>
                <w:kern w:val="0"/>
                <w:sz w:val="24"/>
                <w:szCs w:val="24"/>
                <w:lang w:val="ru-RU" w:eastAsia="ru-RU" w:bidi="ar-SA"/>
              </w:rPr>
              <w:t>При выполнении работ должны быть учтены следующие специальные условия:</w:t>
            </w:r>
          </w:p>
          <w:p>
            <w:pPr>
              <w:pStyle w:val="Normal"/>
              <w:widowControl/>
              <w:numPr>
                <w:ilvl w:val="3"/>
                <w:numId w:val="36"/>
              </w:numPr>
              <w:tabs>
                <w:tab w:val="clear" w:pos="708"/>
                <w:tab w:val="left" w:pos="135" w:leader="none"/>
              </w:tabs>
              <w:suppressAutoHyphens w:val="false"/>
              <w:spacing w:lineRule="auto" w:line="240" w:before="60" w:after="60"/>
              <w:ind w:hanging="851" w:left="851"/>
              <w:jc w:val="both"/>
              <w:rPr>
                <w:rFonts w:eastAsia="Calibri"/>
                <w:color w:val="000000" w:themeColor="text1"/>
                <w:sz w:val="24"/>
                <w:szCs w:val="24"/>
              </w:rPr>
            </w:pPr>
            <w:r>
              <w:rPr>
                <w:rFonts w:eastAsia="Calibri" w:cs="Times New Roman" w:ascii="Times New Roman" w:hAnsi="Times New Roman"/>
                <w:kern w:val="0"/>
                <w:sz w:val="24"/>
                <w:szCs w:val="24"/>
                <w:lang w:val="ru-RU" w:eastAsia="ru-RU" w:bidi="ar-SA"/>
              </w:rPr>
              <w:t xml:space="preserve">Работы по модернизации ПТК АСУТП Богучанской ГЭС ведутся на эксплуатируемом объекте. </w:t>
            </w:r>
          </w:p>
          <w:p>
            <w:pPr>
              <w:pStyle w:val="Normal"/>
              <w:widowControl/>
              <w:tabs>
                <w:tab w:val="clear" w:pos="708"/>
                <w:tab w:val="left" w:pos="135" w:leader="none"/>
              </w:tabs>
              <w:suppressAutoHyphens w:val="false"/>
              <w:spacing w:lineRule="auto" w:line="240" w:before="60" w:after="60"/>
              <w:ind w:left="851"/>
              <w:jc w:val="both"/>
              <w:rPr>
                <w:rFonts w:eastAsia="Calibri"/>
                <w:color w:val="000000" w:themeColor="text1"/>
                <w:sz w:val="24"/>
                <w:szCs w:val="24"/>
              </w:rPr>
            </w:pPr>
            <w:r>
              <w:rPr>
                <w:rFonts w:eastAsia="Calibri"/>
                <w:color w:val="000000" w:themeColor="text1"/>
                <w:sz w:val="24"/>
                <w:szCs w:val="24"/>
              </w:rPr>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Стадии проектирования</w:t>
            </w:r>
          </w:p>
        </w:tc>
        <w:tc>
          <w:tcPr>
            <w:tcW w:w="12520" w:type="dxa"/>
            <w:tcBorders/>
          </w:tcPr>
          <w:p>
            <w:pPr>
              <w:pStyle w:val="Normal"/>
              <w:widowControl/>
              <w:suppressAutoHyphens w:val="false"/>
              <w:spacing w:lineRule="auto" w:line="240" w:before="60" w:after="60"/>
              <w:jc w:val="left"/>
              <w:rPr>
                <w:sz w:val="24"/>
                <w:szCs w:val="24"/>
                <w:lang w:val="en-US"/>
              </w:rPr>
            </w:pPr>
            <w:r>
              <w:rPr>
                <w:rFonts w:eastAsia="Calibri" w:cs="Times New Roman" w:ascii="Times New Roman" w:hAnsi="Times New Roman"/>
                <w:kern w:val="0"/>
                <w:sz w:val="24"/>
                <w:szCs w:val="24"/>
                <w:lang w:val="en-US" w:eastAsia="ru-RU" w:bidi="ar-SA"/>
              </w:rPr>
              <w:t>Рабочая документация</w:t>
            </w:r>
          </w:p>
        </w:tc>
      </w:tr>
      <w:tr>
        <w:trPr/>
        <w:tc>
          <w:tcPr>
            <w:tcW w:w="716" w:type="dxa"/>
            <w:tcBorders/>
          </w:tcPr>
          <w:p>
            <w:pPr>
              <w:pStyle w:val="Normal"/>
              <w:widowControl/>
              <w:numPr>
                <w:ilvl w:val="1"/>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Cs/>
                <w:sz w:val="24"/>
                <w:szCs w:val="24"/>
              </w:rPr>
            </w:pPr>
            <w:r>
              <w:rPr>
                <w:rFonts w:eastAsia="Times New Roman" w:cs="Times New Roman" w:ascii="Times New Roman" w:hAnsi="Times New Roman"/>
                <w:b/>
                <w:bCs/>
                <w:kern w:val="0"/>
                <w:sz w:val="24"/>
                <w:szCs w:val="24"/>
                <w:lang w:val="ru-RU" w:eastAsia="ru-RU" w:bidi="ar-SA"/>
              </w:rPr>
              <w:t>Требования к порядку приемки результатов работ</w:t>
            </w:r>
            <w:r>
              <w:rPr>
                <w:rFonts w:eastAsia="Times New Roman" w:cs="Times New Roman" w:ascii="Times New Roman" w:hAnsi="Times New Roman"/>
                <w:bCs/>
                <w:kern w:val="0"/>
                <w:sz w:val="24"/>
                <w:szCs w:val="24"/>
                <w:lang w:val="ru-RU" w:eastAsia="ru-RU" w:bidi="ar-SA"/>
              </w:rPr>
              <w:t xml:space="preserve"> </w:t>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Порядок сдачи-приемки проектных работ</w:t>
            </w:r>
          </w:p>
        </w:tc>
        <w:tc>
          <w:tcPr>
            <w:tcW w:w="12520" w:type="dxa"/>
            <w:tcBorders/>
          </w:tcPr>
          <w:p>
            <w:pPr>
              <w:pStyle w:val="Normal"/>
              <w:widowControl w:val="false"/>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По завершении разработки ТРП оформляется Акт сдачи-приемки проектных работ с приложением результата работ.</w:t>
            </w:r>
          </w:p>
          <w:p>
            <w:pPr>
              <w:pStyle w:val="Normal"/>
              <w:widowControl w:val="false"/>
              <w:suppressAutoHyphens w:val="false"/>
              <w:spacing w:lineRule="auto" w:line="240" w:before="60" w:after="60"/>
              <w:jc w:val="left"/>
              <w:rPr>
                <w:rFonts w:eastAsia="Calibri"/>
                <w:sz w:val="24"/>
                <w:szCs w:val="24"/>
              </w:rPr>
            </w:pPr>
            <w:r>
              <w:rPr>
                <w:rFonts w:eastAsia="Calibri"/>
                <w:sz w:val="24"/>
                <w:szCs w:val="24"/>
              </w:rPr>
            </w:r>
          </w:p>
        </w:tc>
      </w:tr>
      <w:tr>
        <w:trPr/>
        <w:tc>
          <w:tcPr>
            <w:tcW w:w="716" w:type="dxa"/>
            <w:tcBorders/>
          </w:tcPr>
          <w:p>
            <w:pPr>
              <w:pStyle w:val="Normal"/>
              <w:widowControl/>
              <w:numPr>
                <w:ilvl w:val="1"/>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Требования к оформлению документации</w:t>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suppressAutoHyphens w:val="false"/>
              <w:spacing w:lineRule="auto" w:line="240" w:before="60" w:after="60"/>
              <w:jc w:val="left"/>
              <w:rPr>
                <w:sz w:val="24"/>
                <w:szCs w:val="24"/>
                <w:highlight w:val="yellow"/>
              </w:rPr>
            </w:pPr>
            <w:r>
              <w:rPr>
                <w:rFonts w:eastAsia="Times New Roman" w:cs="Times New Roman" w:ascii="Times New Roman" w:hAnsi="Times New Roman"/>
                <w:kern w:val="0"/>
                <w:sz w:val="24"/>
                <w:szCs w:val="24"/>
                <w:lang w:val="ru-RU" w:eastAsia="ru-RU" w:bidi="ar-SA"/>
              </w:rPr>
              <w:t>Форма предоставления документации</w:t>
            </w:r>
          </w:p>
        </w:tc>
        <w:tc>
          <w:tcPr>
            <w:tcW w:w="12520" w:type="dxa"/>
            <w:tcBorders/>
          </w:tcPr>
          <w:p>
            <w:pPr>
              <w:pStyle w:val="Normal"/>
              <w:widowControl/>
              <w:numPr>
                <w:ilvl w:val="3"/>
                <w:numId w:val="3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Разработанные ТРП и КД передаются Заказчику для согласования и утверждения на русском языке</w:t>
              <w:br/>
              <w:t>в следующем составе:</w:t>
            </w:r>
          </w:p>
          <w:tbl>
            <w:tblPr>
              <w:tblStyle w:val="affffd"/>
              <w:tblW w:w="11305" w:type="dxa"/>
              <w:jc w:val="left"/>
              <w:tblInd w:w="966" w:type="dxa"/>
              <w:tblLayout w:type="fixed"/>
              <w:tblCellMar>
                <w:top w:w="0" w:type="dxa"/>
                <w:left w:w="108" w:type="dxa"/>
                <w:bottom w:w="0" w:type="dxa"/>
                <w:right w:w="108" w:type="dxa"/>
              </w:tblCellMar>
              <w:tblLook w:val="04a0" w:noHBand="0" w:noVBand="1" w:firstColumn="1" w:lastRow="0" w:lastColumn="0" w:firstRow="1"/>
            </w:tblPr>
            <w:tblGrid>
              <w:gridCol w:w="532"/>
              <w:gridCol w:w="3881"/>
              <w:gridCol w:w="3736"/>
              <w:gridCol w:w="916"/>
              <w:gridCol w:w="1274"/>
              <w:gridCol w:w="965"/>
            </w:tblGrid>
            <w:tr>
              <w:trPr/>
              <w:tc>
                <w:tcPr>
                  <w:tcW w:w="532" w:type="dxa"/>
                  <w:vMerge w:val="restart"/>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 xml:space="preserve">№ </w:t>
                  </w:r>
                  <w:r>
                    <w:rPr>
                      <w:b/>
                      <w:kern w:val="0"/>
                      <w:sz w:val="20"/>
                      <w:szCs w:val="20"/>
                      <w:lang w:val="ru-RU" w:bidi="ar-SA"/>
                    </w:rPr>
                    <w:t>п/п</w:t>
                  </w:r>
                </w:p>
              </w:tc>
              <w:tc>
                <w:tcPr>
                  <w:tcW w:w="3881" w:type="dxa"/>
                  <w:vMerge w:val="restart"/>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Вид документа</w:t>
                  </w:r>
                </w:p>
              </w:tc>
              <w:tc>
                <w:tcPr>
                  <w:tcW w:w="6891" w:type="dxa"/>
                  <w:gridSpan w:val="4"/>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Форма</w:t>
                  </w:r>
                </w:p>
              </w:tc>
            </w:tr>
            <w:tr>
              <w:trPr/>
              <w:tc>
                <w:tcPr>
                  <w:tcW w:w="532" w:type="dxa"/>
                  <w:vMerge w:val="continue"/>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sz w:val="20"/>
                      <w:szCs w:val="20"/>
                    </w:rPr>
                  </w:r>
                </w:p>
              </w:tc>
              <w:tc>
                <w:tcPr>
                  <w:tcW w:w="3881" w:type="dxa"/>
                  <w:vMerge w:val="continue"/>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sz w:val="20"/>
                      <w:szCs w:val="20"/>
                    </w:rPr>
                  </w:r>
                </w:p>
              </w:tc>
              <w:tc>
                <w:tcPr>
                  <w:tcW w:w="4652" w:type="dxa"/>
                  <w:gridSpan w:val="2"/>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Электронный вид</w:t>
                    <w:br/>
                    <w:t>на CD</w:t>
                  </w:r>
                </w:p>
              </w:tc>
              <w:tc>
                <w:tcPr>
                  <w:tcW w:w="2239" w:type="dxa"/>
                  <w:gridSpan w:val="2"/>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Бумажный вид</w:t>
                    <w:br/>
                    <w:t>в твердой копия</w:t>
                  </w:r>
                </w:p>
              </w:tc>
            </w:tr>
            <w:tr>
              <w:trPr>
                <w:trHeight w:val="64" w:hRule="atLeast"/>
              </w:trPr>
              <w:tc>
                <w:tcPr>
                  <w:tcW w:w="532" w:type="dxa"/>
                  <w:vMerge w:val="continue"/>
                  <w:tcBorders/>
                </w:tcPr>
                <w:p>
                  <w:pPr>
                    <w:pStyle w:val="Normal"/>
                    <w:widowControl/>
                    <w:tabs>
                      <w:tab w:val="clear" w:pos="708"/>
                      <w:tab w:val="left" w:pos="0" w:leader="none"/>
                    </w:tabs>
                    <w:suppressAutoHyphens w:val="true"/>
                    <w:spacing w:before="0" w:after="160"/>
                    <w:jc w:val="left"/>
                    <w:rPr>
                      <w:b/>
                    </w:rPr>
                  </w:pPr>
                  <w:r>
                    <w:rPr>
                      <w:b/>
                    </w:rPr>
                  </w:r>
                </w:p>
              </w:tc>
              <w:tc>
                <w:tcPr>
                  <w:tcW w:w="3881" w:type="dxa"/>
                  <w:vMerge w:val="continue"/>
                  <w:tcBorders/>
                </w:tcPr>
                <w:p>
                  <w:pPr>
                    <w:pStyle w:val="ListParagraph"/>
                    <w:widowControl/>
                    <w:tabs>
                      <w:tab w:val="clear" w:pos="708"/>
                      <w:tab w:val="left" w:pos="996" w:leader="none"/>
                    </w:tabs>
                    <w:suppressAutoHyphens w:val="true"/>
                    <w:spacing w:before="0" w:after="0"/>
                    <w:ind w:left="0"/>
                    <w:contextualSpacing w:val="false"/>
                    <w:jc w:val="left"/>
                    <w:rPr>
                      <w:b/>
                      <w:sz w:val="20"/>
                      <w:szCs w:val="20"/>
                    </w:rPr>
                  </w:pPr>
                  <w:r>
                    <w:rPr>
                      <w:b/>
                      <w:sz w:val="20"/>
                      <w:szCs w:val="20"/>
                    </w:rPr>
                  </w:r>
                </w:p>
              </w:tc>
              <w:tc>
                <w:tcPr>
                  <w:tcW w:w="3736" w:type="dxa"/>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Формат</w:t>
                  </w:r>
                </w:p>
              </w:tc>
              <w:tc>
                <w:tcPr>
                  <w:tcW w:w="916" w:type="dxa"/>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Кол-во</w:t>
                  </w:r>
                </w:p>
              </w:tc>
              <w:tc>
                <w:tcPr>
                  <w:tcW w:w="1274" w:type="dxa"/>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Формат</w:t>
                  </w:r>
                </w:p>
              </w:tc>
              <w:tc>
                <w:tcPr>
                  <w:tcW w:w="965" w:type="dxa"/>
                  <w:tcBorders/>
                </w:tcPr>
                <w:p>
                  <w:pPr>
                    <w:pStyle w:val="ListParagraph"/>
                    <w:widowControl/>
                    <w:tabs>
                      <w:tab w:val="clear" w:pos="708"/>
                      <w:tab w:val="left" w:pos="996" w:leader="none"/>
                    </w:tabs>
                    <w:suppressAutoHyphens w:val="true"/>
                    <w:spacing w:before="0" w:after="0"/>
                    <w:ind w:left="0"/>
                    <w:contextualSpacing w:val="false"/>
                    <w:jc w:val="center"/>
                    <w:rPr>
                      <w:b/>
                      <w:sz w:val="20"/>
                      <w:szCs w:val="20"/>
                    </w:rPr>
                  </w:pPr>
                  <w:r>
                    <w:rPr>
                      <w:b/>
                      <w:kern w:val="0"/>
                      <w:sz w:val="20"/>
                      <w:szCs w:val="20"/>
                      <w:lang w:val="ru-RU" w:bidi="ar-SA"/>
                    </w:rPr>
                    <w:t>Кол-во</w:t>
                  </w:r>
                </w:p>
              </w:tc>
            </w:tr>
            <w:tr>
              <w:trPr>
                <w:trHeight w:val="428" w:hRule="atLeast"/>
              </w:trPr>
              <w:tc>
                <w:tcPr>
                  <w:tcW w:w="532" w:type="dxa"/>
                  <w:tcBorders/>
                </w:tcPr>
                <w:p>
                  <w:pPr>
                    <w:pStyle w:val="ListParagraph"/>
                    <w:widowControl/>
                    <w:numPr>
                      <w:ilvl w:val="0"/>
                      <w:numId w:val="23"/>
                    </w:numPr>
                    <w:tabs>
                      <w:tab w:val="clear" w:pos="708"/>
                      <w:tab w:val="left" w:pos="0" w:leader="none"/>
                    </w:tabs>
                    <w:suppressAutoHyphens w:val="true"/>
                    <w:spacing w:before="60" w:after="60"/>
                    <w:ind w:hanging="0" w:left="0"/>
                    <w:contextualSpacing w:val="false"/>
                    <w:jc w:val="left"/>
                    <w:rPr>
                      <w:kern w:val="0"/>
                      <w:lang w:val="ru-RU" w:bidi="ar-SA"/>
                    </w:rPr>
                  </w:pPr>
                  <w:r>
                    <w:rPr>
                      <w:kern w:val="0"/>
                      <w:lang w:val="ru-RU" w:bidi="ar-SA"/>
                    </w:rPr>
                  </w:r>
                </w:p>
              </w:tc>
              <w:tc>
                <w:tcPr>
                  <w:tcW w:w="3881" w:type="dxa"/>
                  <w:tcBorders/>
                </w:tcPr>
                <w:p>
                  <w:pPr>
                    <w:pStyle w:val="ListParagraph"/>
                    <w:widowControl/>
                    <w:tabs>
                      <w:tab w:val="clear" w:pos="708"/>
                      <w:tab w:val="left" w:pos="996" w:leader="none"/>
                    </w:tabs>
                    <w:suppressAutoHyphens w:val="true"/>
                    <w:spacing w:before="60" w:after="60"/>
                    <w:ind w:left="0"/>
                    <w:contextualSpacing w:val="false"/>
                    <w:jc w:val="both"/>
                    <w:rPr>
                      <w:kern w:val="0"/>
                      <w:lang w:val="ru-RU" w:bidi="ar-SA"/>
                    </w:rPr>
                  </w:pPr>
                  <w:r>
                    <w:rPr>
                      <w:kern w:val="0"/>
                      <w:lang w:val="ru-RU" w:bidi="ar-SA"/>
                    </w:rPr>
                    <w:t>Текстовые документы</w:t>
                  </w:r>
                </w:p>
              </w:tc>
              <w:tc>
                <w:tcPr>
                  <w:tcW w:w="3736" w:type="dxa"/>
                  <w:tcBorders/>
                </w:tcPr>
                <w:p>
                  <w:pPr>
                    <w:pStyle w:val="ListParagraph"/>
                    <w:widowControl/>
                    <w:tabs>
                      <w:tab w:val="clear" w:pos="708"/>
                      <w:tab w:val="left" w:pos="996" w:leader="none"/>
                    </w:tabs>
                    <w:suppressAutoHyphens w:val="true"/>
                    <w:spacing w:before="60" w:after="60"/>
                    <w:ind w:left="0"/>
                    <w:contextualSpacing w:val="false"/>
                    <w:jc w:val="left"/>
                    <w:rPr>
                      <w:lang w:val="en-US"/>
                    </w:rPr>
                  </w:pPr>
                  <w:r>
                    <w:rPr>
                      <w:kern w:val="0"/>
                      <w:lang w:val="en-US" w:bidi="ar-SA"/>
                    </w:rPr>
                    <w:t>*.doc, *.doc</w:t>
                  </w:r>
                  <w:r>
                    <w:rPr>
                      <w:kern w:val="0"/>
                      <w:lang w:val="ru-RU" w:bidi="ar-SA"/>
                    </w:rPr>
                    <w:t>х</w:t>
                  </w:r>
                  <w:r>
                    <w:rPr>
                      <w:kern w:val="0"/>
                      <w:lang w:val="en-US" w:bidi="ar-SA"/>
                    </w:rPr>
                    <w:t>, *.txt, *.odt,</w:t>
                  </w:r>
                  <w:r>
                    <w:rPr>
                      <w:rFonts w:eastAsia="Calibri" w:cs="" w:ascii="Calibri" w:hAnsi="Calibri" w:asciiTheme="minorHAnsi" w:cstheme="minorBidi" w:eastAsiaTheme="minorHAnsi" w:hAnsiTheme="minorHAnsi"/>
                      <w:kern w:val="0"/>
                      <w:sz w:val="22"/>
                      <w:szCs w:val="22"/>
                      <w:lang w:val="en-US" w:eastAsia="en-US" w:bidi="ar-SA"/>
                    </w:rPr>
                    <w:t xml:space="preserve"> </w:t>
                  </w:r>
                  <w:r>
                    <w:rPr>
                      <w:kern w:val="0"/>
                      <w:lang w:val="en-US" w:bidi="ar-SA"/>
                    </w:rPr>
                    <w:t>*.xodt, *.pdf</w:t>
                  </w:r>
                </w:p>
              </w:tc>
              <w:tc>
                <w:tcPr>
                  <w:tcW w:w="91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1 экз.</w:t>
                  </w:r>
                </w:p>
              </w:tc>
              <w:tc>
                <w:tcPr>
                  <w:tcW w:w="1274"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А4</w:t>
                  </w:r>
                </w:p>
              </w:tc>
              <w:tc>
                <w:tcPr>
                  <w:tcW w:w="965"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3 экз.*</w:t>
                  </w:r>
                </w:p>
              </w:tc>
            </w:tr>
            <w:tr>
              <w:trPr>
                <w:trHeight w:val="70" w:hRule="atLeast"/>
              </w:trPr>
              <w:tc>
                <w:tcPr>
                  <w:tcW w:w="532" w:type="dxa"/>
                  <w:tcBorders/>
                </w:tcPr>
                <w:p>
                  <w:pPr>
                    <w:pStyle w:val="ListParagraph"/>
                    <w:widowControl/>
                    <w:numPr>
                      <w:ilvl w:val="0"/>
                      <w:numId w:val="23"/>
                    </w:numPr>
                    <w:tabs>
                      <w:tab w:val="clear" w:pos="708"/>
                      <w:tab w:val="left" w:pos="0" w:leader="none"/>
                    </w:tabs>
                    <w:suppressAutoHyphens w:val="true"/>
                    <w:spacing w:before="60" w:after="60"/>
                    <w:ind w:hanging="0" w:left="0"/>
                    <w:contextualSpacing w:val="false"/>
                    <w:jc w:val="left"/>
                    <w:rPr>
                      <w:kern w:val="0"/>
                      <w:lang w:val="ru-RU" w:bidi="ar-SA"/>
                    </w:rPr>
                  </w:pPr>
                  <w:r>
                    <w:rPr>
                      <w:kern w:val="0"/>
                      <w:lang w:val="ru-RU" w:bidi="ar-SA"/>
                    </w:rPr>
                  </w:r>
                </w:p>
              </w:tc>
              <w:tc>
                <w:tcPr>
                  <w:tcW w:w="3881" w:type="dxa"/>
                  <w:tcBorders/>
                </w:tcPr>
                <w:p>
                  <w:pPr>
                    <w:pStyle w:val="ListParagraph"/>
                    <w:widowControl/>
                    <w:tabs>
                      <w:tab w:val="clear" w:pos="708"/>
                      <w:tab w:val="left" w:pos="996" w:leader="none"/>
                    </w:tabs>
                    <w:suppressAutoHyphens w:val="true"/>
                    <w:spacing w:before="60" w:after="60"/>
                    <w:ind w:left="0"/>
                    <w:contextualSpacing w:val="false"/>
                    <w:jc w:val="both"/>
                    <w:rPr>
                      <w:kern w:val="0"/>
                      <w:lang w:val="ru-RU" w:bidi="ar-SA"/>
                    </w:rPr>
                  </w:pPr>
                  <w:r>
                    <w:rPr>
                      <w:kern w:val="0"/>
                      <w:lang w:val="ru-RU" w:bidi="ar-SA"/>
                    </w:rPr>
                    <w:t>Табличные формы</w:t>
                  </w:r>
                </w:p>
              </w:tc>
              <w:tc>
                <w:tcPr>
                  <w:tcW w:w="373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 xls, *. xlsx, *. ods</w:t>
                  </w:r>
                </w:p>
              </w:tc>
              <w:tc>
                <w:tcPr>
                  <w:tcW w:w="91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1 экз.</w:t>
                  </w:r>
                </w:p>
              </w:tc>
              <w:tc>
                <w:tcPr>
                  <w:tcW w:w="1274"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r>
                </w:p>
              </w:tc>
              <w:tc>
                <w:tcPr>
                  <w:tcW w:w="965"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3 экз.</w:t>
                  </w:r>
                </w:p>
              </w:tc>
            </w:tr>
            <w:tr>
              <w:trPr/>
              <w:tc>
                <w:tcPr>
                  <w:tcW w:w="532" w:type="dxa"/>
                  <w:tcBorders/>
                </w:tcPr>
                <w:p>
                  <w:pPr>
                    <w:pStyle w:val="ListParagraph"/>
                    <w:widowControl/>
                    <w:numPr>
                      <w:ilvl w:val="0"/>
                      <w:numId w:val="23"/>
                    </w:numPr>
                    <w:tabs>
                      <w:tab w:val="clear" w:pos="708"/>
                      <w:tab w:val="left" w:pos="0" w:leader="none"/>
                    </w:tabs>
                    <w:suppressAutoHyphens w:val="true"/>
                    <w:spacing w:before="60" w:after="60"/>
                    <w:ind w:hanging="0" w:left="0"/>
                    <w:contextualSpacing w:val="false"/>
                    <w:jc w:val="left"/>
                    <w:rPr>
                      <w:kern w:val="0"/>
                      <w:lang w:val="ru-RU" w:bidi="ar-SA"/>
                    </w:rPr>
                  </w:pPr>
                  <w:r>
                    <w:rPr>
                      <w:kern w:val="0"/>
                      <w:lang w:val="ru-RU" w:bidi="ar-SA"/>
                    </w:rPr>
                  </w:r>
                </w:p>
              </w:tc>
              <w:tc>
                <w:tcPr>
                  <w:tcW w:w="3881" w:type="dxa"/>
                  <w:tcBorders/>
                </w:tcPr>
                <w:p>
                  <w:pPr>
                    <w:pStyle w:val="ListParagraph"/>
                    <w:widowControl/>
                    <w:tabs>
                      <w:tab w:val="clear" w:pos="708"/>
                      <w:tab w:val="left" w:pos="996" w:leader="none"/>
                    </w:tabs>
                    <w:suppressAutoHyphens w:val="true"/>
                    <w:spacing w:before="60" w:after="60"/>
                    <w:ind w:left="0"/>
                    <w:contextualSpacing w:val="false"/>
                    <w:jc w:val="both"/>
                    <w:rPr>
                      <w:kern w:val="0"/>
                      <w:lang w:val="ru-RU" w:bidi="ar-SA"/>
                    </w:rPr>
                  </w:pPr>
                  <w:r>
                    <w:rPr>
                      <w:kern w:val="0"/>
                      <w:lang w:val="ru-RU" w:bidi="ar-SA"/>
                    </w:rPr>
                    <w:t>Чертежи</w:t>
                  </w:r>
                </w:p>
              </w:tc>
              <w:tc>
                <w:tcPr>
                  <w:tcW w:w="373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 dwg, *.pdf</w:t>
                  </w:r>
                </w:p>
              </w:tc>
              <w:tc>
                <w:tcPr>
                  <w:tcW w:w="91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1 экз.</w:t>
                  </w:r>
                </w:p>
              </w:tc>
              <w:tc>
                <w:tcPr>
                  <w:tcW w:w="1274"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r>
                </w:p>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Не стандартные</w:t>
                  </w:r>
                </w:p>
              </w:tc>
              <w:tc>
                <w:tcPr>
                  <w:tcW w:w="965"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3 экз.</w:t>
                  </w:r>
                </w:p>
              </w:tc>
            </w:tr>
            <w:tr>
              <w:trPr/>
              <w:tc>
                <w:tcPr>
                  <w:tcW w:w="532" w:type="dxa"/>
                  <w:tcBorders/>
                </w:tcPr>
                <w:p>
                  <w:pPr>
                    <w:pStyle w:val="ListParagraph"/>
                    <w:widowControl/>
                    <w:numPr>
                      <w:ilvl w:val="0"/>
                      <w:numId w:val="23"/>
                    </w:numPr>
                    <w:tabs>
                      <w:tab w:val="clear" w:pos="708"/>
                      <w:tab w:val="left" w:pos="0" w:leader="none"/>
                    </w:tabs>
                    <w:suppressAutoHyphens w:val="true"/>
                    <w:spacing w:before="60" w:after="60"/>
                    <w:ind w:hanging="0" w:left="0"/>
                    <w:contextualSpacing w:val="false"/>
                    <w:jc w:val="left"/>
                    <w:rPr>
                      <w:kern w:val="0"/>
                      <w:lang w:val="ru-RU" w:bidi="ar-SA"/>
                    </w:rPr>
                  </w:pPr>
                  <w:r>
                    <w:rPr>
                      <w:kern w:val="0"/>
                      <w:lang w:val="ru-RU" w:bidi="ar-SA"/>
                    </w:rPr>
                  </w:r>
                </w:p>
              </w:tc>
              <w:tc>
                <w:tcPr>
                  <w:tcW w:w="3881" w:type="dxa"/>
                  <w:tcBorders/>
                </w:tcPr>
                <w:p>
                  <w:pPr>
                    <w:pStyle w:val="ListParagraph"/>
                    <w:widowControl/>
                    <w:tabs>
                      <w:tab w:val="clear" w:pos="708"/>
                      <w:tab w:val="left" w:pos="996" w:leader="none"/>
                    </w:tabs>
                    <w:suppressAutoHyphens w:val="true"/>
                    <w:spacing w:before="60" w:after="60"/>
                    <w:ind w:left="0"/>
                    <w:contextualSpacing w:val="false"/>
                    <w:jc w:val="both"/>
                    <w:rPr>
                      <w:kern w:val="0"/>
                      <w:lang w:val="ru-RU" w:bidi="ar-SA"/>
                    </w:rPr>
                  </w:pPr>
                  <w:r>
                    <w:rPr>
                      <w:kern w:val="0"/>
                      <w:lang w:val="ru-RU" w:bidi="ar-SA"/>
                    </w:rPr>
                    <w:t>Презентационные материалы</w:t>
                  </w:r>
                </w:p>
              </w:tc>
              <w:tc>
                <w:tcPr>
                  <w:tcW w:w="3736" w:type="dxa"/>
                  <w:tcBorders/>
                </w:tcPr>
                <w:p>
                  <w:pPr>
                    <w:pStyle w:val="ListParagraph"/>
                    <w:widowControl/>
                    <w:tabs>
                      <w:tab w:val="clear" w:pos="708"/>
                      <w:tab w:val="left" w:pos="996" w:leader="none"/>
                    </w:tabs>
                    <w:suppressAutoHyphens w:val="true"/>
                    <w:spacing w:before="60" w:after="60"/>
                    <w:ind w:left="0"/>
                    <w:contextualSpacing w:val="false"/>
                    <w:jc w:val="left"/>
                    <w:rPr>
                      <w:lang w:val="en-US"/>
                    </w:rPr>
                  </w:pPr>
                  <w:r>
                    <w:rPr>
                      <w:kern w:val="0"/>
                      <w:lang w:val="en-US" w:bidi="ar-SA"/>
                    </w:rPr>
                    <w:t>*.pptx, *.ppsx, *.potm, *.potm, *.pptm</w:t>
                  </w:r>
                </w:p>
              </w:tc>
              <w:tc>
                <w:tcPr>
                  <w:tcW w:w="91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1 экз.</w:t>
                  </w:r>
                </w:p>
              </w:tc>
              <w:tc>
                <w:tcPr>
                  <w:tcW w:w="1274"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А4</w:t>
                  </w:r>
                </w:p>
              </w:tc>
              <w:tc>
                <w:tcPr>
                  <w:tcW w:w="965"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3 экз.</w:t>
                  </w:r>
                </w:p>
              </w:tc>
            </w:tr>
            <w:tr>
              <w:trPr/>
              <w:tc>
                <w:tcPr>
                  <w:tcW w:w="532" w:type="dxa"/>
                  <w:tcBorders/>
                </w:tcPr>
                <w:p>
                  <w:pPr>
                    <w:pStyle w:val="ListParagraph"/>
                    <w:widowControl/>
                    <w:numPr>
                      <w:ilvl w:val="0"/>
                      <w:numId w:val="23"/>
                    </w:numPr>
                    <w:tabs>
                      <w:tab w:val="clear" w:pos="708"/>
                      <w:tab w:val="left" w:pos="0" w:leader="none"/>
                    </w:tabs>
                    <w:suppressAutoHyphens w:val="true"/>
                    <w:spacing w:before="60" w:after="60"/>
                    <w:ind w:hanging="0" w:left="0"/>
                    <w:contextualSpacing w:val="false"/>
                    <w:jc w:val="left"/>
                    <w:rPr>
                      <w:kern w:val="0"/>
                      <w:lang w:val="ru-RU" w:bidi="ar-SA"/>
                    </w:rPr>
                  </w:pPr>
                  <w:r>
                    <w:rPr>
                      <w:kern w:val="0"/>
                      <w:lang w:val="ru-RU" w:bidi="ar-SA"/>
                    </w:rPr>
                  </w:r>
                </w:p>
              </w:tc>
              <w:tc>
                <w:tcPr>
                  <w:tcW w:w="3881" w:type="dxa"/>
                  <w:tcBorders/>
                </w:tcPr>
                <w:p>
                  <w:pPr>
                    <w:pStyle w:val="ListParagraph"/>
                    <w:widowControl/>
                    <w:tabs>
                      <w:tab w:val="clear" w:pos="708"/>
                      <w:tab w:val="left" w:pos="996" w:leader="none"/>
                    </w:tabs>
                    <w:suppressAutoHyphens w:val="true"/>
                    <w:spacing w:before="60" w:after="60"/>
                    <w:ind w:left="0"/>
                    <w:contextualSpacing w:val="false"/>
                    <w:jc w:val="both"/>
                    <w:rPr>
                      <w:kern w:val="0"/>
                      <w:lang w:val="ru-RU" w:bidi="ar-SA"/>
                    </w:rPr>
                  </w:pPr>
                  <w:r>
                    <w:rPr>
                      <w:kern w:val="0"/>
                      <w:lang w:val="ru-RU" w:bidi="ar-SA"/>
                    </w:rPr>
                    <w:t>Графики выполнения мероприятий</w:t>
                  </w:r>
                  <w:r>
                    <w:rPr>
                      <w:rStyle w:val="FootnoteReference"/>
                      <w:kern w:val="0"/>
                      <w:lang w:val="ru-RU" w:bidi="ar-SA"/>
                    </w:rPr>
                    <w:footnoteReference w:id="2"/>
                  </w:r>
                </w:p>
              </w:tc>
              <w:tc>
                <w:tcPr>
                  <w:tcW w:w="373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*.xer, *.xml</w:t>
                  </w:r>
                </w:p>
              </w:tc>
              <w:tc>
                <w:tcPr>
                  <w:tcW w:w="916"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1 экз.</w:t>
                  </w:r>
                </w:p>
              </w:tc>
              <w:tc>
                <w:tcPr>
                  <w:tcW w:w="1274"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А4,А3</w:t>
                  </w:r>
                </w:p>
              </w:tc>
              <w:tc>
                <w:tcPr>
                  <w:tcW w:w="965" w:type="dxa"/>
                  <w:tcBorders/>
                </w:tcPr>
                <w:p>
                  <w:pPr>
                    <w:pStyle w:val="ListParagraph"/>
                    <w:widowControl/>
                    <w:tabs>
                      <w:tab w:val="clear" w:pos="708"/>
                      <w:tab w:val="left" w:pos="996" w:leader="none"/>
                    </w:tabs>
                    <w:suppressAutoHyphens w:val="true"/>
                    <w:spacing w:before="60" w:after="60"/>
                    <w:ind w:left="0"/>
                    <w:contextualSpacing w:val="false"/>
                    <w:jc w:val="left"/>
                    <w:rPr>
                      <w:kern w:val="0"/>
                      <w:lang w:val="ru-RU" w:bidi="ar-SA"/>
                    </w:rPr>
                  </w:pPr>
                  <w:r>
                    <w:rPr>
                      <w:kern w:val="0"/>
                      <w:lang w:val="ru-RU" w:bidi="ar-SA"/>
                    </w:rPr>
                    <w:t>3 экз.</w:t>
                  </w:r>
                </w:p>
              </w:tc>
            </w:tr>
          </w:tbl>
          <w:p>
            <w:pPr>
              <w:pStyle w:val="Normal"/>
              <w:widowControl w:val="false"/>
              <w:suppressAutoHyphens w:val="false"/>
              <w:spacing w:lineRule="auto" w:line="240" w:before="60" w:after="60"/>
              <w:ind w:left="1418"/>
              <w:jc w:val="both"/>
              <w:rPr>
                <w:sz w:val="24"/>
                <w:szCs w:val="24"/>
              </w:rPr>
            </w:pPr>
            <w:r>
              <w:rPr>
                <w:rFonts w:eastAsia="Times New Roman" w:cs="Times New Roman" w:ascii="Times New Roman" w:hAnsi="Times New Roman"/>
                <w:kern w:val="0"/>
                <w:sz w:val="24"/>
                <w:szCs w:val="24"/>
                <w:lang w:val="ru-RU" w:eastAsia="ru-RU" w:bidi="ar-SA"/>
              </w:rPr>
              <w:t>Примечание: * документы типа этикетка, паспорт и формуляр предоставляются в оригинале в 1 экз.</w:t>
            </w:r>
          </w:p>
          <w:p>
            <w:pPr>
              <w:pStyle w:val="Normal"/>
              <w:widowControl w:val="false"/>
              <w:numPr>
                <w:ilvl w:val="3"/>
                <w:numId w:val="34"/>
              </w:numPr>
              <w:suppressAutoHyphens w:val="false"/>
              <w:spacing w:lineRule="auto" w:line="240" w:before="60" w:after="60"/>
              <w:ind w:hanging="567" w:left="1418"/>
              <w:jc w:val="both"/>
              <w:rPr>
                <w:sz w:val="24"/>
                <w:szCs w:val="24"/>
              </w:rPr>
            </w:pPr>
            <w:r>
              <w:rPr>
                <w:rFonts w:eastAsia="Calibri" w:cs="Times New Roman" w:ascii="Times New Roman" w:hAnsi="Times New Roman"/>
                <w:kern w:val="0"/>
                <w:sz w:val="24"/>
                <w:szCs w:val="24"/>
                <w:lang w:val="ru-RU" w:eastAsia="ru-RU" w:bidi="ar-SA"/>
              </w:rPr>
              <w:t>Пофайловое разделение страниц отдельных томов (книг) документации в электронном виде документов не допускается.</w:t>
            </w:r>
          </w:p>
          <w:p>
            <w:pPr>
              <w:pStyle w:val="Normal"/>
              <w:widowControl w:val="false"/>
              <w:numPr>
                <w:ilvl w:val="3"/>
                <w:numId w:val="34"/>
              </w:numPr>
              <w:suppressAutoHyphens w:val="false"/>
              <w:spacing w:lineRule="auto" w:line="240" w:before="60" w:after="60"/>
              <w:ind w:hanging="567" w:left="1418"/>
              <w:jc w:val="both"/>
              <w:rPr>
                <w:rFonts w:eastAsia="Calibri"/>
                <w:sz w:val="24"/>
                <w:szCs w:val="24"/>
              </w:rPr>
            </w:pPr>
            <w:bookmarkStart w:id="34" w:name="_Toc207088713"/>
            <w:r>
              <w:rPr>
                <w:rFonts w:eastAsia="Calibri" w:cs="Times New Roman" w:ascii="Times New Roman" w:hAnsi="Times New Roman"/>
                <w:kern w:val="0"/>
                <w:sz w:val="24"/>
                <w:szCs w:val="24"/>
                <w:lang w:val="ru-RU" w:eastAsia="ru-RU" w:bidi="ar-SA"/>
              </w:rPr>
              <w:t>Твердая копия представляется сброшюрованном виде, оформленном в соответствии с требованиями раздела 8 ГОСТ Р 21.101-2026 «Основные требования к проектной и рабочей документации»</w:t>
            </w:r>
            <w:bookmarkEnd w:id="34"/>
          </w:p>
          <w:p>
            <w:pPr>
              <w:pStyle w:val="Normal"/>
              <w:widowControl/>
              <w:numPr>
                <w:ilvl w:val="3"/>
                <w:numId w:val="36"/>
              </w:numPr>
              <w:suppressAutoHyphens w:val="false"/>
              <w:spacing w:lineRule="auto" w:line="240" w:before="60" w:after="60"/>
              <w:ind w:hanging="851" w:left="851"/>
              <w:jc w:val="both"/>
              <w:rPr>
                <w:rFonts w:eastAsia="Calibri"/>
                <w:sz w:val="24"/>
                <w:szCs w:val="24"/>
              </w:rPr>
            </w:pPr>
            <w:r>
              <w:rPr>
                <w:rFonts w:eastAsia="Calibri" w:cs="Times New Roman" w:ascii="Times New Roman" w:hAnsi="Times New Roman"/>
                <w:kern w:val="0"/>
                <w:sz w:val="24"/>
                <w:szCs w:val="24"/>
                <w:lang w:val="ru-RU" w:eastAsia="ru-RU" w:bidi="ar-SA"/>
              </w:rPr>
              <w:t>Форматы предоставления документации и информации в электронном виде должны поддерживать работу в российской операционной системе «Alter OS» и офисном пакете «Alter Office» (программы AText, ACell, AConcept).</w:t>
            </w:r>
          </w:p>
        </w:tc>
      </w:tr>
      <w:tr>
        <w:trPr/>
        <w:tc>
          <w:tcPr>
            <w:tcW w:w="716" w:type="dxa"/>
            <w:tcBorders/>
          </w:tcPr>
          <w:p>
            <w:pPr>
              <w:pStyle w:val="Normal"/>
              <w:widowControl/>
              <w:numPr>
                <w:ilvl w:val="1"/>
                <w:numId w:val="36"/>
              </w:numPr>
              <w:suppressAutoHyphens w:val="false"/>
              <w:spacing w:lineRule="auto" w:line="240" w:before="60" w:after="60"/>
              <w:jc w:val="left"/>
              <w:rPr>
                <w:rFonts w:eastAsia="Calibri"/>
                <w:sz w:val="24"/>
                <w:szCs w:val="24"/>
              </w:rPr>
            </w:pPr>
            <w:r>
              <w:rPr>
                <w:rFonts w:eastAsia="Calibri"/>
                <w:sz w:val="24"/>
                <w:szCs w:val="24"/>
              </w:rPr>
            </w:r>
          </w:p>
        </w:tc>
        <w:tc>
          <w:tcPr>
            <w:tcW w:w="14988" w:type="dxa"/>
            <w:gridSpan w:val="2"/>
            <w:tcBorders/>
          </w:tcPr>
          <w:p>
            <w:pPr>
              <w:pStyle w:val="Normal"/>
              <w:widowControl/>
              <w:suppressAutoHyphens w:val="false"/>
              <w:spacing w:lineRule="auto" w:line="240" w:before="60" w:after="60"/>
              <w:jc w:val="left"/>
              <w:rPr>
                <w:b/>
                <w:sz w:val="24"/>
                <w:szCs w:val="24"/>
              </w:rPr>
            </w:pPr>
            <w:r>
              <w:rPr>
                <w:rFonts w:eastAsia="Times New Roman" w:cs="Times New Roman" w:ascii="Times New Roman" w:hAnsi="Times New Roman"/>
                <w:b/>
                <w:kern w:val="0"/>
                <w:sz w:val="24"/>
                <w:szCs w:val="24"/>
                <w:lang w:val="ru-RU" w:eastAsia="ru-RU" w:bidi="ar-SA"/>
              </w:rPr>
              <w:t>Требования к соблюдению положений нормативной и иной обязательной для Подрядчика документации, определяемой видами работ (помимо указанных в других разделах ТТ)</w:t>
            </w:r>
          </w:p>
        </w:tc>
      </w:tr>
      <w:tr>
        <w:trPr/>
        <w:tc>
          <w:tcPr>
            <w:tcW w:w="716" w:type="dxa"/>
            <w:tcBorders/>
          </w:tcPr>
          <w:p>
            <w:pPr>
              <w:pStyle w:val="Normal"/>
              <w:widowControl/>
              <w:numPr>
                <w:ilvl w:val="2"/>
                <w:numId w:val="36"/>
              </w:numPr>
              <w:suppressAutoHyphens w:val="false"/>
              <w:spacing w:lineRule="auto" w:line="240" w:before="60" w:after="60"/>
              <w:jc w:val="left"/>
              <w:rPr>
                <w:rFonts w:eastAsia="Calibri"/>
                <w:sz w:val="24"/>
                <w:szCs w:val="24"/>
              </w:rPr>
            </w:pPr>
            <w:r>
              <w:rPr>
                <w:rFonts w:eastAsia="Calibri"/>
                <w:sz w:val="24"/>
                <w:szCs w:val="24"/>
              </w:rPr>
            </w:r>
          </w:p>
        </w:tc>
        <w:tc>
          <w:tcPr>
            <w:tcW w:w="2468" w:type="dxa"/>
            <w:tcBorders/>
          </w:tcPr>
          <w:p>
            <w:pPr>
              <w:pStyle w:val="Normal"/>
              <w:widowControl w:val="false"/>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Соблюдение при выполнении работ норм и правил нормативно-технических документов</w:t>
            </w:r>
          </w:p>
        </w:tc>
        <w:tc>
          <w:tcPr>
            <w:tcW w:w="12520" w:type="dxa"/>
            <w:tcBorders/>
            <w:vAlign w:val="center"/>
          </w:tcPr>
          <w:p>
            <w:pPr>
              <w:pStyle w:val="Normal"/>
              <w:widowControl/>
              <w:numPr>
                <w:ilvl w:val="3"/>
                <w:numId w:val="36"/>
              </w:numPr>
              <w:suppressAutoHyphens w:val="false"/>
              <w:spacing w:lineRule="auto" w:line="240" w:before="60" w:after="60"/>
              <w:ind w:hanging="851" w:left="851"/>
              <w:jc w:val="both"/>
              <w:rPr>
                <w:rFonts w:ascii="Times New Roman" w:hAnsi="Times New Roman" w:cs="Times New Roman"/>
                <w:lang w:eastAsia="ru-RU"/>
              </w:rPr>
            </w:pPr>
            <w:r>
              <w:rPr>
                <w:rFonts w:eastAsia="Calibri" w:cs="Times New Roman" w:ascii="Times New Roman" w:hAnsi="Times New Roman"/>
                <w:kern w:val="0"/>
                <w:sz w:val="24"/>
                <w:szCs w:val="24"/>
                <w:lang w:val="ru-RU" w:eastAsia="ru-RU" w:bidi="ar-SA"/>
              </w:rPr>
              <w:t>При выполнении проектных работ Поставщик должен руководствоваться действующими редакциями следующих национальных, отраслевых и корпоративных нормативно-технических документов (НТД):</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Вся документация разрабатывается в соответствии с национальными, отраслевыми и корпоративными</w:t>
            </w:r>
          </w:p>
          <w:p>
            <w:pPr>
              <w:pStyle w:val="ListParagraph"/>
              <w:widowControl/>
              <w:suppressAutoHyphens w:val="false"/>
              <w:spacing w:before="60" w:after="60"/>
              <w:ind w:left="1418"/>
              <w:contextualSpacing w:val="false"/>
              <w:jc w:val="both"/>
              <w:rPr>
                <w:kern w:val="0"/>
                <w:lang w:val="ru-RU" w:bidi="ar-SA"/>
              </w:rPr>
            </w:pPr>
            <w:r>
              <w:rPr>
                <w:kern w:val="0"/>
                <w:lang w:val="ru-RU" w:bidi="ar-SA"/>
              </w:rPr>
              <w:t>(ПАО «РусГидро») нормативно-техническими документами (НТД).</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Технические решения проектной сметной документации должны соответствовать требованиям</w:t>
            </w:r>
          </w:p>
          <w:p>
            <w:pPr>
              <w:pStyle w:val="ListParagraph"/>
              <w:widowControl/>
              <w:suppressAutoHyphens w:val="false"/>
              <w:spacing w:before="60" w:after="60"/>
              <w:ind w:left="1418"/>
              <w:contextualSpacing w:val="false"/>
              <w:jc w:val="both"/>
              <w:rPr>
                <w:kern w:val="0"/>
                <w:lang w:val="ru-RU" w:bidi="ar-SA"/>
              </w:rPr>
            </w:pPr>
            <w:r>
              <w:rPr>
                <w:kern w:val="0"/>
                <w:lang w:val="ru-RU" w:bidi="ar-SA"/>
              </w:rPr>
              <w:t>экологических, санитарно-гигиенических, противопожарных и других норм, действующих на территории Российской Федерации и обеспечивающих безопасную для жизни и здоровья людей, эксплуатацию объекта.</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НТД, определяющие требования к оформлению и содержанию проекта:</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24.301-80 «Система технической документации на АСУ. Общие требования к выполнению текстовых документов (с Изменениями N 1, 2)»;</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24.701-86 «Единая система стандартов автоматизированных систем управления. Надежность автоматизированных систем управления. Основные положения»;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59793-2021 «Информационная технология. Комплекс стандартов на автоматизированные системы. Автоматизированные системы. Стадии создания»;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59793-2021 Информационная технология (ИТ). Комплекс стандартов на автоматизированные системы. Автоматизированные системы. Стадии создания.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34.602-2020 «Информационные технологии (ИТ). Комплекс стандартов на автоматизированные системы. Техническое задание на создание автоматизированной системы»;</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59792-2021 «Информационные технологии (ИТ). Комплекс стандартов на автоматизированные системы. Виды испытаний автоматизированных систем»;</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19.701-90 (ИСО 5807-85) «Единая система программной документации (ЕСПД). Схемы алгоритмов, программ, данных и систем. Обозначения условные и правила выполнения»;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 ГОСТ 19.005-85 «Единая система программной документации (ЕСПД). Р-схемы алгоритмов и программ. Обозначения условные графические и правила выполнения»;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19.101-2024 «Единая система программной документации (ЕСПД). Виды программ и программных документов (с Изменением N 1)»;</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8.596-2002 «Государственная система обеспечения единства измерений (ГСИ).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Метрологическое обеспечение измерительных систем. Основные положения»;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25861-83 (СТ СЭВ 3743-82) «Машины вычислительные и системы обработки данных.</w:t>
            </w:r>
          </w:p>
          <w:p>
            <w:pPr>
              <w:pStyle w:val="ListParagraph"/>
              <w:widowControl/>
              <w:suppressAutoHyphens w:val="false"/>
              <w:spacing w:before="60" w:after="60"/>
              <w:ind w:left="1418"/>
              <w:contextualSpacing w:val="false"/>
              <w:jc w:val="both"/>
              <w:rPr>
                <w:kern w:val="0"/>
                <w:lang w:val="ru-RU" w:bidi="ar-SA"/>
              </w:rPr>
            </w:pPr>
            <w:r>
              <w:rPr>
                <w:kern w:val="0"/>
                <w:lang w:val="ru-RU" w:bidi="ar-SA"/>
              </w:rPr>
              <w:t>Требования электрической и механической безопасности и методы испытаний (с Изменением N 1)»;</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12.1.019-2017 «Система стандартов безопасности труда. Электробезопасность. Общие требования и номенклатура видов защиты»;</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12.1.030-81 «ССБТ. Электробезопасность. Защитное заземление. Зануление (с Изменением N1)»;</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50571.4.41-2022 (МЭК 60364-4-41:2017) «Электроустановки низковольтные. Часть 4-41.</w:t>
            </w:r>
          </w:p>
          <w:p>
            <w:pPr>
              <w:pStyle w:val="ListParagraph"/>
              <w:widowControl/>
              <w:suppressAutoHyphens w:val="false"/>
              <w:spacing w:before="60" w:after="60"/>
              <w:ind w:left="1418"/>
              <w:contextualSpacing w:val="false"/>
              <w:jc w:val="both"/>
              <w:rPr>
                <w:kern w:val="0"/>
                <w:lang w:val="ru-RU" w:bidi="ar-SA"/>
              </w:rPr>
            </w:pPr>
            <w:r>
              <w:rPr>
                <w:kern w:val="0"/>
                <w:lang w:val="ru-RU" w:bidi="ar-SA"/>
              </w:rPr>
              <w:t>Защита для обеспечения безопасности. Защита от поражения электрическим током»;</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50739-95 «Средства вычислительной техники. Защита от несанкционированного доступа к информации. Общие технические требования»;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N 1, 2, 3, 4, 5)»;</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52931-2008 «Приборы контроля и регулирования технологических процессов. Общие технические условия»;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17516.1-90 «Изделия электротехнические. Общие требования в части стойкости к механическим</w:t>
            </w:r>
          </w:p>
          <w:p>
            <w:pPr>
              <w:pStyle w:val="ListParagraph"/>
              <w:widowControl/>
              <w:suppressAutoHyphens w:val="false"/>
              <w:spacing w:before="60" w:after="60"/>
              <w:ind w:left="1418"/>
              <w:contextualSpacing w:val="false"/>
              <w:jc w:val="both"/>
              <w:rPr>
                <w:kern w:val="0"/>
                <w:lang w:val="ru-RU" w:bidi="ar-SA"/>
              </w:rPr>
            </w:pPr>
            <w:r>
              <w:rPr>
                <w:kern w:val="0"/>
                <w:lang w:val="ru-RU" w:bidi="ar-SA"/>
              </w:rPr>
              <w:t>внешним воздействующим факторам (с Изменениями N 1, 2)»;</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12.2.049-80 «ССБТ. Оборудование производственное. Общие эргономические требования»;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50571.4.44-2019 (МЭК 60364-4-44:2007) «Электроустановки низковольтные. Часть 4.44. Защита для обеспечения безопасности. Защита от резких отклонений напряжения и электромагнитных возмущений»;</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50571.5.53-2013/МЭК 60364-5-53:2002 «Электроустановки низковольтные. Часть 5-53. Выбор и монтаж электрооборудования. Отделение, коммутация и управление»;</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IEC 61000-4-8-2013 «Электромагнитная совместимость. Часть 4-8. Методы испытаний и измерений. Испытания на устойчивость к магнитному полю промышленной частоты» (с 01.07.2023, даты вступления документа в силу);</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59793-2021 Национальный стандарт Российской Федерации. Информационная технология. Комплекс стандартов на автоматизированные системы. Автоматизированные системы. Стадии создания;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p>
          <w:p>
            <w:pPr>
              <w:pStyle w:val="ListParagraph"/>
              <w:widowControl/>
              <w:suppressAutoHyphens w:val="false"/>
              <w:spacing w:before="60" w:after="60"/>
              <w:ind w:left="1418"/>
              <w:contextualSpacing w:val="false"/>
              <w:jc w:val="both"/>
              <w:rPr>
                <w:kern w:val="0"/>
                <w:lang w:val="ru-RU" w:bidi="ar-SA"/>
              </w:rPr>
            </w:pPr>
            <w:r>
              <w:rPr>
                <w:kern w:val="0"/>
                <w:lang w:val="ru-RU" w:bidi="ar-SA"/>
              </w:rPr>
              <w:t>−</w:t>
            </w:r>
            <w:r>
              <w:rPr>
                <w:kern w:val="0"/>
                <w:lang w:val="ru-RU" w:bidi="ar-SA"/>
              </w:rPr>
              <w:t>ГОСТ 19.301-79 Государственный стандарт Союза ССР. Единая система программной документации. Программа и методика испытаний. Требования к содержанию и оформлению;</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Правила ввода в работу объектов электроэнергетики, их оборудования и устройств в работу в составе энергосистемы (Приложение № 1 к приказу Минэнерго России от 15.01.2024 №7);</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Правила технической эксплуатации электрических станций и сетей Российской Федерации (утверждённые приказом Минэнерго России от 04.10.2022 №1070);</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Технические требования по организации обмена информацией с диспетчерскими центрами, определённые договорами оказания возмездных услуг по оперативно-диспетчерскому управлению, соглашениями о технологическом взаимодействии;</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Нормы на электрические параметры основных цифровых каналов и трактов магистральной и внутризоновых первичных сетей ВСС России (утвержденные приказом Минсвязи России от 10.08.1996 № 92);</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Нормы на электрические параметры каналов ТЧ магистральной и внутризоновых первичных сетей (утверждённые приказом Минсвязи России от 15.04.1996 № 43).</w:t>
            </w:r>
          </w:p>
          <w:p>
            <w:pPr>
              <w:pStyle w:val="ListParagraph"/>
              <w:widowControl/>
              <w:suppressAutoHyphens w:val="false"/>
              <w:spacing w:before="60" w:after="60"/>
              <w:ind w:left="1418"/>
              <w:contextualSpacing w:val="false"/>
              <w:jc w:val="both"/>
              <w:rPr>
                <w:kern w:val="0"/>
                <w:lang w:val="ru-RU" w:bidi="ar-SA"/>
              </w:rPr>
            </w:pPr>
            <w:r>
              <w:rPr>
                <w:kern w:val="0"/>
                <w:lang w:val="ru-RU" w:bidi="ar-SA"/>
              </w:rPr>
              <w:t xml:space="preserve">− </w:t>
            </w:r>
            <w:r>
              <w:rPr>
                <w:kern w:val="0"/>
                <w:lang w:val="ru-RU" w:bidi="ar-SA"/>
              </w:rPr>
              <w:t>Технические требования к АСУТП и СОТИАССО для осуществления функций дистанционного управления оборудованием и устройствами РЗА распределительных устройств электростанций АО «Богучанская ГЭС»</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Договор возмездного оказания услуг по оперативно-диспетчерскому управлению в электроэнергетике от 06.03.2012 № ОДУ-282 между АО «СО ЕЭС» и АО «Богучанская ГЭС»;</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Правила технологического функционирования электроэнергетических систем, утвержденных постановлением Правительства Российской Федерации от 13.08.2018 № 937.</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59947–2021 «Единая энергетическая система и изолированно работающие энергосистемы. Оперативно-диспетчерское управление. Дистанционное управление. Требования к информационному обмену при организации и осуществлении дистанционного управления»;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59948–2021 «Единая энергетическая система и изолированно работающие энергосистемы. Оперативно-диспетчерское управление. Дистанционное управление. Требования к управлению электросетевым оборудованием и устройствами релейной защиты и автоматики»;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59950-2021 «Единая энергетическая система и изолированно работающие энергосистемы. Оперативно-диспетчерское управление. Дистанционное управление. Требования к управлению активной мощностью генерирующего оборудования гидравлических электростанций, подключенных к централизованным системам автоматического регулирования частоты и перетоков активной мощности»;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 xml:space="preserve">ГОСТ Р 71077-2023 «Единая энергетическая система и изолированно работающие энергосистемы. Оперативно-диспетчерское управление. Дистанционное управление. Правила применения защищенных протоколов при организации информационного обмена»; </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71635-2024 «Единая энергетическая система и изолированно работающие энергосистемы. Оперативно-диспетчерское управление. Системы сбора и передачи информации с объектов электроэнергетики в диспетчерские центры субъекта оперативно-диспетчерского управления в электроэнергетике. Нормы и требования».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71962-2025 «Единая энергетическая система и изолированно работающие энергосистемы. Оперативно – диспетчерское управление. Средства диспетчерского и технологического управления. Исполнительные схемы организации информационного обмена с диспетчерскими центрами субъекта оперативно-диспетчерского управления в электроэнергетике. Нормы и требования.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Указ Президента РФ от 30.03.2022 №166 (ред. от 07.04.2025) «О мерах по обеспечению технологической независимости и безопасности критической информационной инфраструктуры Российской Федерации»;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58651.8-2023 «Единая энергетическая система и изолированно работающие энергосистемы.</w:t>
            </w:r>
          </w:p>
          <w:p>
            <w:pPr>
              <w:pStyle w:val="ListParagraph"/>
              <w:widowControl/>
              <w:numPr>
                <w:ilvl w:val="0"/>
                <w:numId w:val="0"/>
              </w:numPr>
              <w:suppressAutoHyphens w:val="false"/>
              <w:spacing w:before="60" w:after="60"/>
              <w:ind w:hanging="0" w:left="1418"/>
              <w:contextualSpacing w:val="false"/>
              <w:jc w:val="both"/>
              <w:rPr>
                <w:kern w:val="0"/>
                <w:lang w:val="ru-RU" w:bidi="ar-SA"/>
              </w:rPr>
            </w:pPr>
            <w:r>
              <w:rPr>
                <w:kern w:val="0"/>
                <w:lang w:val="ru-RU" w:bidi="ar-SA"/>
              </w:rPr>
              <w:t>Информационная модель электроэнергетики. Профиль информационной модели оперативной</w:t>
            </w:r>
          </w:p>
          <w:p>
            <w:pPr>
              <w:pStyle w:val="ListParagraph"/>
              <w:widowControl/>
              <w:numPr>
                <w:ilvl w:val="0"/>
                <w:numId w:val="0"/>
              </w:numPr>
              <w:suppressAutoHyphens w:val="false"/>
              <w:spacing w:before="60" w:after="60"/>
              <w:ind w:hanging="0" w:left="1418"/>
              <w:contextualSpacing w:val="false"/>
              <w:jc w:val="both"/>
              <w:rPr>
                <w:kern w:val="0"/>
                <w:lang w:val="ru-RU" w:bidi="ar-SA"/>
              </w:rPr>
            </w:pPr>
            <w:r>
              <w:rPr>
                <w:kern w:val="0"/>
                <w:lang w:val="ru-RU" w:bidi="ar-SA"/>
              </w:rPr>
              <w:t>технологической информации»;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ГОСТ Р 71962-2025 «Единая энергетическая система и изолированно работающие энергосистемы.</w:t>
            </w:r>
          </w:p>
          <w:p>
            <w:pPr>
              <w:pStyle w:val="ListParagraph"/>
              <w:widowControl/>
              <w:numPr>
                <w:ilvl w:val="0"/>
                <w:numId w:val="0"/>
              </w:numPr>
              <w:suppressAutoHyphens w:val="false"/>
              <w:spacing w:before="60" w:after="60"/>
              <w:ind w:hanging="0" w:left="1418"/>
              <w:contextualSpacing w:val="false"/>
              <w:jc w:val="both"/>
              <w:rPr>
                <w:kern w:val="0"/>
                <w:lang w:val="ru-RU" w:bidi="ar-SA"/>
              </w:rPr>
            </w:pPr>
            <w:r>
              <w:rPr>
                <w:kern w:val="0"/>
                <w:lang w:val="ru-RU" w:bidi="ar-SA"/>
              </w:rPr>
              <w:t>Средства диспетчерского и технологического управления. Исполнительные схемы организации</w:t>
            </w:r>
          </w:p>
          <w:p>
            <w:pPr>
              <w:pStyle w:val="ListParagraph"/>
              <w:widowControl/>
              <w:numPr>
                <w:ilvl w:val="0"/>
                <w:numId w:val="0"/>
              </w:numPr>
              <w:suppressAutoHyphens w:val="false"/>
              <w:spacing w:before="60" w:after="60"/>
              <w:ind w:hanging="0" w:left="1418"/>
              <w:contextualSpacing w:val="false"/>
              <w:jc w:val="both"/>
              <w:rPr>
                <w:kern w:val="0"/>
                <w:lang w:val="ru-RU" w:bidi="ar-SA"/>
              </w:rPr>
            </w:pPr>
            <w:r>
              <w:rPr>
                <w:kern w:val="0"/>
                <w:lang w:val="ru-RU" w:bidi="ar-SA"/>
              </w:rPr>
              <w:t>информационного обмена с диспетчерскими центрами субъекта оперативно-диспетчерского управления в электроэнергетике. Нормы и требования;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Г</w:t>
            </w:r>
            <w:r>
              <w:rPr>
                <w:kern w:val="0"/>
                <w:lang w:val="ru-RU" w:bidi="ar-SA"/>
              </w:rPr>
              <w:t>ОСТ Р 59550-2021 «Единая энергетическая система и изолированно работающие энергосистемы.</w:t>
            </w:r>
          </w:p>
          <w:p>
            <w:pPr>
              <w:pStyle w:val="ListParagraph"/>
              <w:widowControl/>
              <w:numPr>
                <w:ilvl w:val="0"/>
                <w:numId w:val="0"/>
              </w:numPr>
              <w:suppressAutoHyphens w:val="false"/>
              <w:spacing w:before="60" w:after="60"/>
              <w:ind w:hanging="0" w:left="1418"/>
              <w:contextualSpacing w:val="false"/>
              <w:jc w:val="both"/>
              <w:rPr>
                <w:kern w:val="0"/>
                <w:lang w:val="ru-RU" w:bidi="ar-SA"/>
              </w:rPr>
            </w:pPr>
            <w:r>
              <w:rPr>
                <w:kern w:val="0"/>
                <w:lang w:val="ru-RU" w:bidi="ar-SA"/>
              </w:rPr>
              <w:t>Релейная защита и автоматика. Сбор, хранение и передача в диспетчерские центры в автоматическом режиме файлов с данными регистрации аварийных событий. Нормы и требования»;</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Постановление Правительства РФ от 14.11.2023 №1912 (редакция от 26.12.2024)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Техническая политика Группы РусГидро.</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Технические условия на защиту трафика дистанционного управления между диспетчерскими центрами филиалов АО «СО ЕЭС» ОДУ Сибири, Красноярское РДУ и Богучанской ГЭС.</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Дополнительные требования по обеспечению безопасности значимых объектов критической информационной инфраструктуры, функционирующих в сфере электроэнергетики, при организации и осуществлении дистанционного управления технологическими режимами работы и эксплуатационным состоянием объектов электроэнергетики из ДЦ субъекта оперативно-диспетчерского управления в электроэнергетике, утвержденные приказом Минэнерго России от 26.12.2023 № 1215;</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СТО 59012820.35.110.002-2022 «Организация каналов информационного обмена между объектами электроэнергетики, центрами управления сетями сетевых организаций, центрами управления ветровыми электростанциями, центрами управления солнечными электростанциями и диспетчерскими центрами АО «СО ЕЭС» в сетях связи с коммутацией пакетов»;</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В части реализации ДУ:</w:t>
            </w:r>
          </w:p>
          <w:p>
            <w:pPr>
              <w:pStyle w:val="ListParagraph"/>
              <w:widowControl/>
              <w:suppressAutoHyphens w:val="false"/>
              <w:spacing w:before="60" w:after="60"/>
              <w:ind w:left="1418"/>
              <w:contextualSpacing w:val="false"/>
              <w:jc w:val="both"/>
              <w:rPr>
                <w:kern w:val="0"/>
                <w:lang w:val="ru-RU" w:bidi="ar-SA"/>
              </w:rPr>
            </w:pPr>
            <w:r>
              <w:rPr>
                <w:kern w:val="0"/>
                <w:lang w:val="ru-RU" w:bidi="ar-SA"/>
              </w:rPr>
              <w:t>Утвержденные ПАО «РусГидро» и АО «СО ЕЭС» документы для осуществления дистанционного</w:t>
            </w:r>
          </w:p>
          <w:p>
            <w:pPr>
              <w:pStyle w:val="ListParagraph"/>
              <w:widowControl/>
              <w:suppressAutoHyphens w:val="false"/>
              <w:spacing w:before="60" w:after="60"/>
              <w:ind w:left="1418"/>
              <w:contextualSpacing w:val="false"/>
              <w:jc w:val="both"/>
              <w:rPr>
                <w:kern w:val="0"/>
                <w:lang w:val="ru-RU" w:bidi="ar-SA"/>
              </w:rPr>
            </w:pPr>
            <w:r>
              <w:rPr>
                <w:kern w:val="0"/>
                <w:lang w:val="ru-RU" w:bidi="ar-SA"/>
              </w:rPr>
              <w:t>управления (Предоставляется Подрядчику по письменному запросу):</w:t>
            </w:r>
          </w:p>
          <w:p>
            <w:pPr>
              <w:pStyle w:val="ListParagraph"/>
              <w:widowControl/>
              <w:suppressAutoHyphens w:val="false"/>
              <w:spacing w:before="60" w:after="60"/>
              <w:ind w:left="1418"/>
              <w:contextualSpacing w:val="false"/>
              <w:jc w:val="both"/>
              <w:rPr>
                <w:kern w:val="0"/>
                <w:lang w:val="ru-RU" w:bidi="ar-SA"/>
              </w:rPr>
            </w:pPr>
            <w:r>
              <w:rPr>
                <w:kern w:val="0"/>
                <w:lang w:val="ru-RU" w:bidi="ar-SA"/>
              </w:rPr>
              <w:t>- Типовые принципы переключений в электроустановках при осуществлении дистанционного</w:t>
            </w:r>
          </w:p>
          <w:p>
            <w:pPr>
              <w:pStyle w:val="ListParagraph"/>
              <w:widowControl/>
              <w:suppressAutoHyphens w:val="false"/>
              <w:spacing w:before="60" w:after="60"/>
              <w:ind w:left="1418"/>
              <w:contextualSpacing w:val="false"/>
              <w:jc w:val="both"/>
              <w:rPr>
                <w:kern w:val="0"/>
                <w:lang w:val="ru-RU" w:bidi="ar-SA"/>
              </w:rPr>
            </w:pPr>
            <w:r>
              <w:rPr>
                <w:kern w:val="0"/>
                <w:lang w:val="ru-RU" w:bidi="ar-SA"/>
              </w:rPr>
              <w:t>управления оборудованием распределительных устройств гидроэлектростанций;</w:t>
            </w:r>
          </w:p>
          <w:p>
            <w:pPr>
              <w:pStyle w:val="ListParagraph"/>
              <w:widowControl/>
              <w:suppressAutoHyphens w:val="false"/>
              <w:spacing w:before="60" w:after="60"/>
              <w:ind w:left="1418"/>
              <w:contextualSpacing w:val="false"/>
              <w:jc w:val="both"/>
              <w:rPr>
                <w:kern w:val="0"/>
                <w:lang w:val="ru-RU" w:bidi="ar-SA"/>
              </w:rPr>
            </w:pPr>
            <w:r>
              <w:rPr>
                <w:kern w:val="0"/>
                <w:lang w:val="ru-RU" w:bidi="ar-SA"/>
              </w:rPr>
              <w:t>- Типовой порядок переключений в электроустановках при осуществлении дистанционного управления</w:t>
            </w:r>
          </w:p>
          <w:p>
            <w:pPr>
              <w:pStyle w:val="ListParagraph"/>
              <w:widowControl/>
              <w:suppressAutoHyphens w:val="false"/>
              <w:spacing w:before="60" w:after="60"/>
              <w:ind w:left="1418"/>
              <w:contextualSpacing w:val="false"/>
              <w:jc w:val="both"/>
              <w:rPr>
                <w:kern w:val="0"/>
                <w:lang w:val="ru-RU" w:bidi="ar-SA"/>
              </w:rPr>
            </w:pPr>
            <w:r>
              <w:rPr>
                <w:kern w:val="0"/>
                <w:lang w:val="ru-RU" w:bidi="ar-SA"/>
              </w:rPr>
              <w:t>оборудованием распределительных устройств гидроэлектростанций;</w:t>
            </w:r>
          </w:p>
          <w:p>
            <w:pPr>
              <w:pStyle w:val="ListParagraph"/>
              <w:widowControl/>
              <w:suppressAutoHyphens w:val="false"/>
              <w:spacing w:before="60" w:after="60"/>
              <w:ind w:left="1418"/>
              <w:contextualSpacing w:val="false"/>
              <w:jc w:val="both"/>
              <w:rPr>
                <w:kern w:val="0"/>
                <w:lang w:val="ru-RU" w:bidi="ar-SA"/>
              </w:rPr>
            </w:pPr>
            <w:r>
              <w:rPr>
                <w:kern w:val="0"/>
                <w:lang w:val="ru-RU" w:bidi="ar-SA"/>
              </w:rPr>
              <w:t>- Типовые технические требования к АСУТП ГЭС и СОТИАССО ГЭС для осуществления функций</w:t>
            </w:r>
          </w:p>
          <w:p>
            <w:pPr>
              <w:pStyle w:val="ListParagraph"/>
              <w:widowControl/>
              <w:suppressAutoHyphens w:val="false"/>
              <w:spacing w:before="60" w:after="60"/>
              <w:ind w:left="1418"/>
              <w:contextualSpacing w:val="false"/>
              <w:jc w:val="both"/>
              <w:rPr>
                <w:kern w:val="0"/>
                <w:lang w:val="ru-RU" w:bidi="ar-SA"/>
              </w:rPr>
            </w:pPr>
            <w:r>
              <w:rPr>
                <w:kern w:val="0"/>
                <w:lang w:val="ru-RU" w:bidi="ar-SA"/>
              </w:rPr>
              <w:t>дистанционного управления оборудованием распределительных устройств гидроэлектростанций;</w:t>
            </w:r>
          </w:p>
          <w:p>
            <w:pPr>
              <w:pStyle w:val="ListParagraph"/>
              <w:widowControl/>
              <w:suppressAutoHyphens w:val="false"/>
              <w:spacing w:before="60" w:after="60"/>
              <w:ind w:left="1418"/>
              <w:contextualSpacing w:val="false"/>
              <w:jc w:val="both"/>
              <w:rPr>
                <w:kern w:val="0"/>
                <w:lang w:val="ru-RU" w:bidi="ar-SA"/>
              </w:rPr>
            </w:pPr>
            <w:r>
              <w:rPr>
                <w:kern w:val="0"/>
                <w:lang w:val="ru-RU" w:bidi="ar-SA"/>
              </w:rPr>
              <w:t>- ГОСТ Р 71077-2023 Дистанционное управление. Правила применения защищенных протоколов при</w:t>
            </w:r>
          </w:p>
          <w:p>
            <w:pPr>
              <w:pStyle w:val="ListParagraph"/>
              <w:widowControl/>
              <w:suppressAutoHyphens w:val="false"/>
              <w:spacing w:before="60" w:after="60"/>
              <w:ind w:left="1418"/>
              <w:contextualSpacing w:val="false"/>
              <w:jc w:val="both"/>
              <w:rPr>
                <w:kern w:val="0"/>
                <w:lang w:val="ru-RU" w:bidi="ar-SA"/>
              </w:rPr>
            </w:pPr>
            <w:r>
              <w:rPr>
                <w:kern w:val="0"/>
                <w:lang w:val="ru-RU" w:bidi="ar-SA"/>
              </w:rPr>
              <w:t>организации информационного обмена.</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Правила по охране труда в строительстве, реконструкции и ремонте. Приказ 883н от 11.12.2020 с изм. 29.04.2025 г.</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Правила по охране труда при эксплуатации электроустановок. Приказ 903н от 15.12.2020 с изм. 29.04.2025 г.</w:t>
            </w:r>
          </w:p>
          <w:p>
            <w:pPr>
              <w:pStyle w:val="ListParagraph"/>
              <w:widowControl/>
              <w:numPr>
                <w:ilvl w:val="0"/>
                <w:numId w:val="18"/>
              </w:numPr>
              <w:suppressAutoHyphens w:val="false"/>
              <w:spacing w:before="60" w:after="60"/>
              <w:ind w:hanging="567" w:left="1418"/>
              <w:contextualSpacing w:val="false"/>
              <w:jc w:val="both"/>
              <w:rPr>
                <w:kern w:val="0"/>
                <w:lang w:val="ru-RU" w:bidi="ar-SA"/>
              </w:rPr>
            </w:pPr>
            <w:r>
              <w:rPr>
                <w:kern w:val="0"/>
                <w:lang w:val="ru-RU" w:bidi="ar-SA"/>
              </w:rPr>
              <w:t>Приказ ПАО «РусГидро» от 10.12.2024 № 850 «Об утверждении типовых проектных решений</w:t>
              <w:br/>
              <w:t xml:space="preserve">по АСУТП ТМО, АСУТП ЭТО, ВУ АСУТП ТЭС» </w:t>
            </w:r>
            <w:r>
              <w:rPr>
                <w:rFonts w:eastAsia="Symbol" w:cs="Symbol" w:ascii="Symbol" w:hAnsi="Symbol"/>
                <w:kern w:val="0"/>
                <w:lang w:val="ru-RU" w:bidi="ar-SA"/>
              </w:rPr>
              <w:sym w:font="Symbol" w:char="f02d"/>
            </w:r>
            <w:r>
              <w:rPr>
                <w:kern w:val="0"/>
                <w:lang w:val="ru-RU" w:bidi="ar-SA"/>
              </w:rPr>
              <w:t xml:space="preserve"> Приложение № </w:t>
            </w:r>
            <w:r>
              <w:rPr>
                <w:kern w:val="0"/>
                <w:lang w:val="ru-RU" w:bidi="ar-SA"/>
              </w:rPr>
              <w:t>7</w:t>
            </w:r>
            <w:r>
              <w:rPr>
                <w:kern w:val="0"/>
                <w:lang w:val="ru-RU" w:bidi="ar-SA"/>
              </w:rPr>
              <w:t xml:space="preserve"> к Техническим требованиям.</w:t>
            </w:r>
          </w:p>
          <w:p>
            <w:pPr>
              <w:pStyle w:val="Normal"/>
              <w:widowControl/>
              <w:numPr>
                <w:ilvl w:val="3"/>
                <w:numId w:val="36"/>
              </w:numPr>
              <w:suppressAutoHyphens w:val="false"/>
              <w:spacing w:lineRule="auto" w:line="240" w:before="60" w:after="60"/>
              <w:ind w:hanging="851" w:left="851"/>
              <w:jc w:val="both"/>
              <w:rPr>
                <w:rFonts w:ascii="Times New Roman" w:hAnsi="Times New Roman" w:cs="Times New Roman"/>
                <w:lang w:eastAsia="ru-RU"/>
              </w:rPr>
            </w:pPr>
            <w:r>
              <w:rPr>
                <w:rFonts w:eastAsia="Calibri" w:cs="Times New Roman" w:ascii="Times New Roman" w:hAnsi="Times New Roman"/>
                <w:kern w:val="0"/>
                <w:sz w:val="24"/>
                <w:szCs w:val="24"/>
                <w:lang w:val="ru-RU" w:eastAsia="ru-RU" w:bidi="ar-SA"/>
              </w:rPr>
              <w:t>В случае если какой-либо из указанных в Технических требованиях ГОСТ или нормативный документ был заменен/отменен в процессе проведения закупки и/или в период исполнения договора в связи с выпуском новой редакции стандарта, то Участнику необходимо применять ГОСТ или нормативный документ, принятый</w:t>
              <w:br/>
              <w:t>в его развитие.</w:t>
            </w:r>
          </w:p>
        </w:tc>
      </w:tr>
    </w:tbl>
    <w:p>
      <w:pPr>
        <w:pStyle w:val="Normal"/>
        <w:spacing w:lineRule="auto" w:line="240" w:before="240" w:after="120"/>
        <w:jc w:val="both"/>
        <w:rPr>
          <w:rFonts w:ascii="Times New Roman" w:hAnsi="Times New Roman" w:cs="Times New Roman"/>
          <w:b/>
          <w:i/>
          <w:i/>
          <w:sz w:val="24"/>
          <w:szCs w:val="24"/>
          <w:u w:val="single"/>
        </w:rPr>
      </w:pPr>
      <w:r>
        <w:rPr>
          <w:rFonts w:eastAsia="Calibri" w:cs="Times New Roman" w:ascii="Times New Roman" w:hAnsi="Times New Roman"/>
          <w:b/>
          <w:i/>
          <w:sz w:val="24"/>
          <w:szCs w:val="24"/>
          <w:u w:val="single"/>
          <w:lang w:eastAsia="ru-RU"/>
        </w:rPr>
        <w:t>Стадия 2. Поставка оборудования и программного обеспечения (позиции №№ 1.1 .- 1.4. Таблицы 2.1.)</w:t>
      </w:r>
    </w:p>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4.2. Требования к поставляемому оборудованию</w:t>
      </w:r>
    </w:p>
    <w:tbl>
      <w:tblPr>
        <w:tblStyle w:val="52"/>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68"/>
        <w:gridCol w:w="1817"/>
        <w:gridCol w:w="13083"/>
        <w:gridCol w:w="235"/>
      </w:tblGrid>
      <w:tr>
        <w:trPr>
          <w:tblHeader w:val="true"/>
          <w:trHeight w:val="82" w:hRule="atLeast"/>
        </w:trPr>
        <w:tc>
          <w:tcPr>
            <w:tcW w:w="568" w:type="dxa"/>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 xml:space="preserve">№ </w:t>
            </w:r>
            <w:r>
              <w:rPr>
                <w:rFonts w:eastAsia="Times New Roman" w:cs="Times New Roman" w:ascii="Times New Roman" w:hAnsi="Times New Roman"/>
                <w:b/>
                <w:bCs/>
                <w:kern w:val="0"/>
                <w:sz w:val="20"/>
                <w:szCs w:val="20"/>
                <w:lang w:val="ru-RU" w:eastAsia="ru-RU" w:bidi="ar-SA"/>
              </w:rPr>
              <w:t>п/п</w:t>
            </w:r>
          </w:p>
        </w:tc>
        <w:tc>
          <w:tcPr>
            <w:tcW w:w="1817" w:type="dxa"/>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Наименование параметра</w:t>
            </w:r>
          </w:p>
        </w:tc>
        <w:tc>
          <w:tcPr>
            <w:tcW w:w="13083" w:type="dxa"/>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Требование заказчика</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blHeader w:val="true"/>
        </w:trPr>
        <w:tc>
          <w:tcPr>
            <w:tcW w:w="568" w:type="dxa"/>
            <w:tcBorders/>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1</w:t>
            </w:r>
          </w:p>
        </w:tc>
        <w:tc>
          <w:tcPr>
            <w:tcW w:w="1817" w:type="dxa"/>
            <w:tcBorders/>
            <w:vAlign w:val="center"/>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2</w:t>
            </w:r>
          </w:p>
        </w:tc>
        <w:tc>
          <w:tcPr>
            <w:tcW w:w="13083" w:type="dxa"/>
            <w:tcBorders/>
            <w:vAlign w:val="center"/>
          </w:tcPr>
          <w:p>
            <w:pPr>
              <w:pStyle w:val="Normal"/>
              <w:widowControl/>
              <w:suppressAutoHyphens w:val="false"/>
              <w:spacing w:lineRule="auto" w:line="240" w:before="0" w:after="0"/>
              <w:jc w:val="center"/>
              <w:rPr>
                <w:b/>
                <w:bCs/>
              </w:rPr>
            </w:pPr>
            <w:r>
              <w:rPr>
                <w:rFonts w:eastAsia="Times New Roman" w:cs="Times New Roman" w:ascii="Times New Roman" w:hAnsi="Times New Roman"/>
                <w:b/>
                <w:bCs/>
                <w:kern w:val="0"/>
                <w:sz w:val="20"/>
                <w:szCs w:val="20"/>
                <w:lang w:val="ru-RU" w:eastAsia="ru-RU" w:bidi="ar-SA"/>
              </w:rPr>
              <w:t>3</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0"/>
                <w:numId w:val="9"/>
              </w:numPr>
              <w:suppressAutoHyphens w:val="false"/>
              <w:spacing w:lineRule="auto" w:line="240" w:before="60" w:after="60"/>
              <w:jc w:val="center"/>
              <w:rPr>
                <w:rFonts w:eastAsia="Calibri"/>
                <w:sz w:val="24"/>
                <w:szCs w:val="24"/>
              </w:rPr>
            </w:pPr>
            <w:r>
              <w:rPr>
                <w:rFonts w:eastAsia="Calibri"/>
                <w:sz w:val="24"/>
                <w:szCs w:val="24"/>
              </w:rPr>
            </w:r>
          </w:p>
        </w:tc>
        <w:tc>
          <w:tcPr>
            <w:tcW w:w="15135" w:type="dxa"/>
            <w:gridSpan w:val="3"/>
            <w:tcBorders/>
            <w:vAlign w:val="center"/>
          </w:tcPr>
          <w:p>
            <w:pPr>
              <w:pStyle w:val="Normal"/>
              <w:widowControl/>
              <w:suppressAutoHyphens w:val="false"/>
              <w:spacing w:lineRule="auto" w:line="240" w:before="60" w:after="60"/>
              <w:jc w:val="left"/>
              <w:rPr>
                <w:b/>
                <w:sz w:val="24"/>
                <w:szCs w:val="24"/>
              </w:rPr>
            </w:pPr>
            <w:r>
              <w:rPr>
                <w:rFonts w:eastAsia="Calibri" w:cs="Times New Roman" w:ascii="Times New Roman" w:hAnsi="Times New Roman"/>
                <w:b/>
                <w:kern w:val="0"/>
                <w:sz w:val="24"/>
                <w:szCs w:val="24"/>
                <w:lang w:val="ru-RU" w:eastAsia="x-none" w:bidi="ar-SA"/>
              </w:rPr>
              <w:t>Требования к поставляемому оборудованию</w:t>
            </w:r>
          </w:p>
        </w:tc>
      </w:tr>
      <w:tr>
        <w:trPr/>
        <w:tc>
          <w:tcPr>
            <w:tcW w:w="568" w:type="dxa"/>
            <w:tcBorders/>
          </w:tcPr>
          <w:p>
            <w:pPr>
              <w:pStyle w:val="Normal"/>
              <w:widowControl/>
              <w:numPr>
                <w:ilvl w:val="1"/>
                <w:numId w:val="9"/>
              </w:numPr>
              <w:suppressAutoHyphens w:val="false"/>
              <w:spacing w:lineRule="auto" w:line="240" w:before="60" w:after="60"/>
              <w:ind w:left="0"/>
              <w:jc w:val="center"/>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iCs/>
                <w:kern w:val="0"/>
                <w:sz w:val="24"/>
                <w:szCs w:val="24"/>
                <w:lang w:val="ru-RU" w:eastAsia="ru-RU" w:bidi="ar-SA"/>
              </w:rPr>
              <w:t>Номенклатура и объем поставляемой продукции</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rFonts w:eastAsia="Times New Roman"/>
                <w:iCs/>
              </w:rPr>
            </w:pPr>
            <w:r>
              <w:rPr>
                <w:rFonts w:eastAsia="Times New Roman"/>
                <w:iCs/>
                <w:kern w:val="0"/>
                <w:lang w:val="ru-RU" w:bidi="ar-SA"/>
              </w:rPr>
              <w:t>Номенклатура и объем поставляемой продукции по результатам разработки рабочей документации в части спецификации поставляемого комплекта оборудования и ПО.</w:t>
            </w:r>
          </w:p>
          <w:p>
            <w:pPr>
              <w:pStyle w:val="ListParagraph"/>
              <w:widowControl/>
              <w:numPr>
                <w:ilvl w:val="2"/>
                <w:numId w:val="9"/>
              </w:numPr>
              <w:suppressAutoHyphens w:val="false"/>
              <w:spacing w:before="60" w:after="60"/>
              <w:ind w:hanging="851" w:left="851"/>
              <w:contextualSpacing w:val="false"/>
              <w:jc w:val="both"/>
              <w:rPr>
                <w:rFonts w:eastAsia="Times New Roman"/>
                <w:iCs/>
              </w:rPr>
            </w:pPr>
            <w:r>
              <w:rPr>
                <w:kern w:val="0"/>
                <w:lang w:val="ru-RU" w:bidi="ar-SA"/>
              </w:rPr>
              <w:t>Полный перечень поставляемой продукции, включая комплект ЗИП, достаточный для эксплуатации оборудования в течение гарантийного срока, согласовывается с Заказчиком на стадии формирования окончательной Спецификации путем заключения Дополнительного соглашения к Договору.</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rFonts w:eastAsia="Times New Roman"/>
                <w:iCs/>
                <w:kern w:val="0"/>
                <w:lang w:val="ru-RU" w:bidi="ar-SA"/>
              </w:rPr>
              <w:t>Оборудование должно быть полностью готовым к монтажу на объекте и последующей эксплуатации.</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iCs/>
                <w:sz w:val="24"/>
                <w:szCs w:val="24"/>
              </w:rPr>
            </w:pPr>
            <w:r>
              <w:rPr>
                <w:rFonts w:eastAsia="Times New Roman" w:cs="Times New Roman" w:ascii="Times New Roman" w:hAnsi="Times New Roman"/>
                <w:kern w:val="0"/>
                <w:sz w:val="24"/>
                <w:szCs w:val="24"/>
                <w:lang w:val="ru-RU" w:eastAsia="ru-RU" w:bidi="ar-SA"/>
              </w:rPr>
              <w:t>Требования к оборудованию и материалам</w:t>
            </w:r>
          </w:p>
        </w:tc>
        <w:tc>
          <w:tcPr>
            <w:tcW w:w="13083" w:type="dxa"/>
            <w:tcBorders/>
          </w:tcPr>
          <w:p>
            <w:pPr>
              <w:pStyle w:val="Normal"/>
              <w:widowControl/>
              <w:suppressAutoHyphens w:val="false"/>
              <w:spacing w:before="60" w:after="60"/>
              <w:jc w:val="both"/>
              <w:rPr>
                <w:iCs/>
                <w:sz w:val="24"/>
                <w:szCs w:val="24"/>
              </w:rPr>
            </w:pPr>
            <w:r>
              <w:rPr>
                <w:rFonts w:eastAsia="Times New Roman" w:cs="Times New Roman" w:ascii="Times New Roman" w:hAnsi="Times New Roman"/>
                <w:iCs/>
                <w:kern w:val="0"/>
                <w:sz w:val="24"/>
                <w:szCs w:val="24"/>
                <w:lang w:val="ru-RU" w:eastAsia="ru-RU" w:bidi="ar-SA"/>
              </w:rPr>
              <w:t>Все оборудование и материалы должны быть новыми, не восстановленными, с соответствующим пакетом документов о качестве.</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Требования к метрологии</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Поставляемые средства измерения (СИ) должны в обязательном порядке комплектоваться метрологическими документами, в которых нормированы метрологические характеристики каждого СИ.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должен представить на поставляемые СИ заводские и метрологические документы.</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После поставки СИ на энергообъект, перед началом пусконаладочных работ и вводом в эксплуатацию Поставщик должен собственными силами, а при отсутствии необходимой метрологической службы</w:t>
              <w:br/>
              <w:t>с привлечением аккредитованной организации выполнить входной контроль работоспособности СИ</w:t>
              <w:br/>
              <w:t>и соответствия техническим параметрам, указанным в заводских и метрологических документах.</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Поставляемые СИ должны быть зарегистрированы в Федеральном информационном фонде по ОЕИ, иметь</w:t>
              <w:br/>
              <w:t>в наличии метрологические документы, а именно методики поверки (ссылки на ГОСТы, описывающие метрологические требования и методы испытаний), подтверждающие прохождение процедуры утверждения типа (копия сертификата (свидетельства) об утверждении типа с приложенным описанием типа и(или) актуальную регистрационную карту учета СИ в Федеральном информационном фонде по ОЕИ) и проведение первичной поверки (оригинал свидетельства о поверке или заводские паспорта со знаком поверки и(или) наличие данных об актуальной поверке в учетной карте СИ зарегистрированной в Федеральном информационном фонде по ОЕИ). При этом давность проведения первичной поверки (на момент поставки)</w:t>
              <w:br/>
              <w:t>не должна превышать 6 месяцев. Срок выпуска СИ не должен превышать 1 года от даты поставки.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В поставляемых СИ должны использоваться единицы величин, допущенные к применению в Российской Федерации. Типы СИ, предназначенные для измерений одних величин, должны выражаться в одинаковых единицах величин.</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Рекомендуется поставлять СИ, не требующие метрологического обслуживания на весь срок эксплуатации</w:t>
              <w:br/>
              <w:t>или с межповерочным интервалом не менее периода вывода основного оборудования на техническое обслуживание или с периодом, соизмеримым с полным сроком службы основного оборудования. При поставке СИ одного типа, с одинаковыми техническими характеристиками (аналогов), выбор делать в пользу СИ</w:t>
              <w:br/>
              <w:t>с наибольшим межповерочным интервалом.</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78" w:hRule="atLeast"/>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iCs/>
                <w:sz w:val="24"/>
                <w:szCs w:val="24"/>
              </w:rPr>
            </w:pPr>
            <w:r>
              <w:rPr>
                <w:rFonts w:eastAsia="Times New Roman" w:cs="Times New Roman" w:ascii="Times New Roman" w:hAnsi="Times New Roman"/>
                <w:iCs/>
                <w:kern w:val="0"/>
                <w:sz w:val="24"/>
                <w:szCs w:val="24"/>
                <w:lang w:val="ru-RU" w:eastAsia="ru-RU" w:bidi="ar-SA"/>
              </w:rPr>
              <w:t>Место поставки</w:t>
            </w:r>
          </w:p>
        </w:tc>
        <w:tc>
          <w:tcPr>
            <w:tcW w:w="13083" w:type="dxa"/>
            <w:tcBorders/>
          </w:tcPr>
          <w:p>
            <w:pPr>
              <w:pStyle w:val="Normal"/>
              <w:widowControl/>
              <w:suppressAutoHyphens w:val="false"/>
              <w:spacing w:lineRule="auto" w:line="240" w:before="60" w:after="60"/>
              <w:jc w:val="both"/>
              <w:rPr>
                <w:sz w:val="24"/>
                <w:szCs w:val="24"/>
              </w:rPr>
            </w:pPr>
            <w:r>
              <w:rPr>
                <w:rFonts w:eastAsia="Times New Roman" w:cs="Times New Roman" w:ascii="Times New Roman" w:hAnsi="Times New Roman"/>
                <w:kern w:val="0"/>
                <w:sz w:val="24"/>
                <w:szCs w:val="24"/>
                <w:lang w:val="ru-RU" w:eastAsia="ru-RU" w:bidi="ar-SA"/>
              </w:rPr>
              <w:t>Поставляемая продукция должны быть доставлена по адресу 663491, край Красноярский, м.о.</w:t>
            </w:r>
            <w:r>
              <w:rPr>
                <w:rFonts w:eastAsia="Times New Roman" w:cs="Times New Roman" w:ascii="Times New Roman" w:hAnsi="Times New Roman"/>
                <w:kern w:val="0"/>
                <w:sz w:val="24"/>
                <w:szCs w:val="24"/>
                <w:lang w:val="en-US" w:eastAsia="ru-RU" w:bidi="ar-SA"/>
              </w:rPr>
              <w:t> </w:t>
            </w:r>
            <w:r>
              <w:rPr>
                <w:rFonts w:eastAsia="Times New Roman" w:cs="Times New Roman" w:ascii="Times New Roman" w:hAnsi="Times New Roman"/>
                <w:kern w:val="0"/>
                <w:sz w:val="24"/>
                <w:szCs w:val="24"/>
                <w:lang w:val="ru-RU" w:eastAsia="ru-RU" w:bidi="ar-SA"/>
              </w:rPr>
              <w:t>Кежемский, г. Кодинск, ул.</w:t>
            </w:r>
            <w:r>
              <w:rPr>
                <w:rFonts w:eastAsia="Times New Roman" w:cs="Times New Roman" w:ascii="Times New Roman" w:hAnsi="Times New Roman"/>
                <w:kern w:val="0"/>
                <w:sz w:val="24"/>
                <w:szCs w:val="24"/>
                <w:lang w:val="en-US" w:eastAsia="ru-RU" w:bidi="ar-SA"/>
              </w:rPr>
              <w:t> </w:t>
            </w:r>
            <w:r>
              <w:rPr>
                <w:rFonts w:eastAsia="Times New Roman" w:cs="Times New Roman" w:ascii="Times New Roman" w:hAnsi="Times New Roman"/>
                <w:kern w:val="0"/>
                <w:sz w:val="24"/>
                <w:szCs w:val="24"/>
                <w:lang w:val="ru-RU" w:eastAsia="ru-RU" w:bidi="ar-SA"/>
              </w:rPr>
              <w:t>Промышленная, зд. 3</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561" w:hRule="atLeast"/>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iCs/>
                <w:sz w:val="24"/>
                <w:szCs w:val="24"/>
              </w:rPr>
            </w:pPr>
            <w:r>
              <w:rPr>
                <w:rFonts w:eastAsia="Times New Roman" w:cs="Times New Roman" w:ascii="Times New Roman" w:hAnsi="Times New Roman"/>
                <w:iCs/>
                <w:kern w:val="0"/>
                <w:sz w:val="24"/>
                <w:szCs w:val="24"/>
                <w:lang w:val="ru-RU" w:eastAsia="ru-RU" w:bidi="ar-SA"/>
              </w:rPr>
              <w:t>Требования к безопасности</w:t>
            </w:r>
          </w:p>
        </w:tc>
        <w:tc>
          <w:tcPr>
            <w:tcW w:w="13083" w:type="dxa"/>
            <w:tcBorders/>
          </w:tcPr>
          <w:p>
            <w:pPr>
              <w:pStyle w:val="ListParagraph"/>
              <w:widowControl/>
              <w:suppressAutoHyphens w:val="false"/>
              <w:spacing w:before="60" w:after="60"/>
              <w:ind w:left="-7"/>
              <w:contextualSpacing w:val="false"/>
              <w:jc w:val="both"/>
              <w:rPr>
                <w:iCs/>
              </w:rPr>
            </w:pPr>
            <w:r>
              <w:rPr>
                <w:iCs/>
                <w:kern w:val="0"/>
                <w:lang w:val="ru-RU" w:bidi="ar-SA"/>
              </w:rPr>
              <w:t>Продукция должна соответствовать действующей редакции следующих федеральных норм и правил в области промышленной безопасности:</w:t>
            </w:r>
          </w:p>
          <w:p>
            <w:pPr>
              <w:pStyle w:val="ListParagraph"/>
              <w:widowControl/>
              <w:numPr>
                <w:ilvl w:val="2"/>
                <w:numId w:val="9"/>
              </w:numPr>
              <w:suppressAutoHyphens w:val="false"/>
              <w:spacing w:before="60" w:after="60"/>
              <w:ind w:hanging="851" w:left="851"/>
              <w:contextualSpacing w:val="false"/>
              <w:jc w:val="both"/>
              <w:rPr>
                <w:iCs/>
              </w:rPr>
            </w:pPr>
            <w:r>
              <w:rPr>
                <w:kern w:val="0"/>
                <w:lang w:val="ru-RU" w:bidi="ar-SA"/>
              </w:rPr>
              <w:t>«Общие требования к обоснованию безопасности опасного производственного объекта»,</w:t>
            </w:r>
          </w:p>
          <w:p>
            <w:pPr>
              <w:pStyle w:val="ListParagraph"/>
              <w:widowControl/>
              <w:numPr>
                <w:ilvl w:val="2"/>
                <w:numId w:val="9"/>
              </w:numPr>
              <w:suppressAutoHyphens w:val="false"/>
              <w:spacing w:before="60" w:after="60"/>
              <w:ind w:hanging="851" w:left="851"/>
              <w:contextualSpacing w:val="false"/>
              <w:jc w:val="both"/>
              <w:rPr>
                <w:iCs/>
              </w:rPr>
            </w:pPr>
            <w:r>
              <w:rPr>
                <w:kern w:val="0"/>
                <w:lang w:val="ru-RU" w:bidi="ar-SA"/>
              </w:rPr>
              <w:t>«Правила технической эксплуатации»,</w:t>
            </w:r>
          </w:p>
          <w:p>
            <w:pPr>
              <w:pStyle w:val="ListParagraph"/>
              <w:widowControl/>
              <w:numPr>
                <w:ilvl w:val="2"/>
                <w:numId w:val="9"/>
              </w:numPr>
              <w:suppressAutoHyphens w:val="false"/>
              <w:spacing w:before="60" w:after="60"/>
              <w:ind w:hanging="851" w:left="851"/>
              <w:contextualSpacing w:val="false"/>
              <w:jc w:val="both"/>
              <w:rPr>
                <w:iCs/>
              </w:rPr>
            </w:pPr>
            <w:r>
              <w:rPr>
                <w:kern w:val="0"/>
                <w:lang w:val="ru-RU" w:bidi="ar-SA"/>
              </w:rPr>
              <w:t>«Правила техники безопасности и правил пожарной безопасности»,</w:t>
            </w:r>
          </w:p>
          <w:p>
            <w:pPr>
              <w:pStyle w:val="ListParagraph"/>
              <w:widowControl/>
              <w:numPr>
                <w:ilvl w:val="2"/>
                <w:numId w:val="9"/>
              </w:numPr>
              <w:suppressAutoHyphens w:val="false"/>
              <w:spacing w:before="60" w:after="60"/>
              <w:ind w:hanging="851" w:left="851"/>
              <w:contextualSpacing w:val="false"/>
              <w:jc w:val="both"/>
              <w:rPr>
                <w:iCs/>
              </w:rPr>
            </w:pPr>
            <w:r>
              <w:rPr>
                <w:kern w:val="0"/>
                <w:lang w:val="ru-RU" w:bidi="ar-SA"/>
              </w:rPr>
              <w:t>Проектной и рабочей документации.</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left" w:pos="426" w:leader="none"/>
              </w:tabs>
              <w:suppressAutoHyphens w:val="false"/>
              <w:spacing w:lineRule="auto" w:line="240" w:before="60" w:after="60"/>
              <w:jc w:val="left"/>
              <w:rPr>
                <w:sz w:val="24"/>
                <w:szCs w:val="24"/>
              </w:rPr>
            </w:pPr>
            <w:r>
              <w:rPr>
                <w:rFonts w:eastAsia="Times New Roman" w:cs="Times New Roman" w:ascii="Times New Roman" w:hAnsi="Times New Roman"/>
                <w:kern w:val="0"/>
                <w:sz w:val="24"/>
                <w:szCs w:val="24"/>
                <w:lang w:val="ru-RU" w:eastAsia="ru-RU" w:bidi="ar-SA"/>
              </w:rPr>
              <w:t>Требования к сейсмостойкости</w:t>
            </w:r>
          </w:p>
        </w:tc>
        <w:tc>
          <w:tcPr>
            <w:tcW w:w="13083" w:type="dxa"/>
            <w:tcBorders/>
          </w:tcPr>
          <w:p>
            <w:pPr>
              <w:pStyle w:val="Normal"/>
              <w:widowControl/>
              <w:suppressAutoHyphens w:val="false"/>
              <w:spacing w:lineRule="auto" w:line="240" w:before="60" w:after="60"/>
              <w:jc w:val="both"/>
              <w:rPr>
                <w:iCs/>
                <w:sz w:val="24"/>
                <w:szCs w:val="24"/>
              </w:rPr>
            </w:pPr>
            <w:r>
              <w:rPr>
                <w:rFonts w:eastAsia="Calibri" w:cs="Times New Roman" w:ascii="Times New Roman" w:hAnsi="Times New Roman"/>
                <w:iCs/>
                <w:kern w:val="0"/>
                <w:sz w:val="24"/>
                <w:szCs w:val="24"/>
                <w:lang w:val="ru-RU" w:eastAsia="ru-RU" w:bidi="ar-SA"/>
              </w:rPr>
              <w:t>Оборудование должно обеспечивать нормальную эксплуатацию АСУ согласно карте сейсмического районирования России ОСР-2015-В (СП 14.13330.2018). Площадка строительства относится к сейсмическому району с зоной интенсивности 7 баллов</w:t>
              <w:br/>
              <w:t xml:space="preserve">по шкале MSK-64. </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lang w:eastAsia="x-none"/>
              </w:rPr>
            </w:pPr>
            <w:r>
              <w:rPr>
                <w:rFonts w:eastAsia="Times New Roman" w:cs="Times New Roman" w:ascii="Times New Roman" w:hAnsi="Times New Roman"/>
                <w:bCs/>
                <w:kern w:val="0"/>
                <w:sz w:val="24"/>
                <w:szCs w:val="24"/>
                <w:lang w:val="ru-RU" w:eastAsia="x-none" w:bidi="ar-SA"/>
              </w:rPr>
              <w:t>Подготовка груза</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несет полную ответственность за качество упаковки.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Упаковка должна обеспечивать сохранность оборудования при транспортировке от места производства до места назначения. Упаковка может подвергаться контролю Заказчиком по его усмотрению.</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Упаковка и укладка в тару, консервация</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обеспечивает упаковку и укладку оборудования в тару для предохранения от повреждения при транспортировке и неоднократных перегрузках, погрузках и выгрузках.</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Каждый отдельный вид оборудования (продукции) должен быть упакован и промаркирован в тару, обеспечивающую сохранность, предотвращающую повреждения при транспортировке и хранении с учётом возможных перегрузок, в соответствии с требованиями ГОСТ 14192-96 «Маркировка грузов», в том числе</w:t>
              <w:br/>
              <w:t>в местностях с неблагоприятными климатическими условиями, в соответствии с требованиями ГОСТ 15846-2002 «Продукция, отправляемая в районы крайнего севера и приравненные к ним местности. Упаковка, маркировка, транспортирование и хранение».</w:t>
            </w:r>
          </w:p>
          <w:p>
            <w:pPr>
              <w:pStyle w:val="ListParagraph"/>
              <w:widowControl/>
              <w:numPr>
                <w:ilvl w:val="2"/>
                <w:numId w:val="9"/>
              </w:numPr>
              <w:suppressAutoHyphens w:val="false"/>
              <w:spacing w:before="60" w:after="60"/>
              <w:ind w:hanging="851" w:left="851"/>
              <w:contextualSpacing w:val="false"/>
              <w:jc w:val="both"/>
              <w:rPr>
                <w:rFonts w:eastAsia="Times New Roman"/>
                <w:sz w:val="20"/>
                <w:szCs w:val="20"/>
              </w:rPr>
            </w:pPr>
            <w:r>
              <w:rPr>
                <w:kern w:val="0"/>
                <w:lang w:val="ru-RU" w:bidi="ar-SA"/>
              </w:rPr>
              <w:t>Упаковка и укладка в тару, в том числе должна быть выполнена в соответствии с требованиями завода-изготовителя оборудования и материалов, а также при необходимости с требованиями таможенных органов.</w:t>
            </w:r>
          </w:p>
          <w:p>
            <w:pPr>
              <w:pStyle w:val="ListParagraph"/>
              <w:widowControl/>
              <w:suppressAutoHyphens w:val="false"/>
              <w:spacing w:before="60" w:after="60"/>
              <w:ind w:left="851"/>
              <w:contextualSpacing w:val="false"/>
              <w:jc w:val="both"/>
              <w:rPr>
                <w:kern w:val="0"/>
                <w:lang w:val="ru-RU" w:bidi="ar-SA"/>
              </w:rPr>
            </w:pPr>
            <w:r>
              <w:rPr>
                <w:kern w:val="0"/>
                <w:lang w:val="ru-RU" w:bidi="ar-SA"/>
              </w:rPr>
              <w:t>Консервация:</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Точные приборы, офисное оборудование и иные выверенные механические устройства укладываются в водонепроницаемую упаковку вместе с необходимым количеством осушителя для поддержания минимально возможного уровня влажности внутри упаковки.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Если изделия могут прийти в негодность от дождя или брызг, но не требуют защиты от абсолютно любой влаги, в качестве внешней обертки применяется водонепроницаемый обивочный материал (из многослойной крафт-бумаги с пропиткой битумом). По возможности изделия, помещенные в ящики, следует накрывать водозащитным материалом.</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упаковывает изделия в соответствии с принятыми правилами в отрасли.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предпринимает традиционные и общепринятые меры предосторожности для предотвращения порчи от дождя, сырости, влаги, конденсата, грибка, ржавчины, коррозии, вибраций, ударов и других негативных воздействий на транспортируемые изделия, оборудование и т.д.</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Если традиционная и общепринятая упаковка не способна обеспечить надежную защиту изделий, Поставщик</w:t>
              <w:br/>
              <w:t>с учетом своих сведений об изделиях или дополнительных требований заводов изготовителей применяет дополнительную упаковку.</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Все оборудование, в котором имеются подвижные или вращающиеся части, которые могут получить повреждения во время транспортировки, должно быть защищено и закреплено.</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При вероятности воздействия дождя, сырости, высокой влажности или аналогичных неблагоприятных условий на электрооборудование, чувствительные материалы или устройства дождя, сырости, высокой влажности или аналогичных неблагоприятных условий Поставщик обеспечивает для них вакуумную упаковку, паронепроницаемые упаковочные материалы и сиккативы.</w:t>
            </w:r>
          </w:p>
          <w:p>
            <w:pPr>
              <w:pStyle w:val="ListParagraph"/>
              <w:widowControl/>
              <w:numPr>
                <w:ilvl w:val="2"/>
                <w:numId w:val="9"/>
              </w:numPr>
              <w:suppressAutoHyphens w:val="false"/>
              <w:spacing w:before="60" w:after="60"/>
              <w:ind w:hanging="851" w:left="851"/>
              <w:contextualSpacing w:val="false"/>
              <w:jc w:val="both"/>
              <w:rPr>
                <w:rFonts w:eastAsia="Times New Roman"/>
                <w:sz w:val="20"/>
                <w:szCs w:val="20"/>
              </w:rPr>
            </w:pPr>
            <w:r>
              <w:rPr>
                <w:kern w:val="0"/>
                <w:lang w:val="ru-RU" w:bidi="ar-SA"/>
              </w:rPr>
              <w:t>Консервация в том числе должна быть выполнена в соответствии с требованиями завода-изготовителя оборудования и материалов, а также при необходимости с требованиями таможенных органов.</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Требования к доставке</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Комплектация оборудования, транспортировка, контроль состояния продукции в процессе транспортировки, погрузка, контроль состояния продукции при погрузочно-разгрузочных работах, входной контроль при поставке, размещение на складе Заказчика выполняются силами и за счет средств Поставщика.</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Габаритный груз должен быть в заводской упаковке, без механического воздействия на упаковку.</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Оборудование должно пройти все предусмотренные Законодательством Российской Федерации (и применимым законодательством других государств) процедуры таможенной очистки.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Материалы поставки Поставщика должны быть поставлены в упаковке производителя, не нарушенной, без следов воздействия влаги, в соответствии с требованиями заводов-изготовителей. Упаковка и/или тара должна обеспечивать их сохранность от всякого рода повреждений при перевозке любыми видами транспорта, предохранять поставляемые материалы от внешних воздействий при хранении, а также обеспечивать</w:t>
              <w:br/>
              <w:t>их сохранность при проведении погрузо-разгрузочных работ вручную или механизированными средствами.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Заказчик предоставляет закрытые, охраняемые отапливаемые складские помещения с температурным режимом от +5° до +45°, влажность до 85% без образования конденсата для хранения оборудования ПТК ВУ АСУТП.</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Заказчик предоставляет закрытые, охраняемые отапливаемые складские помещения с температурным режимом от +5° до +45°, влажность до 85% без образования конденсата для хранения оборудования СОТИАССО.</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Точные приборы, АРМ-ы, мониторы, принтеры и иные выверенные механические устройства укладываются</w:t>
              <w:br/>
              <w:t>в водонепроницаемую упаковку вместе с необходимым количеством осушителя для поддержания минимально возможного уровня влажности внутри упаковки.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предпринимает меры предосторожности для предотвращения порчи от дождя, сырости, влаги, конденсата, грибка, ржавчины, коррозии, вибраций, ударов и других негативных воздействий на транспортируемые изделия, оборудование.</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Если традиционная и общепринятая упаковка не способна обеспечить надежную защиту изделий, Поставщик</w:t>
              <w:br/>
              <w:t>с учетом сведений об изделиях или дополнительных требований заводов изготовителей применяет дополнительную упаковку.</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четко маркирует все грузовые места, в которых находятся «Запасные части», «Документация», «Инструмент» или «Аренда» (арендованное оборудование). Такая маркировка отображает предназначение изделий (монтаж, пусконаладочные работы или гарантийный срок).</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Условия доставки должны обеспечивать полную сохранность оборудования с учетом климатических особенностей района площадки строительства по адресу, указанному в п. 1.5 данной таблицы.</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rFonts w:eastAsia="Calibri"/>
                <w:sz w:val="24"/>
                <w:szCs w:val="24"/>
              </w:rPr>
            </w:pPr>
            <w:r>
              <w:rPr>
                <w:rFonts w:eastAsia="Calibri" w:cs="Times New Roman" w:ascii="Times New Roman" w:hAnsi="Times New Roman"/>
                <w:kern w:val="0"/>
                <w:sz w:val="24"/>
                <w:szCs w:val="24"/>
                <w:lang w:val="ru-RU" w:eastAsia="ru-RU" w:bidi="ar-SA"/>
              </w:rPr>
              <w:t>Требования к приемке и хранению</w:t>
            </w:r>
          </w:p>
        </w:tc>
        <w:tc>
          <w:tcPr>
            <w:tcW w:w="13083" w:type="dxa"/>
            <w:tcBorders/>
          </w:tcPr>
          <w:p>
            <w:pPr>
              <w:pStyle w:val="Normal"/>
              <w:widowControl/>
              <w:suppressAutoHyphens w:val="false"/>
              <w:spacing w:before="60" w:after="60"/>
              <w:jc w:val="both"/>
              <w:rPr>
                <w:rFonts w:eastAsia="Calibri"/>
                <w:sz w:val="24"/>
                <w:szCs w:val="24"/>
              </w:rPr>
            </w:pPr>
            <w:r>
              <w:rPr>
                <w:rFonts w:eastAsia="Calibri" w:cs="Times New Roman" w:ascii="Times New Roman" w:hAnsi="Times New Roman"/>
                <w:kern w:val="0"/>
                <w:sz w:val="24"/>
                <w:szCs w:val="24"/>
                <w:lang w:val="ru-RU" w:eastAsia="ru-RU" w:bidi="ar-SA"/>
              </w:rPr>
              <w:t>В рамках поставки оборудования Поставщик должен предусмотреть:</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Проведение приемо-сдаточных испытаний на собственной территории.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Организацию складирования, разгрузку, транспортировку, хранение на территории объекта, а также транспортировку от места хранения до места монтажа.</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Требования к документации на оборудование и материалы</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Заводская документация поставляемого оборудования должна соответствовать ГОСТ Р 2.610-2019 «Единая система конструкторской документации. Правила выполнения эксплуатационных документов».</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Одновременно с передачей Оборудования Поставщик обязан передать Заказчику оригиналы следующих относящихся к нему документов:</w:t>
            </w:r>
          </w:p>
          <w:tbl>
            <w:tblPr>
              <w:tblStyle w:val="affffd"/>
              <w:tblW w:w="11160" w:type="dxa"/>
              <w:jc w:val="left"/>
              <w:tblInd w:w="966" w:type="dxa"/>
              <w:tblLayout w:type="fixed"/>
              <w:tblCellMar>
                <w:top w:w="0" w:type="dxa"/>
                <w:left w:w="108" w:type="dxa"/>
                <w:bottom w:w="0" w:type="dxa"/>
                <w:right w:w="108" w:type="dxa"/>
              </w:tblCellMar>
              <w:tblLook w:val="04a0" w:noHBand="0" w:noVBand="1" w:firstColumn="1" w:lastRow="0" w:lastColumn="0" w:firstRow="1"/>
            </w:tblPr>
            <w:tblGrid>
              <w:gridCol w:w="618"/>
              <w:gridCol w:w="9536"/>
              <w:gridCol w:w="1006"/>
            </w:tblGrid>
            <w:tr>
              <w:trPr/>
              <w:tc>
                <w:tcPr>
                  <w:tcW w:w="618" w:type="dxa"/>
                  <w:tcBorders/>
                </w:tcPr>
                <w:p>
                  <w:pPr>
                    <w:pStyle w:val="Normal"/>
                    <w:widowControl/>
                    <w:suppressAutoHyphens w:val="false"/>
                    <w:spacing w:lineRule="auto" w:line="240" w:before="0" w:after="0"/>
                    <w:jc w:val="center"/>
                    <w:rPr>
                      <w:rFonts w:ascii="Times New Roman" w:hAnsi="Times New Roman" w:eastAsia="Calibri" w:cs="Times New Roman"/>
                      <w:b/>
                    </w:rPr>
                  </w:pPr>
                  <w:r>
                    <w:rPr>
                      <w:rFonts w:eastAsia="Calibri" w:cs="Times New Roman" w:ascii="Times New Roman" w:hAnsi="Times New Roman"/>
                      <w:b/>
                      <w:kern w:val="0"/>
                      <w:sz w:val="20"/>
                      <w:szCs w:val="20"/>
                      <w:lang w:val="ru-RU" w:eastAsia="ru-RU" w:bidi="ar-SA"/>
                    </w:rPr>
                    <w:t>№№</w:t>
                  </w:r>
                </w:p>
              </w:tc>
              <w:tc>
                <w:tcPr>
                  <w:tcW w:w="9536" w:type="dxa"/>
                  <w:tcBorders/>
                </w:tcPr>
                <w:p>
                  <w:pPr>
                    <w:pStyle w:val="Normal"/>
                    <w:widowControl/>
                    <w:suppressAutoHyphens w:val="false"/>
                    <w:spacing w:lineRule="auto" w:line="240" w:before="0" w:after="0"/>
                    <w:jc w:val="center"/>
                    <w:rPr>
                      <w:rFonts w:ascii="Times New Roman" w:hAnsi="Times New Roman" w:eastAsia="Calibri" w:cs="Times New Roman"/>
                      <w:b/>
                    </w:rPr>
                  </w:pPr>
                  <w:r>
                    <w:rPr>
                      <w:rFonts w:eastAsia="Calibri" w:cs="Times New Roman" w:ascii="Times New Roman" w:hAnsi="Times New Roman"/>
                      <w:b/>
                      <w:kern w:val="0"/>
                      <w:sz w:val="20"/>
                      <w:szCs w:val="20"/>
                      <w:lang w:val="ru-RU" w:eastAsia="ru-RU" w:bidi="ar-SA"/>
                    </w:rPr>
                    <w:t>Наименование документа</w:t>
                  </w:r>
                </w:p>
              </w:tc>
              <w:tc>
                <w:tcPr>
                  <w:tcW w:w="1006" w:type="dxa"/>
                  <w:tcBorders/>
                </w:tcPr>
                <w:p>
                  <w:pPr>
                    <w:pStyle w:val="Normal"/>
                    <w:widowControl/>
                    <w:suppressAutoHyphens w:val="false"/>
                    <w:spacing w:lineRule="auto" w:line="240" w:before="0" w:after="0"/>
                    <w:jc w:val="center"/>
                    <w:rPr>
                      <w:rFonts w:ascii="Times New Roman" w:hAnsi="Times New Roman" w:eastAsia="Calibri" w:cs="Times New Roman"/>
                      <w:b/>
                    </w:rPr>
                  </w:pPr>
                  <w:r>
                    <w:rPr>
                      <w:rFonts w:eastAsia="Calibri" w:cs="Times New Roman" w:ascii="Times New Roman" w:hAnsi="Times New Roman"/>
                      <w:b/>
                      <w:kern w:val="0"/>
                      <w:sz w:val="20"/>
                      <w:szCs w:val="20"/>
                      <w:lang w:val="ru-RU" w:eastAsia="ru-RU" w:bidi="ar-SA"/>
                    </w:rPr>
                    <w:t>Кол-во</w:t>
                  </w:r>
                </w:p>
              </w:tc>
            </w:tr>
            <w:tr>
              <w:trPr/>
              <w:tc>
                <w:tcPr>
                  <w:tcW w:w="618" w:type="dxa"/>
                  <w:tcBorders>
                    <w:top w:val="nil"/>
                    <w:left w:val="nil"/>
                    <w:bottom w:val="nil"/>
                    <w:right w:val="nil"/>
                  </w:tcBorders>
                </w:tcPr>
                <w:p>
                  <w:pPr>
                    <w:pStyle w:val="ListParagraph"/>
                    <w:widowControl w:val="false"/>
                    <w:numPr>
                      <w:ilvl w:val="0"/>
                      <w:numId w:val="19"/>
                    </w:numPr>
                    <w:tabs>
                      <w:tab w:val="clear" w:pos="708"/>
                      <w:tab w:val="left" w:pos="305" w:leader="none"/>
                    </w:tabs>
                    <w:suppressAutoHyphens w:val="false"/>
                    <w:spacing w:before="60" w:after="60"/>
                    <w:ind w:hanging="120" w:left="720"/>
                    <w:contextualSpacing w:val="false"/>
                    <w:jc w:val="center"/>
                    <w:rPr>
                      <w:kern w:val="0"/>
                      <w:lang w:val="ru-RU" w:bidi="ar-SA"/>
                    </w:rPr>
                  </w:pPr>
                  <w:r>
                    <w:rPr>
                      <w:kern w:val="0"/>
                      <w:lang w:val="ru-RU" w:bidi="ar-SA"/>
                    </w:rPr>
                  </w:r>
                </w:p>
              </w:tc>
              <w:tc>
                <w:tcPr>
                  <w:tcW w:w="9536" w:type="dxa"/>
                  <w:tcBorders>
                    <w:top w:val="nil"/>
                    <w:left w:val="nil"/>
                    <w:bottom w:val="nil"/>
                    <w:right w:val="nil"/>
                  </w:tcBorders>
                </w:tcPr>
                <w:p>
                  <w:pPr>
                    <w:pStyle w:val="Normal"/>
                    <w:widowControl/>
                    <w:suppressAutoHyphens w:val="false"/>
                    <w:spacing w:lineRule="auto" w:line="240" w:before="60" w:after="60"/>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 xml:space="preserve">Технические паспорта на компоненты и изделия </w:t>
                  </w:r>
                </w:p>
              </w:tc>
              <w:tc>
                <w:tcPr>
                  <w:tcW w:w="1006" w:type="dxa"/>
                  <w:tcBorders>
                    <w:top w:val="nil"/>
                    <w:left w:val="nil"/>
                    <w:bottom w:val="nil"/>
                    <w:right w:val="nil"/>
                  </w:tcBorders>
                </w:tcPr>
                <w:p>
                  <w:pPr>
                    <w:pStyle w:val="Normal"/>
                    <w:widowControl/>
                    <w:suppressAutoHyphens w:val="false"/>
                    <w:spacing w:lineRule="auto" w:line="240" w:before="60" w:after="6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1 экз.</w:t>
                  </w:r>
                </w:p>
              </w:tc>
            </w:tr>
            <w:tr>
              <w:trPr/>
              <w:tc>
                <w:tcPr>
                  <w:tcW w:w="618" w:type="dxa"/>
                  <w:tcBorders>
                    <w:top w:val="nil"/>
                    <w:left w:val="nil"/>
                    <w:bottom w:val="nil"/>
                    <w:right w:val="nil"/>
                  </w:tcBorders>
                </w:tcPr>
                <w:p>
                  <w:pPr>
                    <w:pStyle w:val="ListParagraph"/>
                    <w:widowControl w:val="false"/>
                    <w:numPr>
                      <w:ilvl w:val="0"/>
                      <w:numId w:val="19"/>
                    </w:numPr>
                    <w:tabs>
                      <w:tab w:val="clear" w:pos="708"/>
                      <w:tab w:val="left" w:pos="305" w:leader="none"/>
                    </w:tabs>
                    <w:suppressAutoHyphens w:val="false"/>
                    <w:spacing w:before="60" w:after="60"/>
                    <w:ind w:hanging="120" w:left="720"/>
                    <w:contextualSpacing w:val="false"/>
                    <w:jc w:val="center"/>
                    <w:rPr>
                      <w:kern w:val="0"/>
                      <w:lang w:val="ru-RU" w:bidi="ar-SA"/>
                    </w:rPr>
                  </w:pPr>
                  <w:r>
                    <w:rPr>
                      <w:kern w:val="0"/>
                      <w:lang w:val="ru-RU" w:bidi="ar-SA"/>
                    </w:rPr>
                  </w:r>
                </w:p>
              </w:tc>
              <w:tc>
                <w:tcPr>
                  <w:tcW w:w="9536" w:type="dxa"/>
                  <w:tcBorders>
                    <w:top w:val="nil"/>
                    <w:left w:val="nil"/>
                    <w:bottom w:val="nil"/>
                    <w:right w:val="nil"/>
                  </w:tcBorders>
                </w:tcPr>
                <w:p>
                  <w:pPr>
                    <w:pStyle w:val="Normal"/>
                    <w:widowControl/>
                    <w:suppressAutoHyphens w:val="false"/>
                    <w:spacing w:lineRule="auto" w:line="240" w:before="60" w:after="60"/>
                    <w:jc w:val="both"/>
                    <w:rPr>
                      <w:rFonts w:ascii="Times New Roman" w:hAnsi="Times New Roman" w:eastAsia="Calibri" w:cs="Times New Roman"/>
                      <w:sz w:val="24"/>
                      <w:szCs w:val="24"/>
                      <w:highlight w:val="yellow"/>
                    </w:rPr>
                  </w:pPr>
                  <w:r>
                    <w:rPr>
                      <w:rFonts w:eastAsia="Calibri" w:cs="Times New Roman" w:ascii="Times New Roman" w:hAnsi="Times New Roman"/>
                      <w:kern w:val="0"/>
                      <w:sz w:val="24"/>
                      <w:szCs w:val="24"/>
                      <w:lang w:val="ru-RU" w:eastAsia="ru-RU" w:bidi="ar-SA"/>
                    </w:rPr>
                    <w:t xml:space="preserve">Инструкция по эксплуатации </w:t>
                  </w:r>
                </w:p>
              </w:tc>
              <w:tc>
                <w:tcPr>
                  <w:tcW w:w="1006" w:type="dxa"/>
                  <w:tcBorders>
                    <w:top w:val="nil"/>
                    <w:left w:val="nil"/>
                    <w:bottom w:val="nil"/>
                    <w:right w:val="nil"/>
                  </w:tcBorders>
                </w:tcPr>
                <w:p>
                  <w:pPr>
                    <w:pStyle w:val="Normal"/>
                    <w:widowControl/>
                    <w:suppressAutoHyphens w:val="false"/>
                    <w:spacing w:lineRule="auto" w:line="240" w:before="60" w:after="6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3 экз.</w:t>
                  </w:r>
                </w:p>
              </w:tc>
            </w:tr>
            <w:tr>
              <w:trPr/>
              <w:tc>
                <w:tcPr>
                  <w:tcW w:w="618" w:type="dxa"/>
                  <w:tcBorders>
                    <w:top w:val="nil"/>
                    <w:left w:val="nil"/>
                    <w:bottom w:val="nil"/>
                    <w:right w:val="nil"/>
                  </w:tcBorders>
                </w:tcPr>
                <w:p>
                  <w:pPr>
                    <w:pStyle w:val="ListParagraph"/>
                    <w:widowControl w:val="false"/>
                    <w:numPr>
                      <w:ilvl w:val="0"/>
                      <w:numId w:val="19"/>
                    </w:numPr>
                    <w:tabs>
                      <w:tab w:val="clear" w:pos="708"/>
                      <w:tab w:val="left" w:pos="305" w:leader="none"/>
                    </w:tabs>
                    <w:suppressAutoHyphens w:val="false"/>
                    <w:spacing w:before="60" w:after="60"/>
                    <w:ind w:hanging="120" w:left="720"/>
                    <w:contextualSpacing w:val="false"/>
                    <w:jc w:val="center"/>
                    <w:rPr>
                      <w:kern w:val="0"/>
                      <w:lang w:val="ru-RU" w:bidi="ar-SA"/>
                    </w:rPr>
                  </w:pPr>
                  <w:r>
                    <w:rPr>
                      <w:kern w:val="0"/>
                      <w:lang w:val="ru-RU" w:bidi="ar-SA"/>
                    </w:rPr>
                  </w:r>
                </w:p>
              </w:tc>
              <w:tc>
                <w:tcPr>
                  <w:tcW w:w="9536" w:type="dxa"/>
                  <w:tcBorders>
                    <w:top w:val="nil"/>
                    <w:left w:val="nil"/>
                    <w:bottom w:val="nil"/>
                    <w:right w:val="nil"/>
                  </w:tcBorders>
                </w:tcPr>
                <w:p>
                  <w:pPr>
                    <w:pStyle w:val="Normal"/>
                    <w:widowControl/>
                    <w:suppressAutoHyphens w:val="false"/>
                    <w:spacing w:lineRule="auto" w:line="240" w:before="60" w:after="60"/>
                    <w:jc w:val="both"/>
                    <w:rPr>
                      <w:rFonts w:ascii="Times New Roman" w:hAnsi="Times New Roman" w:eastAsia="Calibri" w:cs="Times New Roman"/>
                      <w:sz w:val="24"/>
                      <w:szCs w:val="24"/>
                      <w:highlight w:val="yellow"/>
                    </w:rPr>
                  </w:pPr>
                  <w:r>
                    <w:rPr>
                      <w:rFonts w:eastAsia="Calibri" w:cs="Times New Roman" w:ascii="Times New Roman" w:hAnsi="Times New Roman"/>
                      <w:kern w:val="0"/>
                      <w:sz w:val="24"/>
                      <w:szCs w:val="24"/>
                      <w:lang w:val="ru-RU" w:eastAsia="ru-RU" w:bidi="ar-SA"/>
                    </w:rPr>
                    <w:t xml:space="preserve">Инструкция по монтажу </w:t>
                  </w:r>
                </w:p>
              </w:tc>
              <w:tc>
                <w:tcPr>
                  <w:tcW w:w="1006" w:type="dxa"/>
                  <w:tcBorders>
                    <w:top w:val="nil"/>
                    <w:left w:val="nil"/>
                    <w:bottom w:val="nil"/>
                    <w:right w:val="nil"/>
                  </w:tcBorders>
                </w:tcPr>
                <w:p>
                  <w:pPr>
                    <w:pStyle w:val="Normal"/>
                    <w:widowControl/>
                    <w:suppressAutoHyphens w:val="false"/>
                    <w:spacing w:lineRule="auto" w:line="240" w:before="60" w:after="6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3 экз.</w:t>
                  </w:r>
                </w:p>
              </w:tc>
            </w:tr>
            <w:tr>
              <w:trPr/>
              <w:tc>
                <w:tcPr>
                  <w:tcW w:w="618" w:type="dxa"/>
                  <w:tcBorders>
                    <w:top w:val="nil"/>
                    <w:left w:val="nil"/>
                    <w:bottom w:val="nil"/>
                    <w:right w:val="nil"/>
                  </w:tcBorders>
                </w:tcPr>
                <w:p>
                  <w:pPr>
                    <w:pStyle w:val="ListParagraph"/>
                    <w:widowControl w:val="false"/>
                    <w:numPr>
                      <w:ilvl w:val="0"/>
                      <w:numId w:val="19"/>
                    </w:numPr>
                    <w:tabs>
                      <w:tab w:val="clear" w:pos="708"/>
                      <w:tab w:val="left" w:pos="305" w:leader="none"/>
                    </w:tabs>
                    <w:suppressAutoHyphens w:val="false"/>
                    <w:spacing w:before="60" w:after="60"/>
                    <w:ind w:hanging="120" w:left="720"/>
                    <w:contextualSpacing w:val="false"/>
                    <w:jc w:val="center"/>
                    <w:rPr>
                      <w:kern w:val="0"/>
                      <w:lang w:val="ru-RU" w:bidi="ar-SA"/>
                    </w:rPr>
                  </w:pPr>
                  <w:r>
                    <w:rPr>
                      <w:kern w:val="0"/>
                      <w:lang w:val="ru-RU" w:bidi="ar-SA"/>
                    </w:rPr>
                  </w:r>
                </w:p>
              </w:tc>
              <w:tc>
                <w:tcPr>
                  <w:tcW w:w="9536" w:type="dxa"/>
                  <w:tcBorders>
                    <w:top w:val="nil"/>
                    <w:left w:val="nil"/>
                    <w:bottom w:val="nil"/>
                    <w:right w:val="nil"/>
                  </w:tcBorders>
                </w:tcPr>
                <w:p>
                  <w:pPr>
                    <w:pStyle w:val="Normal"/>
                    <w:widowControl/>
                    <w:suppressAutoHyphens w:val="false"/>
                    <w:spacing w:lineRule="auto" w:line="240" w:before="60" w:after="60"/>
                    <w:jc w:val="both"/>
                    <w:rPr>
                      <w:rFonts w:ascii="Times New Roman" w:hAnsi="Times New Roman" w:eastAsia="Calibri" w:cs="Times New Roman"/>
                      <w:sz w:val="24"/>
                      <w:szCs w:val="24"/>
                      <w:highlight w:val="yellow"/>
                    </w:rPr>
                  </w:pPr>
                  <w:r>
                    <w:rPr>
                      <w:rFonts w:eastAsia="Calibri" w:cs="Times New Roman" w:ascii="Times New Roman" w:hAnsi="Times New Roman"/>
                      <w:kern w:val="0"/>
                      <w:sz w:val="24"/>
                      <w:szCs w:val="24"/>
                      <w:lang w:val="ru-RU" w:eastAsia="ru-RU" w:bidi="ar-SA"/>
                    </w:rPr>
                    <w:t>Упаковочные листы</w:t>
                  </w:r>
                </w:p>
              </w:tc>
              <w:tc>
                <w:tcPr>
                  <w:tcW w:w="1006" w:type="dxa"/>
                  <w:tcBorders>
                    <w:top w:val="nil"/>
                    <w:left w:val="nil"/>
                    <w:bottom w:val="nil"/>
                    <w:right w:val="nil"/>
                  </w:tcBorders>
                </w:tcPr>
                <w:p>
                  <w:pPr>
                    <w:pStyle w:val="Normal"/>
                    <w:widowControl/>
                    <w:suppressAutoHyphens w:val="false"/>
                    <w:spacing w:lineRule="auto" w:line="240" w:before="60" w:after="6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3 экз.</w:t>
                  </w:r>
                </w:p>
              </w:tc>
            </w:tr>
            <w:tr>
              <w:trPr/>
              <w:tc>
                <w:tcPr>
                  <w:tcW w:w="618" w:type="dxa"/>
                  <w:tcBorders>
                    <w:top w:val="nil"/>
                    <w:left w:val="nil"/>
                    <w:bottom w:val="nil"/>
                    <w:right w:val="nil"/>
                  </w:tcBorders>
                </w:tcPr>
                <w:p>
                  <w:pPr>
                    <w:pStyle w:val="ListParagraph"/>
                    <w:widowControl w:val="false"/>
                    <w:numPr>
                      <w:ilvl w:val="0"/>
                      <w:numId w:val="19"/>
                    </w:numPr>
                    <w:tabs>
                      <w:tab w:val="clear" w:pos="708"/>
                      <w:tab w:val="left" w:pos="305" w:leader="none"/>
                    </w:tabs>
                    <w:suppressAutoHyphens w:val="false"/>
                    <w:spacing w:before="60" w:after="60"/>
                    <w:ind w:hanging="120" w:left="720"/>
                    <w:contextualSpacing w:val="false"/>
                    <w:jc w:val="center"/>
                    <w:rPr>
                      <w:kern w:val="0"/>
                      <w:lang w:val="ru-RU" w:bidi="ar-SA"/>
                    </w:rPr>
                  </w:pPr>
                  <w:r>
                    <w:rPr>
                      <w:kern w:val="0"/>
                      <w:lang w:val="ru-RU" w:bidi="ar-SA"/>
                    </w:rPr>
                  </w:r>
                </w:p>
              </w:tc>
              <w:tc>
                <w:tcPr>
                  <w:tcW w:w="9536" w:type="dxa"/>
                  <w:tcBorders>
                    <w:top w:val="nil"/>
                    <w:left w:val="nil"/>
                    <w:bottom w:val="nil"/>
                    <w:right w:val="nil"/>
                  </w:tcBorders>
                </w:tcPr>
                <w:p>
                  <w:pPr>
                    <w:pStyle w:val="Normal"/>
                    <w:widowControl/>
                    <w:suppressAutoHyphens w:val="false"/>
                    <w:spacing w:lineRule="auto" w:line="240" w:before="60" w:after="60"/>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Иные документы в зависимости от номенклатуры поставляемого Оборудования и документации, разрабатываемой Поставщиком</w:t>
                  </w:r>
                </w:p>
              </w:tc>
              <w:tc>
                <w:tcPr>
                  <w:tcW w:w="1006" w:type="dxa"/>
                  <w:tcBorders>
                    <w:top w:val="nil"/>
                    <w:left w:val="nil"/>
                    <w:bottom w:val="nil"/>
                    <w:right w:val="nil"/>
                  </w:tcBorders>
                </w:tcPr>
                <w:p>
                  <w:pPr>
                    <w:pStyle w:val="Normal"/>
                    <w:widowControl/>
                    <w:suppressAutoHyphens w:val="false"/>
                    <w:spacing w:lineRule="auto" w:line="240" w:before="60" w:after="6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ru-RU" w:bidi="ar-SA"/>
                    </w:rPr>
                    <w:t>3 экз.</w:t>
                  </w:r>
                </w:p>
              </w:tc>
            </w:tr>
          </w:tbl>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Вся документация на Оборудование должна быть на русском языке, иностранные тексты должны содержать официальный перевод (подстрочный, либо текст отдельным комплектом).</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Одновременно с оригиналами документов, также предоставляются документы в электронном виде в формате *.pdf.</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Сертификация оборудования</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Поставляемое оборудование подлежит обязательной сертификации, если оно внесено в Перечень продукции</w:t>
              <w:br/>
              <w:t>и услуг (работ), подлежащих обязательной сертификации, утвержденный Правительством Российской Федерации на период действия договора, на основании которого уполномоченными органами составлены:</w:t>
            </w:r>
          </w:p>
          <w:p>
            <w:pPr>
              <w:pStyle w:val="ListParagraph"/>
              <w:widowControl/>
              <w:numPr>
                <w:ilvl w:val="0"/>
                <w:numId w:val="24"/>
              </w:numPr>
              <w:suppressAutoHyphens w:val="false"/>
              <w:spacing w:before="60" w:after="60"/>
              <w:ind w:hanging="567" w:left="1418"/>
              <w:contextualSpacing w:val="false"/>
              <w:jc w:val="both"/>
              <w:rPr>
                <w:kern w:val="0"/>
                <w:lang w:val="ru-RU" w:bidi="ar-SA"/>
              </w:rPr>
            </w:pPr>
            <w:r>
              <w:rPr>
                <w:kern w:val="0"/>
                <w:lang w:val="ru-RU" w:bidi="ar-SA"/>
              </w:rPr>
              <w:t>Номенклатура продукции, в отношении которой законодательными актами РФ предусмотрена обязательная сертификация.</w:t>
            </w:r>
          </w:p>
          <w:p>
            <w:pPr>
              <w:pStyle w:val="ListParagraph"/>
              <w:widowControl/>
              <w:numPr>
                <w:ilvl w:val="0"/>
                <w:numId w:val="24"/>
              </w:numPr>
              <w:suppressAutoHyphens w:val="false"/>
              <w:spacing w:before="60" w:after="60"/>
              <w:ind w:hanging="567" w:left="1418"/>
              <w:contextualSpacing w:val="false"/>
              <w:jc w:val="both"/>
              <w:rPr>
                <w:kern w:val="0"/>
                <w:lang w:val="ru-RU" w:bidi="ar-SA"/>
              </w:rPr>
            </w:pPr>
            <w:r>
              <w:rPr>
                <w:kern w:val="0"/>
                <w:lang w:val="ru-RU" w:bidi="ar-SA"/>
              </w:rPr>
              <w:t>Номенклатура продукции, соответствие которой может быть подтверждено декларацией о соответствии.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На поставляемое Поставщиком оборудование ПТК ВУ АСУТП должны быть представлены лицензии на используемое программное обеспечение, сертификаты РФ об утверждении типа средств измерений, разрешения надзорной службы за промышленной безопасностью применение используемых средств измерений.</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На поставляемое Поставщиком оборудование СОТИАССО должны быть представлены лицензии на используемое программное обеспечение, сертификаты РФ об утверждении типа средств измерений, разрешения надзорной службы за промышленной безопасностью применение используемых средств измерений.</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Сертификация должна проводиться в соответствии с Федеральным законом Российской Федерации от 27.12.2002 № 184-ФЗ «О техническом регулировании».</w:t>
            </w:r>
          </w:p>
          <w:p>
            <w:pPr>
              <w:pStyle w:val="Normal"/>
              <w:widowControl/>
              <w:suppressAutoHyphens w:val="false"/>
              <w:spacing w:before="60" w:after="6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Запасные части</w:t>
            </w:r>
          </w:p>
        </w:tc>
        <w:tc>
          <w:tcPr>
            <w:tcW w:w="13083" w:type="dxa"/>
            <w:tcBorders/>
          </w:tcPr>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Поставщик предоставляет запасные изделия:</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На гарантийный срок эксплуатации.</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Перечень запасных изделий и принадлежностей на Гарантийный Срок Поставщик согласовывает с Заказчиком, предварительно предоставив Заказчику рекомендации от изготовителя оборудования. Запасные изделия</w:t>
              <w:br/>
              <w:t xml:space="preserve">и принадлежности на гарантийный срок Поставщик обязан передать Заказчику, в соответствии с согласованной ведомостью ЗИП в объеме поставки оборудования. </w:t>
            </w:r>
          </w:p>
          <w:p>
            <w:pPr>
              <w:pStyle w:val="ListParagraph"/>
              <w:widowControl/>
              <w:numPr>
                <w:ilvl w:val="2"/>
                <w:numId w:val="9"/>
              </w:numPr>
              <w:suppressAutoHyphens w:val="false"/>
              <w:spacing w:before="60" w:after="60"/>
              <w:ind w:hanging="851" w:left="851"/>
              <w:contextualSpacing w:val="false"/>
              <w:jc w:val="both"/>
              <w:rPr>
                <w:kern w:val="0"/>
                <w:lang w:val="ru-RU" w:bidi="ar-SA"/>
              </w:rPr>
            </w:pPr>
            <w:r>
              <w:rPr>
                <w:kern w:val="0"/>
                <w:lang w:val="ru-RU" w:bidi="ar-SA"/>
              </w:rPr>
              <w:t>Объем ЗИП должен составлять не менее 10% от поставляемого оборудования (включая отдельные модули, коммутаторы, реле, блоки питания, контроллеры и т.д.), но не менее 1 шт. каждого наименования</w:t>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68" w:type="dxa"/>
            <w:tcBorders/>
          </w:tcPr>
          <w:p>
            <w:pPr>
              <w:pStyle w:val="Normal"/>
              <w:widowControl/>
              <w:numPr>
                <w:ilvl w:val="1"/>
                <w:numId w:val="9"/>
              </w:numPr>
              <w:suppressAutoHyphens w:val="false"/>
              <w:spacing w:lineRule="auto" w:line="240" w:before="60" w:after="60"/>
              <w:ind w:left="0"/>
              <w:jc w:val="left"/>
              <w:rPr>
                <w:rFonts w:eastAsia="Calibri"/>
                <w:sz w:val="24"/>
                <w:szCs w:val="24"/>
              </w:rPr>
            </w:pPr>
            <w:r>
              <w:rPr>
                <w:rFonts w:eastAsia="Calibri"/>
                <w:sz w:val="24"/>
                <w:szCs w:val="24"/>
              </w:rPr>
            </w:r>
          </w:p>
        </w:tc>
        <w:tc>
          <w:tcPr>
            <w:tcW w:w="1817" w:type="dxa"/>
            <w:tcBorders/>
          </w:tcPr>
          <w:p>
            <w:pPr>
              <w:pStyle w:val="Normal"/>
              <w:widowControl w:val="false"/>
              <w:tabs>
                <w:tab w:val="clear" w:pos="708"/>
                <w:tab w:val="center" w:pos="7639" w:leader="none"/>
              </w:tabs>
              <w:suppressAutoHyphens w:val="false"/>
              <w:spacing w:lineRule="auto" w:line="240" w:before="60" w:after="60"/>
              <w:jc w:val="left"/>
              <w:rPr>
                <w:bCs/>
                <w:sz w:val="24"/>
                <w:szCs w:val="24"/>
              </w:rPr>
            </w:pPr>
            <w:r>
              <w:rPr>
                <w:rFonts w:eastAsia="Times New Roman" w:cs="Times New Roman" w:ascii="Times New Roman" w:hAnsi="Times New Roman"/>
                <w:bCs/>
                <w:kern w:val="0"/>
                <w:sz w:val="24"/>
                <w:szCs w:val="24"/>
                <w:lang w:val="ru-RU" w:eastAsia="ru-RU" w:bidi="ar-SA"/>
              </w:rPr>
              <w:t>Требования к ПО</w:t>
            </w:r>
          </w:p>
        </w:tc>
        <w:tc>
          <w:tcPr>
            <w:tcW w:w="13083" w:type="dxa"/>
            <w:tcBorders/>
          </w:tcPr>
          <w:p>
            <w:pPr>
              <w:pStyle w:val="Normal"/>
              <w:widowControl/>
              <w:shd w:val="clear" w:color="auto" w:fill="FFFFFF" w:themeFill="background1"/>
              <w:suppressAutoHyphens w:val="false"/>
              <w:spacing w:before="60" w:after="60"/>
              <w:jc w:val="both"/>
              <w:rPr>
                <w:rFonts w:eastAsia="Calibri"/>
                <w:sz w:val="24"/>
                <w:szCs w:val="24"/>
              </w:rPr>
            </w:pPr>
            <w:r>
              <w:rPr>
                <w:rFonts w:eastAsia="Calibri" w:cs="Times New Roman" w:ascii="Times New Roman" w:hAnsi="Times New Roman"/>
                <w:kern w:val="0"/>
                <w:sz w:val="24"/>
                <w:szCs w:val="24"/>
                <w:lang w:val="ru-RU" w:eastAsia="ru-RU" w:bidi="ar-SA"/>
              </w:rPr>
              <w:t>При модернизации системы ПТК АСУТП должны применяться следующие программные средства, но не ограничиваясь:</w:t>
            </w:r>
          </w:p>
          <w:p>
            <w:pPr>
              <w:pStyle w:val="ListParagraph"/>
              <w:widowControl/>
              <w:numPr>
                <w:ilvl w:val="2"/>
                <w:numId w:val="9"/>
              </w:numPr>
              <w:suppressAutoHyphens w:val="false"/>
              <w:spacing w:before="60" w:after="60"/>
              <w:ind w:hanging="851" w:left="851"/>
              <w:contextualSpacing/>
              <w:jc w:val="both"/>
              <w:rPr>
                <w:kern w:val="0"/>
                <w:lang w:val="ru-RU" w:bidi="ar-SA"/>
              </w:rPr>
            </w:pPr>
            <w:r>
              <w:rPr>
                <w:kern w:val="0"/>
                <w:lang w:val="ru-RU" w:bidi="ar-SA"/>
              </w:rPr>
              <w:t>Операционная система - Astra Linux Special Edition не ниже 1.7, x86-64, «Максимальный» («Смоленск»)/ «Усиленый» / «Воронеж»</w:t>
            </w:r>
          </w:p>
          <w:p>
            <w:pPr>
              <w:pStyle w:val="ListParagraph"/>
              <w:widowControl/>
              <w:numPr>
                <w:ilvl w:val="2"/>
                <w:numId w:val="9"/>
              </w:numPr>
              <w:suppressAutoHyphens w:val="false"/>
              <w:spacing w:before="60" w:after="60"/>
              <w:ind w:hanging="851" w:left="851"/>
              <w:contextualSpacing/>
              <w:jc w:val="both"/>
              <w:rPr>
                <w:kern w:val="0"/>
                <w:lang w:val="ru-RU" w:bidi="ar-SA"/>
              </w:rPr>
            </w:pPr>
            <w:r>
              <w:rPr>
                <w:kern w:val="0"/>
                <w:lang w:val="ru-RU" w:bidi="ar-SA"/>
              </w:rPr>
              <w:t>Программный комплекс Раскада версия не ниже 2.7</w:t>
            </w:r>
          </w:p>
          <w:p>
            <w:pPr>
              <w:pStyle w:val="ListParagraph"/>
              <w:widowControl/>
              <w:numPr>
                <w:ilvl w:val="2"/>
                <w:numId w:val="9"/>
              </w:numPr>
              <w:suppressAutoHyphens w:val="false"/>
              <w:spacing w:before="60" w:after="60"/>
              <w:ind w:hanging="851" w:left="851"/>
              <w:contextualSpacing/>
              <w:jc w:val="both"/>
              <w:rPr>
                <w:kern w:val="0"/>
                <w:lang w:val="ru-RU" w:bidi="ar-SA"/>
              </w:rPr>
            </w:pPr>
            <w:r>
              <w:rPr>
                <w:kern w:val="0"/>
                <w:lang w:val="ru-RU" w:bidi="ar-SA"/>
              </w:rPr>
              <w:t>Программный комплекс СК-11</w:t>
            </w:r>
          </w:p>
          <w:p>
            <w:pPr>
              <w:pStyle w:val="ListParagraph"/>
              <w:widowControl/>
              <w:numPr>
                <w:ilvl w:val="2"/>
                <w:numId w:val="9"/>
              </w:numPr>
              <w:suppressAutoHyphens w:val="false"/>
              <w:spacing w:before="60" w:after="60"/>
              <w:ind w:hanging="851" w:left="851"/>
              <w:contextualSpacing/>
              <w:jc w:val="both"/>
              <w:rPr>
                <w:kern w:val="0"/>
                <w:lang w:bidi="ar-SA"/>
              </w:rPr>
            </w:pPr>
            <w:r>
              <w:rPr>
                <w:kern w:val="0"/>
                <w:lang w:val="ru-RU" w:bidi="ar-SA"/>
              </w:rPr>
              <w:t xml:space="preserve">Программный комплекс резервного копирования - </w:t>
            </w:r>
            <w:r>
              <w:rPr>
                <w:kern w:val="0"/>
                <w:lang w:val="en-US" w:bidi="ar-SA"/>
              </w:rPr>
              <w:t>RuBackup</w:t>
            </w:r>
            <w:r>
              <w:rPr>
                <w:kern w:val="0"/>
                <w:lang w:val="ru-RU" w:bidi="ar-SA"/>
              </w:rPr>
              <w:t xml:space="preserve"> версии не ниже 2.9</w:t>
            </w:r>
          </w:p>
          <w:p>
            <w:pPr>
              <w:pStyle w:val="ListParagraph"/>
              <w:widowControl/>
              <w:suppressAutoHyphens w:val="false"/>
              <w:spacing w:before="60" w:after="60"/>
              <w:ind w:left="851"/>
              <w:contextualSpacing/>
              <w:jc w:val="both"/>
              <w:rPr>
                <w:highlight w:val="yellow"/>
              </w:rPr>
            </w:pPr>
            <w:r>
              <w:rPr>
                <w:highlight w:val="yellow"/>
              </w:rPr>
            </w:r>
          </w:p>
        </w:tc>
        <w:tc>
          <w:tcPr>
            <w:tcW w:w="235" w:type="dxa"/>
            <w:tcBorders>
              <w:top w:val="nil"/>
              <w:left w:val="nil"/>
              <w:bottom w:val="nil"/>
              <w:right w:val="nil"/>
            </w:tcBorders>
          </w:tcPr>
          <w:p>
            <w:pPr>
              <w:pStyle w:val="Normal"/>
              <w:widowControl/>
              <w:suppressAutoHyphens w:val="false"/>
              <w:spacing w:before="0" w:after="160"/>
              <w:jc w:val="lef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bl>
    <w:p>
      <w:pPr>
        <w:pStyle w:val="Normal"/>
        <w:spacing w:lineRule="auto" w:line="240" w:before="0" w:after="0"/>
        <w:rPr>
          <w:rFonts w:ascii="Times New Roman" w:hAnsi="Times New Roman" w:cs="Times New Roman"/>
          <w:b/>
          <w:i/>
          <w:i/>
          <w:sz w:val="24"/>
          <w:szCs w:val="24"/>
          <w:u w:val="single"/>
        </w:rPr>
      </w:pPr>
      <w:r>
        <w:br w:type="page"/>
      </w:r>
      <w:r>
        <w:rPr>
          <w:rFonts w:eastAsia="Calibri" w:cs="Times New Roman" w:ascii="Times New Roman" w:hAnsi="Times New Roman"/>
          <w:b/>
          <w:i/>
          <w:sz w:val="24"/>
          <w:szCs w:val="24"/>
          <w:u w:val="single"/>
          <w:lang w:eastAsia="ru-RU"/>
        </w:rPr>
        <w:t>Стадия 3. Выполнение строительно-монтажных и пусконаладочных работ (позиции №№ 1.6. - 1.7. Таблицы 2.2.)</w:t>
      </w:r>
    </w:p>
    <w:p>
      <w:pPr>
        <w:pStyle w:val="Normal"/>
        <w:spacing w:lineRule="auto" w:line="240" w:before="120" w:after="60"/>
        <w:jc w:val="right"/>
        <w:rPr>
          <w:rFonts w:ascii="Times New Roman" w:hAnsi="Times New Roman" w:eastAsia="Calibri" w:cs="Times New Roman"/>
          <w:b/>
          <w:sz w:val="24"/>
          <w:szCs w:val="24"/>
          <w:lang w:eastAsia="ru-RU"/>
        </w:rPr>
      </w:pPr>
      <w:r>
        <w:rPr>
          <w:rFonts w:eastAsia="Calibri" w:cs="Times New Roman" w:ascii="Times New Roman" w:hAnsi="Times New Roman"/>
          <w:b/>
          <w:sz w:val="24"/>
          <w:szCs w:val="24"/>
          <w:lang w:eastAsia="ru-RU"/>
        </w:rPr>
        <w:t>Таблица 4.3. Требования к выполнению строительно-монтажных и пусконаладочных работ</w:t>
      </w:r>
    </w:p>
    <w:tbl>
      <w:tblPr>
        <w:tblStyle w:val="520"/>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819"/>
        <w:gridCol w:w="2130"/>
        <w:gridCol w:w="12755"/>
      </w:tblGrid>
      <w:tr>
        <w:trPr>
          <w:tblHeader w:val="true"/>
          <w:trHeight w:val="113" w:hRule="atLeast"/>
        </w:trPr>
        <w:tc>
          <w:tcPr>
            <w:tcW w:w="819" w:type="dxa"/>
            <w:tcBorders/>
          </w:tcPr>
          <w:p>
            <w:pPr>
              <w:pStyle w:val="Normal"/>
              <w:widowControl/>
              <w:suppressAutoHyphens w:val="true"/>
              <w:spacing w:lineRule="auto" w:line="240" w:before="0" w:after="0"/>
              <w:jc w:val="center"/>
              <w:rPr>
                <w:rFonts w:ascii="Times New Roman" w:hAnsi="Times New Roman" w:cs="Times New Roman"/>
                <w:b/>
                <w:bCs/>
              </w:rPr>
            </w:pPr>
            <w:r>
              <w:rPr>
                <w:rFonts w:eastAsia="Calibri" w:cs="Times New Roman" w:ascii="Times New Roman" w:hAnsi="Times New Roman"/>
                <w:b/>
                <w:bCs/>
                <w:kern w:val="0"/>
                <w:sz w:val="20"/>
                <w:szCs w:val="20"/>
                <w:lang w:val="ru-RU" w:eastAsia="ru-RU" w:bidi="ar-SA"/>
              </w:rPr>
              <w:t xml:space="preserve">№ </w:t>
            </w:r>
            <w:r>
              <w:rPr>
                <w:rFonts w:eastAsia="Calibri" w:cs="Times New Roman" w:ascii="Times New Roman" w:hAnsi="Times New Roman"/>
                <w:b/>
                <w:bCs/>
                <w:kern w:val="0"/>
                <w:sz w:val="20"/>
                <w:szCs w:val="20"/>
                <w:lang w:val="ru-RU" w:eastAsia="ru-RU" w:bidi="ar-SA"/>
              </w:rPr>
              <w:t>п/п</w:t>
            </w:r>
          </w:p>
        </w:tc>
        <w:tc>
          <w:tcPr>
            <w:tcW w:w="2130" w:type="dxa"/>
            <w:tcBorders/>
          </w:tcPr>
          <w:p>
            <w:pPr>
              <w:pStyle w:val="Normal"/>
              <w:widowControl/>
              <w:suppressAutoHyphens w:val="true"/>
              <w:spacing w:lineRule="auto" w:line="240" w:before="0" w:after="0"/>
              <w:jc w:val="center"/>
              <w:rPr>
                <w:rFonts w:ascii="Times New Roman" w:hAnsi="Times New Roman" w:cs="Times New Roman"/>
                <w:b/>
                <w:bCs/>
              </w:rPr>
            </w:pPr>
            <w:r>
              <w:rPr>
                <w:rFonts w:eastAsia="Calibri" w:cs="Times New Roman" w:ascii="Times New Roman" w:hAnsi="Times New Roman"/>
                <w:b/>
                <w:bCs/>
                <w:kern w:val="0"/>
                <w:sz w:val="20"/>
                <w:szCs w:val="20"/>
                <w:lang w:val="ru-RU" w:eastAsia="ru-RU" w:bidi="ar-SA"/>
              </w:rPr>
              <w:t>Наименование параметра</w:t>
            </w:r>
          </w:p>
        </w:tc>
        <w:tc>
          <w:tcPr>
            <w:tcW w:w="12755" w:type="dxa"/>
            <w:tcBorders/>
          </w:tcPr>
          <w:p>
            <w:pPr>
              <w:pStyle w:val="Normal"/>
              <w:widowControl/>
              <w:suppressAutoHyphens w:val="true"/>
              <w:spacing w:lineRule="auto" w:line="240" w:before="0" w:after="0"/>
              <w:jc w:val="center"/>
              <w:rPr>
                <w:rFonts w:ascii="Times New Roman" w:hAnsi="Times New Roman" w:cs="Times New Roman"/>
                <w:b/>
                <w:bCs/>
              </w:rPr>
            </w:pPr>
            <w:r>
              <w:rPr>
                <w:rFonts w:eastAsia="Calibri" w:cs="Times New Roman" w:ascii="Times New Roman" w:hAnsi="Times New Roman"/>
                <w:b/>
                <w:bCs/>
                <w:kern w:val="0"/>
                <w:sz w:val="20"/>
                <w:szCs w:val="20"/>
                <w:lang w:val="ru-RU" w:eastAsia="ru-RU" w:bidi="ar-SA"/>
              </w:rPr>
              <w:t>Требование заказчика</w:t>
            </w:r>
          </w:p>
        </w:tc>
      </w:tr>
      <w:tr>
        <w:trPr>
          <w:tblHeader w:val="true"/>
        </w:trPr>
        <w:tc>
          <w:tcPr>
            <w:tcW w:w="819" w:type="dxa"/>
            <w:tcBorders/>
          </w:tcPr>
          <w:p>
            <w:pPr>
              <w:pStyle w:val="Normal"/>
              <w:widowControl/>
              <w:suppressAutoHyphens w:val="true"/>
              <w:spacing w:lineRule="auto" w:line="240" w:before="0" w:after="0"/>
              <w:jc w:val="center"/>
              <w:rPr>
                <w:rFonts w:ascii="Times New Roman" w:hAnsi="Times New Roman" w:cs="Times New Roman"/>
                <w:b/>
              </w:rPr>
            </w:pPr>
            <w:r>
              <w:rPr>
                <w:rFonts w:eastAsia="Calibri" w:cs="Times New Roman" w:ascii="Times New Roman" w:hAnsi="Times New Roman"/>
                <w:b/>
                <w:kern w:val="0"/>
                <w:sz w:val="20"/>
                <w:szCs w:val="20"/>
                <w:lang w:val="ru-RU" w:eastAsia="ru-RU" w:bidi="ar-SA"/>
              </w:rPr>
              <w:t>1</w:t>
            </w:r>
          </w:p>
        </w:tc>
        <w:tc>
          <w:tcPr>
            <w:tcW w:w="2130" w:type="dxa"/>
            <w:tcBorders/>
            <w:vAlign w:val="center"/>
          </w:tcPr>
          <w:p>
            <w:pPr>
              <w:pStyle w:val="Normal"/>
              <w:widowControl/>
              <w:suppressAutoHyphens w:val="true"/>
              <w:spacing w:lineRule="auto" w:line="240" w:before="0" w:after="0"/>
              <w:jc w:val="center"/>
              <w:rPr>
                <w:rFonts w:ascii="Times New Roman" w:hAnsi="Times New Roman" w:cs="Times New Roman"/>
                <w:b/>
              </w:rPr>
            </w:pPr>
            <w:r>
              <w:rPr>
                <w:rFonts w:eastAsia="Calibri" w:cs="Times New Roman" w:ascii="Times New Roman" w:hAnsi="Times New Roman"/>
                <w:b/>
                <w:kern w:val="0"/>
                <w:sz w:val="20"/>
                <w:szCs w:val="20"/>
                <w:lang w:val="ru-RU" w:eastAsia="ru-RU" w:bidi="ar-SA"/>
              </w:rPr>
              <w:t>2</w:t>
            </w:r>
          </w:p>
        </w:tc>
        <w:tc>
          <w:tcPr>
            <w:tcW w:w="12755" w:type="dxa"/>
            <w:tcBorders/>
            <w:vAlign w:val="center"/>
          </w:tcPr>
          <w:p>
            <w:pPr>
              <w:pStyle w:val="Normal"/>
              <w:widowControl/>
              <w:suppressAutoHyphens w:val="true"/>
              <w:spacing w:lineRule="auto" w:line="240" w:before="0" w:after="0"/>
              <w:jc w:val="center"/>
              <w:rPr>
                <w:rFonts w:ascii="Times New Roman" w:hAnsi="Times New Roman" w:cs="Times New Roman"/>
                <w:b/>
              </w:rPr>
            </w:pPr>
            <w:r>
              <w:rPr>
                <w:rFonts w:eastAsia="Calibri" w:cs="Times New Roman" w:ascii="Times New Roman" w:hAnsi="Times New Roman"/>
                <w:b/>
                <w:kern w:val="0"/>
                <w:sz w:val="20"/>
                <w:szCs w:val="20"/>
                <w:lang w:val="ru-RU" w:eastAsia="ru-RU" w:bidi="ar-SA"/>
              </w:rPr>
              <w:t>3</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vAlign w:val="center"/>
          </w:tcPr>
          <w:p>
            <w:pPr>
              <w:pStyle w:val="Normal"/>
              <w:widowControl/>
              <w:suppressAutoHyphens w:val="true"/>
              <w:spacing w:lineRule="auto" w:line="240" w:before="60" w:after="60"/>
              <w:jc w:val="left"/>
              <w:rPr>
                <w:rFonts w:ascii="Times New Roman" w:hAnsi="Times New Roman" w:cs="Times New Roman"/>
                <w:b/>
                <w:sz w:val="24"/>
                <w:szCs w:val="24"/>
              </w:rPr>
            </w:pPr>
            <w:r>
              <w:rPr>
                <w:rFonts w:eastAsia="Calibri" w:cs="Times New Roman" w:ascii="Times New Roman" w:hAnsi="Times New Roman"/>
                <w:b/>
                <w:kern w:val="0"/>
                <w:sz w:val="24"/>
                <w:szCs w:val="24"/>
                <w:lang w:val="ru-RU" w:eastAsia="ru-RU" w:bidi="ar-SA"/>
              </w:rPr>
              <w:t xml:space="preserve">Требования к способам и технологиям выполнения работ </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bCs/>
                <w:kern w:val="0"/>
                <w:sz w:val="24"/>
                <w:szCs w:val="24"/>
                <w:lang w:val="ru-RU" w:eastAsia="ru-RU" w:bidi="ar-SA"/>
              </w:rPr>
              <w:t>Соблюдение при выполнении работ норм и правил нормативно-технических документов</w:t>
            </w:r>
          </w:p>
        </w:tc>
        <w:tc>
          <w:tcPr>
            <w:tcW w:w="12755" w:type="dxa"/>
            <w:tcBorders/>
          </w:tcPr>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ходе исполнения договора Поставщик обязан руководствоваться, соблюдать и исполнять требования следующих нормативно-технических документов (НТД) в действующей редакции:</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Федеральный закон от 27.12.2002 № 184-ФЗ «О техническом регулировании».</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Федеральный закон от 22.07.2008 № 123-ФЗ «Технический регламент о требованиях пожарной безопасности».</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РД 34.35.412-88. Правила приемки в эксплуатацию из монтажа и наладки систем управления технологическими процессами тепловых электрических станций (утв. Минэнерго СССР 30.05.1988).</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СО 34.04.181-2003. Правила организации технического обслуживания и ремонта оборудования, зданий и сооружений электростанций и сетей. (утв. РАО «ЕЭС России» 25.12.2003).</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Правила организации технического обслуживания и ремонта объектов электроэнергетики (утв. Приказом Минэнерго России от 25.10.2017 № 1013).</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 (утв. и введен в действие Приказом Росстандарта от 23.06.2020 № 282-ст).</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Требования к производству сварочных работ на опасных производственных объектах (утв. Приказ Ростехнадзора от 11.12.2020 № 519).</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РД 03-615-03. 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 (утв. Постановлением Госгортехнадзора России от 19.06.2003 № 103).</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Правила по охране труда при работе с инструментом и приспособлениями (утв. Приказом Минтруда России от 27.11.2020 N 835н).</w:t>
            </w:r>
          </w:p>
          <w:p>
            <w:pPr>
              <w:pStyle w:val="ListParagraph"/>
              <w:widowControl/>
              <w:numPr>
                <w:ilvl w:val="2"/>
                <w:numId w:val="40"/>
              </w:numPr>
              <w:suppressAutoHyphens w:val="false"/>
              <w:spacing w:before="60" w:after="60"/>
              <w:ind w:hanging="567" w:left="1418"/>
              <w:contextualSpacing w:val="false"/>
              <w:jc w:val="both"/>
              <w:rPr>
                <w:rFonts w:eastAsia="Calibri" w:eastAsiaTheme="minorHAnsi"/>
              </w:rPr>
            </w:pPr>
            <w:r>
              <w:rPr>
                <w:rFonts w:eastAsia="Calibri" w:eastAsiaTheme="minorHAnsi"/>
                <w:kern w:val="0"/>
                <w:lang w:val="ru-RU" w:bidi="ar-SA"/>
              </w:rPr>
              <w:t xml:space="preserve">Требования заводских инструкций и руководства по эксплуатации на модернизированное оборудование. </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случае если какой-либо из указанных в Технических требованиях ГОСТ или нормативный документ был заменен/отменен в процессе проведения закупки и/или в период исполнения договора в связи с выпуском новой редакции стандарта, то Участнику необходимо применять ГОСТ или нормативный документ, принятый в его развитие.</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bCs/>
                <w:sz w:val="24"/>
                <w:szCs w:val="24"/>
              </w:rPr>
            </w:pPr>
            <w:r>
              <w:rPr>
                <w:rFonts w:eastAsia="Calibri" w:cs="Times New Roman" w:ascii="Times New Roman" w:hAnsi="Times New Roman"/>
                <w:bCs/>
                <w:kern w:val="0"/>
                <w:sz w:val="24"/>
                <w:szCs w:val="24"/>
                <w:lang w:val="ru-RU" w:eastAsia="ru-RU" w:bidi="ar-SA"/>
              </w:rPr>
              <w:t>Общие требования к выполнению работ Поставщиком</w:t>
            </w:r>
          </w:p>
        </w:tc>
        <w:tc>
          <w:tcPr>
            <w:tcW w:w="12755" w:type="dxa"/>
            <w:tcBorders/>
          </w:tcPr>
          <w:p>
            <w:pPr>
              <w:pStyle w:val="Normal"/>
              <w:widowControl/>
              <w:suppressAutoHyphens w:val="fals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До начала выполнения работ Поставщик:</w:t>
            </w:r>
          </w:p>
          <w:p>
            <w:pPr>
              <w:pStyle w:val="Normal"/>
              <w:widowControl/>
              <w:numPr>
                <w:ilvl w:val="2"/>
                <w:numId w:val="25"/>
              </w:numPr>
              <w:suppressAutoHyphens w:val="true"/>
              <w:spacing w:lineRule="auto" w:line="240" w:before="60" w:after="60"/>
              <w:jc w:val="both"/>
              <w:rPr>
                <w:sz w:val="24"/>
                <w:szCs w:val="24"/>
              </w:rPr>
            </w:pPr>
            <w:r>
              <w:rPr>
                <w:rFonts w:eastAsia="Calibri" w:cs="Times New Roman" w:ascii="Times New Roman" w:hAnsi="Times New Roman"/>
                <w:kern w:val="0"/>
                <w:sz w:val="24"/>
                <w:szCs w:val="24"/>
                <w:lang w:val="ru-RU" w:eastAsia="ru-RU" w:bidi="ar-SA"/>
              </w:rPr>
              <w:t>Определяет состав бригад по численности, квалификации и профессиям в соответствии с объемами работ. При этом должна быть обеспечена полная занятость рабочих в течение установленных графиком сроков производства работ.</w:t>
            </w:r>
          </w:p>
          <w:p>
            <w:pPr>
              <w:pStyle w:val="Normal"/>
              <w:widowControl/>
              <w:numPr>
                <w:ilvl w:val="2"/>
                <w:numId w:val="25"/>
              </w:numPr>
              <w:suppressAutoHyphens w:val="true"/>
              <w:spacing w:lineRule="auto" w:line="240" w:before="60" w:after="60"/>
              <w:jc w:val="both"/>
              <w:rPr>
                <w:sz w:val="24"/>
                <w:szCs w:val="24"/>
              </w:rPr>
            </w:pPr>
            <w:r>
              <w:rPr>
                <w:rFonts w:eastAsia="Calibri" w:cs="Times New Roman" w:ascii="Times New Roman" w:hAnsi="Times New Roman"/>
                <w:kern w:val="0"/>
                <w:sz w:val="24"/>
                <w:szCs w:val="24"/>
                <w:lang w:val="ru-RU" w:eastAsia="ru-RU" w:bidi="ar-SA"/>
              </w:rPr>
              <w:t>Назначает руководителя работ (по исполнению договора в технической его части) в соответствии с объемом работ.</w:t>
            </w:r>
          </w:p>
          <w:p>
            <w:pPr>
              <w:pStyle w:val="Normal"/>
              <w:widowControl/>
              <w:numPr>
                <w:ilvl w:val="2"/>
                <w:numId w:val="25"/>
              </w:numPr>
              <w:suppressAutoHyphens w:val="true"/>
              <w:spacing w:lineRule="auto" w:line="240" w:before="60" w:after="60"/>
              <w:jc w:val="both"/>
              <w:rPr>
                <w:sz w:val="24"/>
                <w:szCs w:val="24"/>
              </w:rPr>
            </w:pPr>
            <w:r>
              <w:rPr>
                <w:rFonts w:eastAsia="Calibri" w:cs="Times New Roman" w:ascii="Times New Roman" w:hAnsi="Times New Roman"/>
                <w:kern w:val="0"/>
                <w:sz w:val="24"/>
                <w:szCs w:val="24"/>
                <w:lang w:val="ru-RU" w:eastAsia="ru-RU" w:bidi="ar-SA"/>
              </w:rPr>
              <w:t>Назначает лиц, ответственных за охрану труда и материально-техническое обеспечение.</w:t>
            </w:r>
          </w:p>
          <w:p>
            <w:pPr>
              <w:pStyle w:val="Normal"/>
              <w:widowControl/>
              <w:numPr>
                <w:ilvl w:val="2"/>
                <w:numId w:val="25"/>
              </w:numPr>
              <w:suppressAutoHyphens w:val="true"/>
              <w:spacing w:lineRule="auto" w:line="240" w:before="60" w:after="60"/>
              <w:jc w:val="both"/>
              <w:rPr>
                <w:sz w:val="24"/>
                <w:szCs w:val="24"/>
              </w:rPr>
            </w:pPr>
            <w:r>
              <w:rPr>
                <w:rFonts w:eastAsia="Calibri" w:cs="Times New Roman" w:ascii="Times New Roman" w:hAnsi="Times New Roman"/>
                <w:kern w:val="0"/>
                <w:sz w:val="24"/>
                <w:szCs w:val="24"/>
                <w:lang w:val="ru-RU" w:eastAsia="ru-RU" w:bidi="ar-SA"/>
              </w:rPr>
              <w:t>Разрабатывает и предоставляет Заказчику на утверждение план производства работ и программу пусконаладочных работ.</w:t>
            </w:r>
          </w:p>
          <w:p>
            <w:pPr>
              <w:pStyle w:val="Normal"/>
              <w:widowControl/>
              <w:numPr>
                <w:ilvl w:val="2"/>
                <w:numId w:val="25"/>
              </w:numPr>
              <w:suppressAutoHyphens w:val="true"/>
              <w:spacing w:lineRule="auto" w:line="240" w:before="60" w:after="60"/>
              <w:jc w:val="both"/>
              <w:rPr>
                <w:rFonts w:eastAsia="Times New Roman"/>
              </w:rPr>
            </w:pPr>
            <w:r>
              <w:rPr>
                <w:rFonts w:eastAsia="Calibri" w:cs="Times New Roman" w:ascii="Times New Roman" w:hAnsi="Times New Roman"/>
                <w:kern w:val="0"/>
                <w:sz w:val="24"/>
                <w:szCs w:val="24"/>
                <w:lang w:val="ru-RU" w:eastAsia="ru-RU" w:bidi="ar-SA"/>
              </w:rPr>
              <w:t>Разрабатывает и предоставляет Заказчику на утверждение детальный календарный (сетевой/линейный) график производства работ.</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bCs/>
                <w:kern w:val="0"/>
                <w:sz w:val="24"/>
                <w:szCs w:val="24"/>
                <w:lang w:val="ru-RU" w:eastAsia="ru-RU" w:bidi="ar-SA"/>
              </w:rPr>
              <w:t>Объем и порядок выполнения строительно-монтажных работ</w:t>
            </w:r>
          </w:p>
        </w:tc>
        <w:tc>
          <w:tcPr>
            <w:tcW w:w="12755" w:type="dxa"/>
            <w:tcBorders/>
          </w:tcPr>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Объем строительно-монтажных работ должен быть выполнен в соответствии ведомостью объемов работ, разрабатываемой в объеме ТРП.</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Состав работ должен включать в себя:</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Монтаж оборудования ПТК АСУТП в части ДУ, в части сетевого оборудования и АР</w:t>
            </w:r>
            <w:r>
              <w:rPr>
                <w:rFonts w:eastAsia="Calibri" w:cs="Times New Roman" w:ascii="Times New Roman" w:hAnsi="Times New Roman"/>
                <w:kern w:val="0"/>
                <w:sz w:val="24"/>
                <w:szCs w:val="24"/>
                <w:lang w:val="ru-RU" w:eastAsia="ru-RU" w:bidi="ar-SA"/>
              </w:rPr>
              <w:t>М</w:t>
            </w:r>
            <w:r>
              <w:rPr>
                <w:rFonts w:eastAsia="Calibri" w:cs="Times New Roman" w:ascii="Times New Roman" w:hAnsi="Times New Roman"/>
                <w:kern w:val="0"/>
                <w:sz w:val="24"/>
                <w:szCs w:val="24"/>
                <w:lang w:val="ru-RU" w:eastAsia="ru-RU" w:bidi="ar-SA"/>
              </w:rPr>
              <w:t>;</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 xml:space="preserve">Прокладка кабельной продукции по установленным конструкциям и лоткам с креплением на поворотах и в конце трассы; </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Измерение сопротивления изоляции мегомметром кабельных и других линий напряжением до 1 кВ;</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Обжим коннекторов RJ-45 на витой паре;</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Разварка и контроль оптического кабеля со снятием рефлекторограмм с оформлением протоколов;</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Разводка по устройствам, маркировка и подключение жил кабелей;</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Замена бирок и маркировки кабельных жил в шкафах ПТК и с обратной стороны;</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Уплотнение кабельных вводов в шкафах ПТК.</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Требования к маркировке оборудования и кабельных связей</w:t>
            </w:r>
          </w:p>
        </w:tc>
        <w:tc>
          <w:tcPr>
            <w:tcW w:w="12755" w:type="dxa"/>
            <w:tcBorders/>
          </w:tcPr>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Все оборудование должно быть промаркировано в соответствии с технологическими схемами. Маркировка всего оборудования должна быть произведена с применением современных промышленных технологий и материалов, обеспечивающих эстетичный внешний вид и длительный срок службы.</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случае повреждения при монтаже целостности окраски существующих шкафов и надписей, при выполнении работ Поставщиком, необходимо выполнить восстановление окраски шкафов и надписей силами Поставщика.</w:t>
            </w:r>
          </w:p>
          <w:p>
            <w:pPr>
              <w:pStyle w:val="Normal"/>
              <w:widowControl/>
              <w:suppressAutoHyphens w:val="true"/>
              <w:spacing w:lineRule="auto" w:line="240" w:before="60" w:after="60"/>
              <w:jc w:val="both"/>
              <w:rPr>
                <w:rFonts w:ascii="Times New Roman" w:hAnsi="Times New Roman" w:cs="Times New Roman"/>
                <w:sz w:val="24"/>
                <w:szCs w:val="24"/>
              </w:rPr>
            </w:pPr>
            <w:r>
              <w:rPr>
                <w:rFonts w:cs="Times New Roman" w:ascii="Times New Roman" w:hAnsi="Times New Roman"/>
                <w:sz w:val="24"/>
                <w:szCs w:val="24"/>
              </w:rPr>
            </w:r>
          </w:p>
        </w:tc>
      </w:tr>
      <w:tr>
        <w:trPr>
          <w:trHeight w:val="221" w:hRule="atLeast"/>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b/>
                <w:kern w:val="0"/>
                <w:sz w:val="24"/>
                <w:szCs w:val="24"/>
                <w:lang w:val="ru-RU" w:eastAsia="ru-RU" w:bidi="ar-SA"/>
              </w:rPr>
              <w:t>Требования к организации работ/услуг</w:t>
            </w:r>
          </w:p>
        </w:tc>
      </w:tr>
      <w:tr>
        <w:trPr>
          <w:trHeight w:val="472" w:hRule="atLeast"/>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center" w:pos="7639" w:leader="none"/>
              </w:tabs>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Организационно-технические мероприятия по допуску персонала Поставщика</w:t>
            </w:r>
          </w:p>
        </w:tc>
        <w:tc>
          <w:tcPr>
            <w:tcW w:w="12755" w:type="dxa"/>
            <w:tcBorders/>
          </w:tcPr>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Допуск персонала Поставщика для выполнения работ на объекте должен осуществляется следующим образом:</w:t>
            </w:r>
          </w:p>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До начала выполнения работ Поставщик должен направить Заказчику списки с персональным составом работников всех категорий (руководители, специалисты и рабочие), занятых при исполнении договора, которые должны быть обучены и иметь удостоверения по проверке знаний правил охраны и безопасности труда, соответствующую группу допуска по электробезопасности с учетом должности, профессии в соответствии с нормами:</w:t>
            </w:r>
          </w:p>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ст. 214 Трудового кодекса Российской Федерации;</w:t>
            </w:r>
          </w:p>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Действующей редакции Постановления Правительства РФ от 24.12.2021 № 2464 «О порядке обучения по охране труда и проверки знания требований охраны труда»;</w:t>
            </w:r>
          </w:p>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Действующей редакции Приказа Минэнерго России от 22.09.2020 № 796 «Об утверждении Правил работы с персоналом в организациях электроэнергетики Российской Федерации».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дальнейшем персонал должен пройти все виды необходимых инструктажей с оформлением документов в соответствии с Регламентом процесса «Допуск персонала подрядных организаций на объекты ПАО РусГидро» и Методикой – Приложение № 2 к техническим требованиям.</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left" w:pos="426" w:leader="none"/>
              </w:tabs>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Обеспечение персонала Поставщика комплектами СИЗ</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Персонал Поставщика должен быть обеспечен за счет работодателя средствами индивидуальной защиты (СИЗ).</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Для обеспечения идентификации спецодежда персонала Поставщика, выполняющего работы на объекте, должна иметь опознавательную символику.</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left" w:pos="426" w:leader="none"/>
              </w:tabs>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Требования к выполнению пусконаладочных работ</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Пусконаладочные работы ПТК АСУТП по ДУ должны выполнятся в соответствии с разработанным Поставщиком и утвержденным Заказчиком следующим видам программ:</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Автономной и комплексной наладки.</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Испытаний (предварительных и приемочных).</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Опытной эксплуатации.</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Пусконаладочные работы по терминальным АРМ и сетевому оборудованию должны выполнятся в соответствии с нормами и по разработанным Поставщиком и утвержденным Заказчиком следующим видам программ:</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Автономной и комплексной наладки.</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Испытаний (предварительных и приемочных).</w:t>
            </w:r>
          </w:p>
          <w:p>
            <w:pPr>
              <w:pStyle w:val="Normal"/>
              <w:widowControl/>
              <w:numPr>
                <w:ilvl w:val="3"/>
                <w:numId w:val="26"/>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Опытной эксплуатации.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Поставщик выполняет испытания систем и проверку взаимодействия систем со смежными системами в соответствии с требованиями Приложения №№1-10 к Техническим требованиям, ГОСТ Р 59792-2021 «Информационные технологии. Комплекс стандартов на автоматизированные системы. Виды испытаний автоматизированных систем», требований ОРЭМ утверждённые Постановлением Правительства РФ от 27.12.2010 №1172 с изменениями от 4 июля 2026 г. №844.</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Поставщик должен выполнить доработку прикладного программного обеспечение ВУ ПТК АСУТП и провести необходимые испытания после проведенных изменений.</w:t>
            </w:r>
          </w:p>
          <w:p>
            <w:pPr>
              <w:pStyle w:val="Normal"/>
              <w:widowControl/>
              <w:suppressAutoHyphens w:val="true"/>
              <w:spacing w:before="60" w:after="60"/>
              <w:jc w:val="both"/>
              <w:rPr>
                <w:rFonts w:ascii="Calibri" w:hAnsi="Calibri" w:eastAsia="Calibri" w:cs="Calibri"/>
                <w:sz w:val="20"/>
                <w:szCs w:val="20"/>
                <w:lang w:eastAsia="ru-RU"/>
              </w:rPr>
            </w:pPr>
            <w:r>
              <w:rPr>
                <w:rFonts w:eastAsia="Calibri" w:cs="Calibri"/>
                <w:sz w:val="20"/>
                <w:szCs w:val="20"/>
                <w:lang w:eastAsia="ru-RU"/>
              </w:rPr>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sz w:val="24"/>
                <w:szCs w:val="24"/>
              </w:rPr>
            </w:pPr>
            <w:r>
              <w:rPr>
                <w:rFonts w:eastAsia="Calibri" w:cs="Times New Roman" w:ascii="Times New Roman" w:hAnsi="Times New Roman"/>
                <w:b/>
                <w:kern w:val="0"/>
                <w:sz w:val="24"/>
                <w:szCs w:val="24"/>
                <w:lang w:val="ru-RU" w:eastAsia="ru-RU" w:bidi="ar-SA"/>
              </w:rPr>
              <w:t>Требования к персоналу поставщика/исполнителя</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Наличие квалифицированного персонала, обладающего группами допуска по ЭБ.</w:t>
            </w:r>
          </w:p>
        </w:tc>
        <w:tc>
          <w:tcPr>
            <w:tcW w:w="12755" w:type="dxa"/>
            <w:tcBorders/>
          </w:tcPr>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После заключения договора до начала выполнения работ Поставщик должен представить Заказчику:</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Заверенные копии документов о прохождении обучения и аттестации по специальности или удостоверения</w:t>
              <w:br/>
              <w:t>о повышении квалификации, удостоверения по проверке знаний требований охраны труда.</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Документы, подтверждающие проверку знаний требований пожарной безопасности.</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 xml:space="preserve"> </w:t>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b/>
                <w:kern w:val="0"/>
                <w:sz w:val="24"/>
                <w:szCs w:val="24"/>
                <w:lang w:val="ru-RU" w:eastAsia="ru-RU" w:bidi="ar-SA"/>
              </w:rPr>
              <w:t>Требования к безопасности работ/услуг и охране труда</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left" w:pos="426" w:leader="none"/>
              </w:tabs>
              <w:suppressAutoHyphens w:val="true"/>
              <w:spacing w:lineRule="auto" w:line="240" w:before="60" w:after="60"/>
              <w:jc w:val="left"/>
              <w:rPr>
                <w:rFonts w:ascii="Times New Roman" w:hAnsi="Times New Roman" w:cs="Times New Roman"/>
                <w:b/>
                <w:iCs/>
                <w:sz w:val="24"/>
                <w:szCs w:val="24"/>
              </w:rPr>
            </w:pPr>
            <w:r>
              <w:rPr>
                <w:rFonts w:eastAsia="Calibri" w:cs="Times New Roman" w:ascii="Times New Roman" w:hAnsi="Times New Roman"/>
                <w:iCs/>
                <w:kern w:val="0"/>
                <w:sz w:val="24"/>
                <w:szCs w:val="24"/>
                <w:lang w:val="ru-RU" w:eastAsia="ru-RU" w:bidi="ar-SA"/>
              </w:rPr>
              <w:t>Требования к безопасности выполняемых работ</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Требования к безопасности являются приоритетными по отношению к другим требованиям.</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Требования охраны труда и безопасности производства работ должны обеспечиваться в соответствии</w:t>
              <w:br/>
              <w:t>с действующими редакциями нормативных правовых актов, Правил безопасности, стандартов безопасности труда, технических регламентов и другими НТД, включая:</w:t>
            </w:r>
          </w:p>
          <w:p>
            <w:pPr>
              <w:pStyle w:val="Normal"/>
              <w:widowControl/>
              <w:numPr>
                <w:ilvl w:val="3"/>
                <w:numId w:val="27"/>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СП 12-136-2002 «Безопасность труда в строительстве. Решение по охране труда и промышленной безопасности в ПОС и ППР»;</w:t>
            </w:r>
          </w:p>
          <w:p>
            <w:pPr>
              <w:pStyle w:val="Normal"/>
              <w:widowControl/>
              <w:numPr>
                <w:ilvl w:val="3"/>
                <w:numId w:val="27"/>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 xml:space="preserve">Приказ Ростехнадзора от 26.11.2020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w:t>
            </w:r>
          </w:p>
          <w:p>
            <w:pPr>
              <w:pStyle w:val="Normal"/>
              <w:widowControl/>
              <w:numPr>
                <w:ilvl w:val="3"/>
                <w:numId w:val="27"/>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Приказ Ростехнадзора от 15.12.2020 № 536 Об утверждении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pStyle w:val="Normal"/>
              <w:widowControl/>
              <w:numPr>
                <w:ilvl w:val="3"/>
                <w:numId w:val="27"/>
              </w:numPr>
              <w:suppressAutoHyphens w:val="true"/>
              <w:spacing w:lineRule="auto" w:line="240" w:before="60" w:after="60"/>
              <w:ind w:hanging="567" w:left="1418"/>
              <w:jc w:val="both"/>
              <w:rPr>
                <w:rFonts w:ascii="Times New Roman" w:hAnsi="Times New Roman" w:cs="Times New Roman"/>
                <w:iCs/>
                <w:sz w:val="24"/>
                <w:szCs w:val="24"/>
              </w:rPr>
            </w:pPr>
            <w:r>
              <w:rPr>
                <w:rFonts w:eastAsia="Calibri" w:cs="Times New Roman" w:ascii="Times New Roman" w:hAnsi="Times New Roman"/>
                <w:kern w:val="0"/>
                <w:sz w:val="24"/>
                <w:szCs w:val="24"/>
                <w:lang w:val="ru-RU" w:eastAsia="ru-RU" w:bidi="ar-SA"/>
              </w:rPr>
              <w:t>Приказ Минтруда России от 15.12.2020 № 903н «Об утверждении Правил по охране труда при эксплуатации электроустановок».</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ru-RU" w:bidi="ar-SA"/>
              </w:rPr>
              <w:t xml:space="preserve"> </w:t>
            </w:r>
            <w:r>
              <w:rPr>
                <w:rFonts w:eastAsia="Calibri" w:cs="Times New Roman" w:ascii="Times New Roman" w:hAnsi="Times New Roman"/>
                <w:b/>
                <w:kern w:val="0"/>
                <w:sz w:val="24"/>
                <w:szCs w:val="24"/>
                <w:lang w:val="ru-RU" w:eastAsia="ru-RU" w:bidi="ar-SA"/>
              </w:rPr>
              <w:t>Требования к инструктажу персонала</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left" w:pos="426" w:leader="none"/>
              </w:tabs>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 xml:space="preserve">Требования к объему инструктажа по эксплуатации </w:t>
            </w:r>
          </w:p>
        </w:tc>
        <w:tc>
          <w:tcPr>
            <w:tcW w:w="12755" w:type="dxa"/>
            <w:tcBorders/>
          </w:tcPr>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После завершения ПНР Поставщик должен обеспечить проведение инструктажа эксплуатационного персонала (оперативный персонал и персонал службы технологических систем управления) следующем объеме:</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Устройство и использование оборудования ПТК АСУТП в части ДУ.</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Устройство и использование оборудования по терминальным АРМ и сетевому оборудованию.</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Промышленные средства автоматизации, на базе которых создано оборудование.</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Инструментальные средства и методы программирования.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Состав, назначение и основные технические характеристики средств человеко-машинного интерфейса.</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Программные средства построения систем автоматизации верхнего уровня.</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b/>
                <w:kern w:val="0"/>
                <w:sz w:val="24"/>
                <w:szCs w:val="24"/>
                <w:lang w:val="ru-RU" w:eastAsia="ru-RU" w:bidi="ar-SA"/>
              </w:rPr>
              <w:t>Требования к порядку приемки результатов работ выполнения договора</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Общие требования к приемке оборудования</w:t>
            </w:r>
          </w:p>
        </w:tc>
        <w:tc>
          <w:tcPr>
            <w:tcW w:w="12755" w:type="dxa"/>
            <w:tcBorders/>
          </w:tcPr>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К приемке должны быть предъявлена ПТК АСУТП Богучанской ГЭС с реализованной в соответствии с требованиями функцией дистанционного управления, включающая: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Эксплуатационную документацию, скорректированные исполнительные схемы, функционально-логические схемы, протоколы наладки и калибровки компонентов и систем в составе оборудования ПТК АСУТП.</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kern w:val="0"/>
                <w:sz w:val="24"/>
                <w:szCs w:val="24"/>
                <w:lang w:val="ru-RU" w:eastAsia="ru-RU" w:bidi="ar-SA"/>
              </w:rPr>
              <w:t>ПО в виде программ на машинных носителях информации и сопровождающую его программную документацию.</w:t>
            </w:r>
          </w:p>
          <w:p>
            <w:pPr>
              <w:pStyle w:val="Normal"/>
              <w:widowControl/>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К приемке должны быть предъявлена ПТК АСУТП в части доработки по терминальным АРМ и сетевому оборудованию, включающая: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КТС, смонтированных и соединенных в соответствии с рабочими чертежами для монтажа, подготовленных</w:t>
              <w:br/>
              <w:t>к эксплуатации с аппаратурой и инструментами для обслуживания.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Эксплуатационную документацию, скорректированные исполнительные схемы, функционально-логические схемы, протоколы наладки и калибровки компонентов и систем в составе оборудования СОТИАССО.</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kern w:val="0"/>
                <w:sz w:val="24"/>
                <w:szCs w:val="24"/>
                <w:lang w:val="ru-RU" w:eastAsia="ru-RU" w:bidi="ar-SA"/>
              </w:rPr>
              <w:t>ПО в виде программ на машинных носителях информации и сопровождающую его программную документацию.</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Наличие и комплектность эксплуатационной документации на оборудование и специальное ПО</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размещению компонентов системы и условиям ее работы</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ЦППС СОТИАССО</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шкафам СОТИАССО</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основному и резервному электропитанию шкафов с оборудованием СОТИАССО</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Сбор оперативных данных нормального режима (телеизмерения и телесигнализация)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Оперативное предоставление информации о работе станции в целом и основных ее системах, и агрегатах оперативному персоналу станции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защите информации от несанкционированного доступа</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лингвистическому обеспечению</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Выполнение требований к персоналу</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Реализацию алгоритмов оперативной блокировки</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Виды испытаний</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ходе приемки оборудования ПТК ВУ АСУТП предусматривается следующий перечень испытаний:</w:t>
            </w:r>
          </w:p>
          <w:p>
            <w:pPr>
              <w:pStyle w:val="Normal"/>
              <w:widowControl/>
              <w:numPr>
                <w:ilvl w:val="3"/>
                <w:numId w:val="28"/>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w:t>
            </w:r>
          </w:p>
          <w:p>
            <w:pPr>
              <w:pStyle w:val="Normal"/>
              <w:widowControl w:val="false"/>
              <w:numPr>
                <w:ilvl w:val="2"/>
                <w:numId w:val="29"/>
              </w:numPr>
              <w:tabs>
                <w:tab w:val="clear" w:pos="708"/>
                <w:tab w:val="left" w:pos="270" w:leader="none"/>
              </w:tabs>
              <w:suppressAutoHyphens w:val="true"/>
              <w:spacing w:lineRule="auto" w:line="240" w:before="60" w:after="60"/>
              <w:ind w:hanging="567" w:left="1985"/>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Автономная наладка;</w:t>
            </w:r>
          </w:p>
          <w:p>
            <w:pPr>
              <w:pStyle w:val="Normal"/>
              <w:widowControl w:val="false"/>
              <w:numPr>
                <w:ilvl w:val="2"/>
                <w:numId w:val="29"/>
              </w:numPr>
              <w:tabs>
                <w:tab w:val="clear" w:pos="708"/>
                <w:tab w:val="left" w:pos="270" w:leader="none"/>
              </w:tabs>
              <w:suppressAutoHyphens w:val="true"/>
              <w:spacing w:lineRule="auto" w:line="240" w:before="60" w:after="60"/>
              <w:ind w:hanging="567" w:left="1985"/>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Комплексные испытания</w:t>
            </w:r>
          </w:p>
          <w:p>
            <w:pPr>
              <w:pStyle w:val="Normal"/>
              <w:widowControl/>
              <w:numPr>
                <w:ilvl w:val="3"/>
                <w:numId w:val="28"/>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Опытная эксплуатация.</w:t>
            </w:r>
          </w:p>
          <w:p>
            <w:pPr>
              <w:pStyle w:val="Normal"/>
              <w:widowControl/>
              <w:numPr>
                <w:ilvl w:val="3"/>
                <w:numId w:val="28"/>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Приемочные испытания.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ходе приемки оборудования СОТИАССО предусматривается следующий перечень испытаний:</w:t>
            </w:r>
          </w:p>
          <w:p>
            <w:pPr>
              <w:pStyle w:val="Normal"/>
              <w:widowControl/>
              <w:numPr>
                <w:ilvl w:val="3"/>
                <w:numId w:val="37"/>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w:t>
            </w:r>
          </w:p>
          <w:p>
            <w:pPr>
              <w:pStyle w:val="Normal"/>
              <w:widowControl w:val="false"/>
              <w:numPr>
                <w:ilvl w:val="2"/>
                <w:numId w:val="29"/>
              </w:numPr>
              <w:tabs>
                <w:tab w:val="clear" w:pos="708"/>
                <w:tab w:val="left" w:pos="270" w:leader="none"/>
              </w:tabs>
              <w:suppressAutoHyphens w:val="true"/>
              <w:spacing w:lineRule="auto" w:line="240" w:before="60" w:after="60"/>
              <w:ind w:hanging="567" w:left="1985"/>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Автономная наладка;</w:t>
            </w:r>
          </w:p>
          <w:p>
            <w:pPr>
              <w:pStyle w:val="Normal"/>
              <w:widowControl w:val="false"/>
              <w:numPr>
                <w:ilvl w:val="2"/>
                <w:numId w:val="29"/>
              </w:numPr>
              <w:tabs>
                <w:tab w:val="clear" w:pos="708"/>
                <w:tab w:val="left" w:pos="270" w:leader="none"/>
              </w:tabs>
              <w:suppressAutoHyphens w:val="true"/>
              <w:spacing w:lineRule="auto" w:line="240" w:before="60" w:after="60"/>
              <w:ind w:hanging="567" w:left="1985"/>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Комплексные испытания</w:t>
            </w:r>
          </w:p>
          <w:p>
            <w:pPr>
              <w:pStyle w:val="Normal"/>
              <w:widowControl/>
              <w:numPr>
                <w:ilvl w:val="3"/>
                <w:numId w:val="37"/>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Опытная эксплуатация.</w:t>
            </w:r>
          </w:p>
          <w:p>
            <w:pPr>
              <w:pStyle w:val="Normal"/>
              <w:widowControl/>
              <w:numPr>
                <w:ilvl w:val="3"/>
                <w:numId w:val="37"/>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Приемочные испытания.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Все испытания, указанные в п. 6.2.1.-6.2.2. выполняются в соответствии с разработанными Поставщиком</w:t>
              <w:br/>
              <w:t>и утвержденными Заказчиком программами и завершаются составлением протоколов испытаний.</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Программы испытаний оборудования ПТК АСУТП должны предусматривать проведение испытаний в нормальных условиях и при типовых нарушениях (ошибки персонала, отказ отдельных устройств, нарушение электропитания) и дополнительно содержать сведения о показателях работоспособности системы, подтверждаемых испытаниями.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Программы испытаний оборудования СОТИАССО должны предусматривать проведение испытаний в нормальных условиях и при типовых нарушениях (ошибки персонала, отказ отдельных устройств, нарушение электропитания) и дополнительно содержать сведения о показателях работоспособности системы, подтверждаемых испытаниями.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передачи всего необходимого объема телемеханической информации в АО «СО ЕЭС»</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выполнения функции «Общий опрос станции»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соответствия баз данных СОТИАССО в части описания параметров ТС, контроль времени передачи изменившихся ТС</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достоверности передаваемой информации ТИ/ТС</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выполнения команд ДУ из ДЦ АО «СО ЕЭС»</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достоверности передаваемой информации</w:t>
            </w:r>
          </w:p>
          <w:p>
            <w:pPr>
              <w:pStyle w:val="ListParagraph"/>
              <w:widowControl/>
              <w:numPr>
                <w:ilvl w:val="0"/>
                <w:numId w:val="38"/>
              </w:numPr>
              <w:suppressAutoHyphens w:val="true"/>
              <w:spacing w:before="60" w:after="60"/>
              <w:contextualSpacing/>
              <w:jc w:val="both"/>
              <w:rPr>
                <w:kern w:val="0"/>
                <w:lang w:bidi="ar-SA"/>
              </w:rPr>
            </w:pPr>
            <w:r>
              <w:rPr>
                <w:kern w:val="0"/>
                <w:lang w:val="en-US" w:bidi="ar-SA"/>
              </w:rPr>
              <w:t>Проверка максимальной задержки изменившейся информации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устойчивости обмена с ЦПСС АО «СО ЕЭС» при переходе на резервное оборудование</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соответствия информации, передаваемой по основному и резервному каналу в протоколе МЭК 60870-5-104</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разницы во времени доставки информации по основному и резервному каналам в протоколе МЭК 60870-5-104</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передачи информации после восстановления каналов связи по протоколу МЭК 60870-5-104</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работоспособности оборудования телефонной связи для оперативных переговоров до АО «СО ЕЭС», включая подсистему регистрации переговоров</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выполнения функции регистрации срабатывания устройств РЗА</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передачи информации в АО «СО ЕЭС» после отключения и восстановления электропитания подсистемы обмена телеинформацией</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передачи в АО «СО ЕЭС» значений с заданной апертурой</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отказоустойчивости технологической ЛВС</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синхронизации времени всех компонентов СОТИАССО</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архивирования и хранения информации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автоматического запуска и восстановления послеаварийного отключения питания</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соответствия используемых форматов ASDU</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выполнения инициализации станции в ДЦ после рестарта ЦППС</w:t>
            </w:r>
          </w:p>
          <w:p>
            <w:pPr>
              <w:pStyle w:val="ListParagraph"/>
              <w:widowControl/>
              <w:numPr>
                <w:ilvl w:val="0"/>
                <w:numId w:val="38"/>
              </w:numPr>
              <w:suppressAutoHyphens w:val="true"/>
              <w:spacing w:before="60" w:after="60"/>
              <w:contextualSpacing/>
              <w:jc w:val="both"/>
              <w:rPr>
                <w:kern w:val="0"/>
                <w:lang w:bidi="ar-SA"/>
              </w:rPr>
            </w:pPr>
            <w:r>
              <w:rPr>
                <w:kern w:val="0"/>
                <w:lang w:val="en-US" w:bidi="ar-SA"/>
              </w:rPr>
              <w:t>Проверка комплексного резервирования передачи ТИ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Проверка работы СОТИАССО при смене статуса оборудования ДЦ</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Выявление некорректной работы программного обеспечения СОТИАССО</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Выявление недочетов в рабочей и эксплуатационной документации</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Мониторинг значений параметров ТИ и ТС на АРМ ОП</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Анализ обмена по каналам в части соблюдения требований протокола МЭК (периодически и по событиям)</w:t>
            </w:r>
          </w:p>
          <w:p>
            <w:pPr>
              <w:pStyle w:val="ListParagraph"/>
              <w:widowControl/>
              <w:numPr>
                <w:ilvl w:val="0"/>
                <w:numId w:val="38"/>
              </w:numPr>
              <w:suppressAutoHyphens w:val="true"/>
              <w:spacing w:before="60" w:after="60"/>
              <w:contextualSpacing/>
              <w:jc w:val="both"/>
              <w:rPr>
                <w:kern w:val="0"/>
                <w:lang w:val="ru-RU" w:bidi="ar-SA"/>
              </w:rPr>
            </w:pPr>
            <w:r>
              <w:rPr>
                <w:kern w:val="0"/>
                <w:lang w:val="ru-RU" w:bidi="ar-SA"/>
              </w:rPr>
              <w:t>Контроль за устранением замечаний, сформированных за период комплексных испытаний и опытной эксплуатации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 опытная эксплуатация, приемочные испытания ПТК АСУТП проводятся непосредственно на объекте. В актах о проведении этих испытаний отдельно фиксируются результаты испытаний.</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 опытная эксплуатация, приемочные испытания по терминальным АРМ и сетевому оборудованию проводятся непосредственно на объекте. В актах о проведении этих испытаний отдельно фиксируются результаты испытаний.</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Наладочные испытания</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Наладочные испытания оборудования ПТК АСУТП в части ДУ проводятся на действующем объекте.</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Наладочные испытания оборудования по терминальным АРМ и сетевому оборудованию проводятся на действующем объекте.</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Целью испытаний является наладка аппаратных и программных средств в рабочих условиях и приведение</w:t>
              <w:br/>
              <w:t>их характеристик в соответствие с реальными свойствами объекта управления.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Наладочные испытания оборудования ПТК АСУТП в части ДУ проводятся в соответствии с утвержденной Заказчиком «Программой наладочных испытаний» и оформлением протокола испытаний.</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Наладочные испытания оборудования по терминальным АРМ и сетевому оборудованию проводятся в соответствии с утвержденной Заказчиком «Программой наладочных испытаний» и оформлением протокола испытаний.</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 результатам наладочных испытаний оформляются:</w:t>
            </w:r>
          </w:p>
          <w:p>
            <w:pPr>
              <w:pStyle w:val="Normal"/>
              <w:widowControl/>
              <w:numPr>
                <w:ilvl w:val="3"/>
                <w:numId w:val="30"/>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Акт об окончании наладочных испытаний.</w:t>
            </w:r>
          </w:p>
          <w:p>
            <w:pPr>
              <w:pStyle w:val="Normal"/>
              <w:widowControl/>
              <w:numPr>
                <w:ilvl w:val="3"/>
                <w:numId w:val="30"/>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Протоколы проведения наладочных испытаний.</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Предварительные испытания</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 проводятся для определения работоспособности ПТК АСУТП в части ДУ, и решения вопроса о возможности приемки системы в опытную эксплуатацию.</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Предварительные испытания проводятся для определения работоспособности по терминальным АРМ и сетевому оборудованию и решения вопроса о возможности приемки системы в опытную эксплуатацию.</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Опытная, промышленная эксплуатация</w:t>
            </w:r>
          </w:p>
        </w:tc>
        <w:tc>
          <w:tcPr>
            <w:tcW w:w="12755" w:type="dxa"/>
            <w:tcBorders/>
          </w:tcPr>
          <w:p>
            <w:pPr>
              <w:pStyle w:val="Normal"/>
              <w:widowControl/>
              <w:numPr>
                <w:ilvl w:val="2"/>
                <w:numId w:val="25"/>
              </w:numPr>
              <w:tabs>
                <w:tab w:val="clear" w:pos="708"/>
                <w:tab w:val="left" w:pos="837" w:leader="none"/>
              </w:tabs>
              <w:suppressAutoHyphens w:val="true"/>
              <w:spacing w:lineRule="auto" w:line="240" w:before="60" w:after="60"/>
              <w:ind w:hanging="851" w:left="837"/>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Опытная эксплуатация проводится Заказчиком для проверки правильности функционирования оборудования ПТК АСУТП в части ДУ на действующем оборудовании.</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Опытная эксплуатация проводится Заказчиком для проверки правильности функционирования оборудования по терминальным АРМ и сетевому оборудованию на действующем оборудовании.</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Продолжительность опытной эксплуатации не менее 1 месяца, но не более 6 месяцев.</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Приемочные испытания</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Приемочные испытания ПТК АСУТП в части ДУ в эксплуатацию проводятся для определения возможности ввода системы в работу и соответствия ее характеристик требованиям технического задания.</w:t>
            </w:r>
          </w:p>
          <w:p>
            <w:pPr>
              <w:pStyle w:val="Normal"/>
              <w:widowControl/>
              <w:numPr>
                <w:ilvl w:val="2"/>
                <w:numId w:val="25"/>
              </w:numPr>
              <w:suppressAutoHyphens w:val="true"/>
              <w:spacing w:lineRule="auto" w:line="240" w:before="60" w:after="6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Приемочные испытания по терминальным АРМ и сетевому оборудованию в эксплуатацию проводятся для определения возможности ввода системы в работу и соответствия ее характеристик требованиям технического задания.</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Приёмка оборудования ПТК АСУТП в эксплуатацию осуществляется Специализированной приёмочной комиссией (СПК) с целью подтверждения готовности ввода в эксплуатацию.</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Устранение замечаний и недостатков</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случае выявления недостатков оборудования ПТК АСУТП, связанных с решениями ТРП, качеством монтажа оборудования, ШМР или ПНР во время выполнения работ и гарантийного срока, составляется Акт по форме ОС-16 (Документ о выявленных дефектах).</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обязанности Поставщика за счет собственных средств входит устранение выявленных недостатков в срок, установленный Актом по форме ОС-16 и с последующим повторным проведением предварительных комплексных испытаний в необходимом объеме.</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iCs/>
                <w:sz w:val="24"/>
                <w:szCs w:val="24"/>
              </w:rPr>
            </w:pPr>
            <w:r>
              <w:rPr>
                <w:rFonts w:eastAsia="Calibri" w:cs="Times New Roman" w:ascii="Times New Roman" w:hAnsi="Times New Roman"/>
                <w:b/>
                <w:iCs/>
                <w:kern w:val="0"/>
                <w:sz w:val="24"/>
                <w:szCs w:val="24"/>
                <w:lang w:val="ru-RU" w:eastAsia="ru-RU" w:bidi="ar-SA"/>
              </w:rPr>
              <w:t>Требования к оформлению документации</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iCs/>
                <w:sz w:val="24"/>
                <w:szCs w:val="24"/>
              </w:rPr>
            </w:pPr>
            <w:r>
              <w:rPr>
                <w:rFonts w:eastAsia="Calibri" w:cs="Times New Roman" w:ascii="Times New Roman" w:hAnsi="Times New Roman"/>
                <w:iCs/>
                <w:kern w:val="0"/>
                <w:sz w:val="24"/>
                <w:szCs w:val="24"/>
                <w:lang w:val="ru-RU" w:eastAsia="ru-RU" w:bidi="ar-SA"/>
              </w:rPr>
              <w:t>Документы, передаваемые Заказчику по результатам выполненных работ</w:t>
            </w:r>
          </w:p>
        </w:tc>
        <w:tc>
          <w:tcPr>
            <w:tcW w:w="12755" w:type="dxa"/>
            <w:tcBorders/>
          </w:tcPr>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Поставщик обязан одновременно с передачей актов приемки выполненных работ передать Заказчику Отчет</w:t>
              <w:br/>
              <w:t>о выполненных работах, включая:</w:t>
            </w:r>
          </w:p>
          <w:p>
            <w:pPr>
              <w:pStyle w:val="Normal"/>
              <w:widowControl/>
              <w:numPr>
                <w:ilvl w:val="3"/>
                <w:numId w:val="31"/>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Исполнительную документацию.</w:t>
            </w:r>
          </w:p>
          <w:p>
            <w:pPr>
              <w:pStyle w:val="Normal"/>
              <w:widowControl/>
              <w:numPr>
                <w:ilvl w:val="3"/>
                <w:numId w:val="31"/>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Протоколы испытаний.</w:t>
            </w:r>
          </w:p>
          <w:p>
            <w:pPr>
              <w:pStyle w:val="Normal"/>
              <w:widowControl/>
              <w:numPr>
                <w:ilvl w:val="3"/>
                <w:numId w:val="31"/>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Отчет о выполненных работах.</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Вся техническая документация, включая чертежи, схемы, а также применяемое ПО выполняется на русском языке.</w:t>
            </w:r>
          </w:p>
          <w:p>
            <w:pPr>
              <w:pStyle w:val="Normal"/>
              <w:widowControl/>
              <w:numPr>
                <w:ilvl w:val="2"/>
                <w:numId w:val="25"/>
              </w:numPr>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Документации должна быть передана Заказчику для утверждения в следующих видах:</w:t>
            </w:r>
          </w:p>
          <w:p>
            <w:pPr>
              <w:pStyle w:val="Normal"/>
              <w:widowControl/>
              <w:numPr>
                <w:ilvl w:val="3"/>
                <w:numId w:val="35"/>
              </w:numPr>
              <w:suppressAutoHyphens w:val="true"/>
              <w:spacing w:lineRule="auto" w:line="240" w:before="60" w:after="60"/>
              <w:ind w:hanging="567" w:left="1418"/>
              <w:jc w:val="both"/>
              <w:rPr>
                <w:rFonts w:eastAsia="Calibri"/>
                <w:kern w:val="0"/>
                <w:lang w:val="ru-RU" w:eastAsia="ru-RU" w:bidi="ar-SA"/>
              </w:rPr>
            </w:pPr>
            <w:r>
              <w:rPr>
                <w:rFonts w:eastAsia="Calibri" w:cs="Times New Roman" w:ascii="Times New Roman" w:hAnsi="Times New Roman"/>
                <w:kern w:val="0"/>
                <w:sz w:val="24"/>
                <w:szCs w:val="24"/>
                <w:lang w:val="ru-RU" w:eastAsia="ru-RU" w:bidi="ar-SA"/>
              </w:rPr>
              <w:t>В бумажном виде – в количестве 3 (трех) экземпляров.</w:t>
            </w:r>
          </w:p>
          <w:p>
            <w:pPr>
              <w:pStyle w:val="Normal"/>
              <w:widowControl/>
              <w:numPr>
                <w:ilvl w:val="3"/>
                <w:numId w:val="35"/>
              </w:numPr>
              <w:suppressAutoHyphens w:val="true"/>
              <w:spacing w:lineRule="auto" w:line="240" w:before="60" w:after="60"/>
              <w:ind w:hanging="567" w:left="1418"/>
              <w:jc w:val="both"/>
              <w:rPr>
                <w:rFonts w:eastAsia="Calibri"/>
                <w:kern w:val="0"/>
                <w:lang w:val="ru-RU" w:eastAsia="ru-RU" w:bidi="ar-SA"/>
              </w:rPr>
            </w:pPr>
            <w:r>
              <w:rPr>
                <w:rFonts w:eastAsia="Calibri" w:cs="Times New Roman" w:ascii="Times New Roman" w:hAnsi="Times New Roman"/>
                <w:kern w:val="0"/>
                <w:sz w:val="24"/>
                <w:szCs w:val="24"/>
                <w:lang w:val="ru-RU" w:eastAsia="ru-RU" w:bidi="ar-SA"/>
              </w:rPr>
              <w:t>В электронном виде – в количестве 2 (Двух) экземпляров на носителях электронной информации (CD)</w:t>
              <w:br/>
              <w:t>в форматах, поддерживаемых российской операционной системой «Alter OS» и офисным пакетом «Alter Office», а именно:</w:t>
            </w:r>
          </w:p>
          <w:tbl>
            <w:tblPr>
              <w:tblStyle w:val="affffd"/>
              <w:tblW w:w="4650" w:type="pct"/>
              <w:jc w:val="left"/>
              <w:tblInd w:w="790" w:type="dxa"/>
              <w:tblLayout w:type="fixed"/>
              <w:tblCellMar>
                <w:top w:w="0" w:type="dxa"/>
                <w:left w:w="108" w:type="dxa"/>
                <w:bottom w:w="0" w:type="dxa"/>
                <w:right w:w="108" w:type="dxa"/>
              </w:tblCellMar>
              <w:tblLook w:val="04a0" w:noHBand="0" w:noVBand="1" w:firstColumn="1" w:lastRow="0" w:lastColumn="0" w:firstRow="1"/>
            </w:tblPr>
            <w:tblGrid>
              <w:gridCol w:w="711"/>
              <w:gridCol w:w="3497"/>
              <w:gridCol w:w="7453"/>
            </w:tblGrid>
            <w:tr>
              <w:trPr/>
              <w:tc>
                <w:tcPr>
                  <w:tcW w:w="711" w:type="dxa"/>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w:t>
                  </w:r>
                </w:p>
              </w:tc>
              <w:tc>
                <w:tcPr>
                  <w:tcW w:w="3497" w:type="dxa"/>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Вид документации</w:t>
                  </w:r>
                </w:p>
              </w:tc>
              <w:tc>
                <w:tcPr>
                  <w:tcW w:w="7453" w:type="dxa"/>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Форматы файлов</w:t>
                  </w:r>
                </w:p>
              </w:tc>
            </w:tr>
            <w:tr>
              <w:trPr/>
              <w:tc>
                <w:tcPr>
                  <w:tcW w:w="711" w:type="dxa"/>
                  <w:tcBorders>
                    <w:left w:val="nil"/>
                    <w:bottom w:val="nil"/>
                    <w:right w:val="nil"/>
                  </w:tcBorders>
                </w:tcPr>
                <w:p>
                  <w:pPr>
                    <w:pStyle w:val="Normal"/>
                    <w:widowControl/>
                    <w:numPr>
                      <w:ilvl w:val="3"/>
                      <w:numId w:val="32"/>
                    </w:numPr>
                    <w:suppressAutoHyphens w:val="true"/>
                    <w:spacing w:lineRule="auto" w:line="240" w:before="60" w:after="60"/>
                    <w:jc w:val="left"/>
                    <w:rPr>
                      <w:rFonts w:ascii="Times New Roman" w:hAnsi="Times New Roman" w:cs="Times New Roman"/>
                      <w:sz w:val="24"/>
                      <w:szCs w:val="24"/>
                    </w:rPr>
                  </w:pPr>
                  <w:r>
                    <w:rPr>
                      <w:rFonts w:cs="Times New Roman" w:ascii="Times New Roman" w:hAnsi="Times New Roman"/>
                      <w:sz w:val="24"/>
                      <w:szCs w:val="24"/>
                    </w:rPr>
                  </w:r>
                </w:p>
              </w:tc>
              <w:tc>
                <w:tcPr>
                  <w:tcW w:w="3497" w:type="dxa"/>
                  <w:tcBorders>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Чертежи</w:t>
                  </w:r>
                </w:p>
              </w:tc>
              <w:tc>
                <w:tcPr>
                  <w:tcW w:w="7453" w:type="dxa"/>
                  <w:tcBorders>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*.dwg, *.pdf</w:t>
                  </w:r>
                </w:p>
              </w:tc>
            </w:tr>
            <w:tr>
              <w:trPr/>
              <w:tc>
                <w:tcPr>
                  <w:tcW w:w="711" w:type="dxa"/>
                  <w:tcBorders>
                    <w:top w:val="nil"/>
                    <w:left w:val="nil"/>
                    <w:bottom w:val="nil"/>
                    <w:right w:val="nil"/>
                  </w:tcBorders>
                </w:tcPr>
                <w:p>
                  <w:pPr>
                    <w:pStyle w:val="Normal"/>
                    <w:widowControl/>
                    <w:numPr>
                      <w:ilvl w:val="3"/>
                      <w:numId w:val="32"/>
                    </w:numPr>
                    <w:suppressAutoHyphens w:val="true"/>
                    <w:spacing w:lineRule="auto" w:line="240" w:before="60" w:after="60"/>
                    <w:jc w:val="left"/>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3497" w:type="dxa"/>
                  <w:tcBorders>
                    <w:top w:val="nil"/>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Текстовые документы</w:t>
                  </w:r>
                </w:p>
              </w:tc>
              <w:tc>
                <w:tcPr>
                  <w:tcW w:w="7453" w:type="dxa"/>
                  <w:tcBorders>
                    <w:top w:val="nil"/>
                    <w:left w:val="nil"/>
                    <w:bottom w:val="nil"/>
                    <w:right w:val="nil"/>
                  </w:tcBorders>
                </w:tcPr>
                <w:p>
                  <w:pPr>
                    <w:pStyle w:val="ListParagraph"/>
                    <w:widowControl/>
                    <w:suppressAutoHyphens w:val="true"/>
                    <w:spacing w:before="60" w:after="60"/>
                    <w:ind w:left="0"/>
                    <w:contextualSpacing w:val="false"/>
                    <w:jc w:val="both"/>
                    <w:rPr>
                      <w:lang w:val="en-US"/>
                    </w:rPr>
                  </w:pPr>
                  <w:r>
                    <w:rPr>
                      <w:rFonts w:eastAsia="Calibri" w:eastAsiaTheme="minorHAnsi"/>
                      <w:kern w:val="0"/>
                      <w:lang w:val="en-US" w:bidi="ar-SA"/>
                    </w:rPr>
                    <w:t>*.doc, *.doc</w:t>
                  </w:r>
                  <w:r>
                    <w:rPr>
                      <w:rFonts w:eastAsia="Calibri" w:eastAsiaTheme="minorHAnsi"/>
                      <w:kern w:val="0"/>
                      <w:lang w:val="ru-RU" w:bidi="ar-SA"/>
                    </w:rPr>
                    <w:t>х</w:t>
                  </w:r>
                  <w:r>
                    <w:rPr>
                      <w:rFonts w:eastAsia="Calibri" w:eastAsiaTheme="minorHAnsi"/>
                      <w:kern w:val="0"/>
                      <w:lang w:val="en-US" w:bidi="ar-SA"/>
                    </w:rPr>
                    <w:t>, *.txt, *.odt, *.xodt, *.pdf</w:t>
                  </w:r>
                </w:p>
              </w:tc>
            </w:tr>
            <w:tr>
              <w:trPr/>
              <w:tc>
                <w:tcPr>
                  <w:tcW w:w="711" w:type="dxa"/>
                  <w:tcBorders>
                    <w:top w:val="nil"/>
                    <w:left w:val="nil"/>
                    <w:bottom w:val="nil"/>
                    <w:right w:val="nil"/>
                  </w:tcBorders>
                </w:tcPr>
                <w:p>
                  <w:pPr>
                    <w:pStyle w:val="Normal"/>
                    <w:widowControl/>
                    <w:numPr>
                      <w:ilvl w:val="3"/>
                      <w:numId w:val="32"/>
                    </w:numPr>
                    <w:suppressAutoHyphens w:val="true"/>
                    <w:spacing w:lineRule="auto" w:line="240" w:before="60" w:after="60"/>
                    <w:jc w:val="left"/>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r>
                </w:p>
              </w:tc>
              <w:tc>
                <w:tcPr>
                  <w:tcW w:w="3497" w:type="dxa"/>
                  <w:tcBorders>
                    <w:top w:val="nil"/>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Презентационные материалы</w:t>
                  </w:r>
                </w:p>
              </w:tc>
              <w:tc>
                <w:tcPr>
                  <w:tcW w:w="7453" w:type="dxa"/>
                  <w:tcBorders>
                    <w:top w:val="nil"/>
                    <w:left w:val="nil"/>
                    <w:bottom w:val="nil"/>
                    <w:right w:val="nil"/>
                  </w:tcBorders>
                </w:tcPr>
                <w:p>
                  <w:pPr>
                    <w:pStyle w:val="ListParagraph"/>
                    <w:widowControl/>
                    <w:suppressAutoHyphens w:val="true"/>
                    <w:spacing w:before="60" w:after="60"/>
                    <w:ind w:left="0"/>
                    <w:contextualSpacing w:val="false"/>
                    <w:jc w:val="both"/>
                    <w:rPr>
                      <w:lang w:val="en-US"/>
                    </w:rPr>
                  </w:pPr>
                  <w:r>
                    <w:rPr>
                      <w:kern w:val="0"/>
                      <w:lang w:val="en-US" w:bidi="ar-SA"/>
                    </w:rPr>
                    <w:t>*.pptx, *.ppsx, *.potm, *.potm, *.pptm</w:t>
                  </w:r>
                </w:p>
              </w:tc>
            </w:tr>
            <w:tr>
              <w:trPr/>
              <w:tc>
                <w:tcPr>
                  <w:tcW w:w="711" w:type="dxa"/>
                  <w:tcBorders>
                    <w:top w:val="nil"/>
                    <w:left w:val="nil"/>
                    <w:bottom w:val="nil"/>
                    <w:right w:val="nil"/>
                  </w:tcBorders>
                </w:tcPr>
                <w:p>
                  <w:pPr>
                    <w:pStyle w:val="Normal"/>
                    <w:widowControl/>
                    <w:numPr>
                      <w:ilvl w:val="3"/>
                      <w:numId w:val="32"/>
                    </w:numPr>
                    <w:suppressAutoHyphens w:val="true"/>
                    <w:spacing w:lineRule="auto" w:line="240" w:before="60" w:after="60"/>
                    <w:jc w:val="left"/>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r>
                </w:p>
              </w:tc>
              <w:tc>
                <w:tcPr>
                  <w:tcW w:w="3497" w:type="dxa"/>
                  <w:tcBorders>
                    <w:top w:val="nil"/>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Исходные данные об оборудования в границах поставки</w:t>
                  </w:r>
                </w:p>
              </w:tc>
              <w:tc>
                <w:tcPr>
                  <w:tcW w:w="7453" w:type="dxa"/>
                  <w:tcBorders>
                    <w:top w:val="nil"/>
                    <w:left w:val="nil"/>
                    <w:bottom w:val="nil"/>
                    <w:right w:val="nil"/>
                  </w:tcBorders>
                </w:tcPr>
                <w:p>
                  <w:pPr>
                    <w:pStyle w:val="ListParagraph"/>
                    <w:widowControl/>
                    <w:suppressAutoHyphens w:val="true"/>
                    <w:spacing w:before="60" w:after="60"/>
                    <w:ind w:left="0"/>
                    <w:contextualSpacing w:val="false"/>
                    <w:jc w:val="both"/>
                    <w:rPr>
                      <w:kern w:val="0"/>
                      <w:lang w:val="ru-RU" w:bidi="ar-SA"/>
                    </w:rPr>
                  </w:pPr>
                  <w:r>
                    <w:rPr>
                      <w:kern w:val="0"/>
                      <w:lang w:val="ru-RU" w:bidi="ar-SA"/>
                    </w:rPr>
                    <w:t>с кодами KKS</w:t>
                  </w:r>
                </w:p>
              </w:tc>
            </w:tr>
          </w:tbl>
          <w:p>
            <w:pPr>
              <w:pStyle w:val="Normal"/>
              <w:widowControl/>
              <w:suppressAutoHyphens w:val="true"/>
              <w:spacing w:lineRule="auto" w:line="240" w:before="60" w:after="60"/>
              <w:jc w:val="left"/>
              <w:rPr>
                <w:rFonts w:ascii="Times New Roman" w:hAnsi="Times New Roman" w:cs="Times New Roman"/>
                <w:sz w:val="24"/>
                <w:szCs w:val="24"/>
              </w:rPr>
            </w:pPr>
            <w:r>
              <w:rPr>
                <w:rFonts w:cs="Times New Roman" w:ascii="Times New Roman" w:hAnsi="Times New Roman"/>
                <w:sz w:val="24"/>
                <w:szCs w:val="24"/>
              </w:rPr>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iCs/>
                <w:sz w:val="24"/>
                <w:szCs w:val="24"/>
              </w:rPr>
            </w:pPr>
            <w:r>
              <w:rPr>
                <w:rFonts w:eastAsia="Calibri" w:cs="Times New Roman" w:ascii="Times New Roman" w:hAnsi="Times New Roman"/>
                <w:b/>
                <w:iCs/>
                <w:kern w:val="0"/>
                <w:sz w:val="24"/>
                <w:szCs w:val="24"/>
                <w:lang w:val="ru-RU" w:eastAsia="ru-RU" w:bidi="ar-SA"/>
              </w:rPr>
              <w:t>Требования к соблюдению положений нормативной и иной обязательной для поставщика /исполнителя документации</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val="false"/>
              <w:tabs>
                <w:tab w:val="clear" w:pos="708"/>
                <w:tab w:val="left" w:pos="426" w:leader="none"/>
              </w:tabs>
              <w:suppressAutoHyphens w:val="true"/>
              <w:spacing w:lineRule="auto" w:line="240" w:before="60" w:after="60"/>
              <w:jc w:val="left"/>
              <w:rPr>
                <w:rFonts w:ascii="Times New Roman" w:hAnsi="Times New Roman" w:cs="Times New Roman"/>
                <w:b/>
                <w:iCs/>
                <w:sz w:val="24"/>
                <w:szCs w:val="24"/>
              </w:rPr>
            </w:pPr>
            <w:r>
              <w:rPr>
                <w:rFonts w:eastAsia="Calibri" w:cs="Times New Roman" w:ascii="Times New Roman" w:hAnsi="Times New Roman"/>
                <w:iCs/>
                <w:kern w:val="0"/>
                <w:sz w:val="24"/>
                <w:szCs w:val="24"/>
                <w:lang w:val="ru-RU" w:eastAsia="ru-RU" w:bidi="ar-SA"/>
              </w:rPr>
              <w:t>Соблюдение при выполнении работ норм и правил нормативно-технических документов</w:t>
            </w:r>
          </w:p>
        </w:tc>
        <w:tc>
          <w:tcPr>
            <w:tcW w:w="12755" w:type="dxa"/>
            <w:tcBorders/>
          </w:tcPr>
          <w:p>
            <w:pPr>
              <w:pStyle w:val="Normal"/>
              <w:widowControl w:val="false"/>
              <w:numPr>
                <w:ilvl w:val="2"/>
                <w:numId w:val="25"/>
              </w:numPr>
              <w:tabs>
                <w:tab w:val="clear" w:pos="708"/>
                <w:tab w:val="left" w:pos="270" w:leader="none"/>
              </w:tabs>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Работы должны выполняться в соответствии с действующей редакцией следующих НТД:</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Федеральный закон от 26.03.2003 № 35-ФЗ «Об электроэнергетике».</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Федеральный закон от 10.01.2002 № 7-ФЗ «Об охране окружающей среды».</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Федеральный закон от 07.07.2003 № 126-ФЗ «О связи».</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Федеральный закон от 26.07.2017 № 187-ФЗ «О безопасности критической информационной инфраструктуры Российской Федерации».</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Федеральный закон от 26.06.2008 № 102-ФЗ «Об обеспечении единства измерений».</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СТО 70238424.27.140.010-2010 Автоматизированные системы управления технологическими процессами (АСУТП) ГЭС и ГАЭС. Условия создания. Нормы и требования.</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ГОСТ 34.201-2020 Межгосударственный стандарт. Информационные технологии. Комплекс стандартов</w:t>
              <w:br/>
              <w:t>на автоматизированные системы. Виды, комплектность и обозначение документов при создании автоматизированных систем.</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ГОСТ Р 21.101-2026 Национальный стандарт российской федерации. Система проектной документации</w:t>
              <w:br/>
              <w:t>для строительства. Основные требования к проектной и рабочей документации.</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 xml:space="preserve">ГОСТ Р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 </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Правилами технической эксплуатации электрических станцией и сетей Российской Федерации, утвержденными приказом Минэнерго от 04.10.2022 № 1070.</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Правилами по охране труда при погрузочно-разгрузочных работах и размещении грузов, утвержденными приказом Минтруда России от 28.10.2020 № 753н.</w:t>
            </w:r>
          </w:p>
          <w:p>
            <w:pPr>
              <w:pStyle w:val="Normal"/>
              <w:widowControl/>
              <w:numPr>
                <w:ilvl w:val="3"/>
                <w:numId w:val="33"/>
              </w:numPr>
              <w:suppressAutoHyphens w:val="true"/>
              <w:spacing w:lineRule="auto" w:line="240" w:before="60" w:after="60"/>
              <w:ind w:hanging="567" w:left="1418"/>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w:t>
            </w:r>
          </w:p>
          <w:p>
            <w:pPr>
              <w:pStyle w:val="Normal"/>
              <w:widowControl w:val="false"/>
              <w:numPr>
                <w:ilvl w:val="2"/>
                <w:numId w:val="25"/>
              </w:numPr>
              <w:tabs>
                <w:tab w:val="clear" w:pos="708"/>
                <w:tab w:val="left" w:pos="270" w:leader="none"/>
              </w:tabs>
              <w:suppressAutoHyphens w:val="true"/>
              <w:spacing w:lineRule="auto" w:line="240" w:before="60" w:after="60"/>
              <w:ind w:hanging="851" w:left="85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В случае если какой-либо из указанных в Технических требованиях ГОСТ или нормативный документ</w:t>
              <w:br/>
              <w:t>был заменен/отменен в процессе проведения закупки и/или в период исполнения договора в связи с выпуском новой редакции стандарта, то Участнику необходимо применять ГОСТ или нормативный документ, принятый</w:t>
              <w:br/>
              <w:t>в его развитие.</w:t>
            </w:r>
          </w:p>
        </w:tc>
      </w:tr>
      <w:tr>
        <w:trPr/>
        <w:tc>
          <w:tcPr>
            <w:tcW w:w="819" w:type="dxa"/>
            <w:tcBorders/>
          </w:tcPr>
          <w:p>
            <w:pPr>
              <w:pStyle w:val="Normal"/>
              <w:widowControl/>
              <w:numPr>
                <w:ilvl w:val="0"/>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14885" w:type="dxa"/>
            <w:gridSpan w:val="2"/>
            <w:tcBorders/>
          </w:tcPr>
          <w:p>
            <w:pPr>
              <w:pStyle w:val="Normal"/>
              <w:widowControl/>
              <w:suppressAutoHyphens w:val="true"/>
              <w:spacing w:lineRule="auto" w:line="240" w:before="60" w:after="60"/>
              <w:jc w:val="left"/>
              <w:rPr>
                <w:rFonts w:ascii="Times New Roman" w:hAnsi="Times New Roman" w:cs="Times New Roman"/>
                <w:b/>
                <w:iCs/>
                <w:sz w:val="24"/>
                <w:szCs w:val="24"/>
              </w:rPr>
            </w:pPr>
            <w:r>
              <w:rPr>
                <w:rFonts w:eastAsia="Calibri" w:cs="Times New Roman" w:ascii="Times New Roman" w:hAnsi="Times New Roman"/>
                <w:b/>
                <w:iCs/>
                <w:kern w:val="0"/>
                <w:sz w:val="24"/>
                <w:szCs w:val="24"/>
                <w:lang w:val="ru-RU" w:eastAsia="ru-RU" w:bidi="ar-SA"/>
              </w:rPr>
              <w:t>Требования к ответственности, гарантиям и послегарантийному обслуживанию</w:t>
            </w:r>
          </w:p>
        </w:tc>
      </w:tr>
      <w:tr>
        <w:trPr/>
        <w:tc>
          <w:tcPr>
            <w:tcW w:w="819" w:type="dxa"/>
            <w:tcBorders/>
          </w:tcPr>
          <w:p>
            <w:pPr>
              <w:pStyle w:val="Normal"/>
              <w:widowControl/>
              <w:numPr>
                <w:ilvl w:val="1"/>
                <w:numId w:val="25"/>
              </w:numPr>
              <w:suppressAutoHyphens w:val="true"/>
              <w:spacing w:lineRule="auto" w:line="240" w:before="60" w:after="60"/>
              <w:jc w:val="center"/>
              <w:rPr>
                <w:rFonts w:ascii="Times New Roman" w:hAnsi="Times New Roman" w:cs="Times New Roman"/>
                <w:sz w:val="24"/>
                <w:szCs w:val="24"/>
              </w:rPr>
            </w:pPr>
            <w:r>
              <w:rPr>
                <w:rFonts w:cs="Times New Roman" w:ascii="Times New Roman" w:hAnsi="Times New Roman"/>
                <w:sz w:val="24"/>
                <w:szCs w:val="24"/>
              </w:rPr>
            </w:r>
          </w:p>
        </w:tc>
        <w:tc>
          <w:tcPr>
            <w:tcW w:w="2130" w:type="dxa"/>
            <w:tcBorders/>
          </w:tcPr>
          <w:p>
            <w:pPr>
              <w:pStyle w:val="Normal"/>
              <w:widowControl/>
              <w:suppressAutoHyphens w:val="true"/>
              <w:spacing w:lineRule="auto" w:line="240" w:before="60" w:after="6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ru-RU" w:bidi="ar-SA"/>
              </w:rPr>
              <w:t>Гарантийный срок на результат работ</w:t>
            </w:r>
          </w:p>
        </w:tc>
        <w:tc>
          <w:tcPr>
            <w:tcW w:w="12755" w:type="dxa"/>
            <w:tcBorders/>
          </w:tcPr>
          <w:p>
            <w:pPr>
              <w:pStyle w:val="Normal"/>
              <w:widowControl/>
              <w:suppressAutoHyphens w:val="true"/>
              <w:spacing w:lineRule="auto" w:line="240" w:before="60" w:after="60"/>
              <w:jc w:val="left"/>
              <w:rPr>
                <w:rFonts w:ascii="Times New Roman" w:hAnsi="Times New Roman" w:cs="Times New Roman"/>
                <w:iCs/>
                <w:sz w:val="24"/>
                <w:szCs w:val="24"/>
                <w:highlight w:val="red"/>
              </w:rPr>
            </w:pPr>
            <w:r>
              <w:rPr>
                <w:rFonts w:eastAsia="Calibri" w:cs="Times New Roman" w:ascii="Times New Roman" w:hAnsi="Times New Roman"/>
                <w:iCs/>
                <w:kern w:val="0"/>
                <w:sz w:val="24"/>
                <w:szCs w:val="24"/>
                <w:lang w:val="ru-RU" w:eastAsia="ru-RU" w:bidi="ar-SA"/>
              </w:rPr>
              <w:t>Гарантийный срок на результат работ и оборудование должен составлять 36 месяцев с даты ввода оборудования в эксплуатацию.</w:t>
            </w:r>
          </w:p>
        </w:tc>
      </w:tr>
    </w:tbl>
    <w:p>
      <w:pPr>
        <w:sectPr>
          <w:footerReference w:type="default" r:id="rId3"/>
          <w:footerReference w:type="first" r:id="rId4"/>
          <w:footnotePr>
            <w:numFmt w:val="decimal"/>
          </w:footnotePr>
          <w:type w:val="nextPage"/>
          <w:pgSz w:orient="landscape" w:w="16838" w:h="11906"/>
          <w:pgMar w:left="567" w:right="567" w:gutter="0" w:header="0" w:top="1418" w:footer="567" w:bottom="709"/>
          <w:pgNumType w:fmt="decimal"/>
          <w:formProt w:val="false"/>
          <w:textDirection w:val="lrTb"/>
          <w:docGrid w:type="default" w:linePitch="381" w:charSpace="28672"/>
        </w:sectPr>
      </w:pPr>
    </w:p>
    <w:p>
      <w:pPr>
        <w:pStyle w:val="Normal"/>
        <w:keepNext w:val="true"/>
        <w:numPr>
          <w:ilvl w:val="0"/>
          <w:numId w:val="3"/>
        </w:numPr>
        <w:spacing w:lineRule="auto" w:line="240" w:before="120" w:after="60"/>
        <w:ind w:hanging="0" w:left="0"/>
        <w:jc w:val="center"/>
        <w:outlineLvl w:val="0"/>
        <w:rPr>
          <w:rFonts w:ascii="Times New Roman" w:hAnsi="Times New Roman" w:eastAsia="Calibri" w:cs="Times New Roman"/>
          <w:b/>
          <w:sz w:val="28"/>
          <w:szCs w:val="28"/>
          <w:lang w:eastAsia="x-none"/>
        </w:rPr>
      </w:pPr>
      <w:bookmarkStart w:id="35" w:name="_Toc209132096"/>
      <w:bookmarkStart w:id="36" w:name="_Toc53393312"/>
      <w:r>
        <w:rPr>
          <w:rFonts w:eastAsia="Calibri" w:cs="Times New Roman" w:ascii="Times New Roman" w:hAnsi="Times New Roman"/>
          <w:b/>
          <w:sz w:val="28"/>
          <w:szCs w:val="28"/>
          <w:lang w:eastAsia="x-none"/>
        </w:rPr>
        <w:t>Требования к документации по ценообразованию</w:t>
      </w:r>
      <w:bookmarkEnd w:id="36"/>
      <w:r>
        <w:rPr>
          <w:rFonts w:eastAsia="Calibri" w:cs="Times New Roman" w:ascii="Times New Roman" w:hAnsi="Times New Roman"/>
          <w:b/>
          <w:sz w:val="28"/>
          <w:szCs w:val="28"/>
          <w:lang w:eastAsia="x-none"/>
        </w:rPr>
        <w:t xml:space="preserve"> на этапе закупки</w:t>
      </w:r>
      <w:bookmarkEnd w:id="35"/>
    </w:p>
    <w:p>
      <w:pPr>
        <w:pStyle w:val="Normal"/>
        <w:numPr>
          <w:ilvl w:val="1"/>
          <w:numId w:val="3"/>
        </w:numPr>
        <w:spacing w:lineRule="auto" w:line="240" w:before="60" w:after="60"/>
        <w:ind w:hanging="709" w:left="709"/>
        <w:jc w:val="both"/>
        <w:rPr>
          <w:bCs/>
          <w:iCs/>
          <w:lang w:eastAsia="x-none"/>
        </w:rPr>
      </w:pPr>
      <w:r>
        <w:rPr>
          <w:rFonts w:eastAsia="Calibri" w:cs="Times New Roman" w:ascii="Times New Roman" w:hAnsi="Times New Roman"/>
          <w:bCs/>
          <w:iCs/>
          <w:sz w:val="24"/>
          <w:szCs w:val="24"/>
          <w:lang w:eastAsia="x-none"/>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keepNext w:val="true"/>
        <w:numPr>
          <w:ilvl w:val="0"/>
          <w:numId w:val="3"/>
        </w:numPr>
        <w:spacing w:lineRule="auto" w:line="240" w:before="120" w:after="60"/>
        <w:ind w:hanging="0" w:left="0"/>
        <w:jc w:val="center"/>
        <w:outlineLvl w:val="0"/>
        <w:rPr>
          <w:rFonts w:ascii="Times New Roman" w:hAnsi="Times New Roman" w:eastAsia="Calibri" w:cs="Times New Roman"/>
          <w:b/>
          <w:sz w:val="28"/>
          <w:szCs w:val="28"/>
          <w:lang w:eastAsia="x-none"/>
        </w:rPr>
      </w:pPr>
      <w:bookmarkStart w:id="37" w:name="_Toc54646412"/>
      <w:bookmarkStart w:id="38" w:name="_Toc193878093"/>
      <w:r>
        <w:rPr>
          <w:rFonts w:eastAsia="Calibri" w:cs="Times New Roman" w:ascii="Times New Roman" w:hAnsi="Times New Roman"/>
          <w:b/>
          <w:sz w:val="28"/>
          <w:szCs w:val="28"/>
          <w:lang w:eastAsia="x-none"/>
        </w:rPr>
        <w:t>Требования к документации по ценообразованию на этапе заключения (исполнения) договора</w:t>
      </w:r>
      <w:bookmarkEnd w:id="37"/>
      <w:bookmarkEnd w:id="38"/>
    </w:p>
    <w:p>
      <w:pPr>
        <w:pStyle w:val="Normal"/>
        <w:numPr>
          <w:ilvl w:val="1"/>
          <w:numId w:val="3"/>
        </w:numPr>
        <w:spacing w:lineRule="auto" w:line="240" w:before="60" w:after="60"/>
        <w:ind w:hanging="709" w:left="709"/>
        <w:jc w:val="both"/>
        <w:rPr>
          <w:rFonts w:ascii="Times New Roman" w:hAnsi="Times New Roman" w:eastAsia="Calibri" w:cs="Times New Roman"/>
          <w:bCs/>
          <w:iCs/>
          <w:sz w:val="24"/>
          <w:szCs w:val="24"/>
          <w:lang w:eastAsia="x-none"/>
        </w:rPr>
      </w:pPr>
      <w:r>
        <w:rPr>
          <w:rFonts w:eastAsia="Calibri" w:cs="Times New Roman" w:ascii="Times New Roman" w:hAnsi="Times New Roman"/>
          <w:bCs/>
          <w:iCs/>
          <w:sz w:val="24"/>
          <w:szCs w:val="24"/>
          <w:lang w:eastAsia="x-none"/>
        </w:rPr>
        <w:t>По результатам настоящей закупки заключается договор с предельной ценой.</w:t>
      </w:r>
    </w:p>
    <w:p>
      <w:pPr>
        <w:pStyle w:val="Normal"/>
        <w:numPr>
          <w:ilvl w:val="1"/>
          <w:numId w:val="3"/>
        </w:numPr>
        <w:spacing w:lineRule="auto" w:line="240" w:before="60" w:after="60"/>
        <w:ind w:hanging="709" w:left="709"/>
        <w:jc w:val="both"/>
        <w:rPr>
          <w:rFonts w:ascii="Times New Roman" w:hAnsi="Times New Roman" w:eastAsia="Calibri" w:cs="Times New Roman"/>
          <w:bCs/>
          <w:iCs/>
          <w:sz w:val="24"/>
          <w:szCs w:val="24"/>
          <w:lang w:eastAsia="x-none"/>
        </w:rPr>
      </w:pPr>
      <w:r>
        <w:rPr>
          <w:rFonts w:eastAsia="Calibri" w:cs="Times New Roman" w:ascii="Times New Roman" w:hAnsi="Times New Roman"/>
          <w:bCs/>
          <w:iCs/>
          <w:sz w:val="24"/>
          <w:szCs w:val="24"/>
          <w:lang w:eastAsia="x-none"/>
        </w:rPr>
        <w:t>В рамках исполнения договора разработка сметной документации осуществляется в соответствии с Требованиями к оформлению и составлению сметной документации (Приложения №№ 16, 17 к Техническим требованиям).</w:t>
      </w:r>
    </w:p>
    <w:p>
      <w:pPr>
        <w:pStyle w:val="Normal"/>
        <w:numPr>
          <w:ilvl w:val="1"/>
          <w:numId w:val="3"/>
        </w:numPr>
        <w:spacing w:lineRule="auto" w:line="240" w:before="60" w:after="60"/>
        <w:ind w:hanging="709" w:left="709"/>
        <w:jc w:val="both"/>
        <w:rPr>
          <w:bCs/>
          <w:iCs/>
          <w:lang w:eastAsia="x-none"/>
        </w:rPr>
      </w:pPr>
      <w:r>
        <w:rPr>
          <w:rFonts w:eastAsia="Calibri" w:cs="Times New Roman" w:ascii="Times New Roman" w:hAnsi="Times New Roman"/>
          <w:bCs/>
          <w:iCs/>
          <w:sz w:val="24"/>
          <w:szCs w:val="24"/>
          <w:lang w:eastAsia="x-none"/>
        </w:rPr>
        <w:t>При поставке оборудования (материалов) комплектом в Спецификации необходимо разбить его состав на позиции с указанием полного наименования (тип, марка, артикул) каждой составляющей и указать стоимость за каждую номенклатурную единицу.</w:t>
      </w:r>
    </w:p>
    <w:p>
      <w:pPr>
        <w:pStyle w:val="Normal"/>
        <w:numPr>
          <w:ilvl w:val="1"/>
          <w:numId w:val="3"/>
        </w:numPr>
        <w:spacing w:lineRule="auto" w:line="240" w:before="60" w:after="60"/>
        <w:ind w:hanging="709" w:left="709"/>
        <w:jc w:val="both"/>
        <w:rPr>
          <w:rFonts w:ascii="Times New Roman" w:hAnsi="Times New Roman" w:eastAsia="Calibri" w:cs="Times New Roman"/>
          <w:bCs/>
          <w:iCs/>
          <w:sz w:val="24"/>
          <w:szCs w:val="24"/>
          <w:lang w:eastAsia="x-none"/>
        </w:rPr>
      </w:pPr>
      <w:r>
        <w:rPr>
          <w:rFonts w:eastAsia="Calibri" w:cs="Times New Roman" w:ascii="Times New Roman" w:hAnsi="Times New Roman"/>
          <w:bCs/>
          <w:iCs/>
          <w:sz w:val="24"/>
          <w:szCs w:val="24"/>
          <w:lang w:eastAsia="x-none"/>
        </w:rPr>
        <w:t>В случае если стоимость по смете, разработанной Поставщиком, будет превышать стоимость, указанную в Коммерческом предложении, в ходе исполнения договора Поставщику необходимо применить соответствующий дополнительный понижающий коэффициент и откорректировать стоимость в сторону ее уменьшения.</w:t>
      </w:r>
    </w:p>
    <w:p>
      <w:pPr>
        <w:pStyle w:val="Normal"/>
        <w:numPr>
          <w:ilvl w:val="1"/>
          <w:numId w:val="3"/>
        </w:numPr>
        <w:spacing w:lineRule="auto" w:line="240" w:before="60" w:after="60"/>
        <w:ind w:hanging="709" w:left="709"/>
        <w:jc w:val="both"/>
        <w:rPr>
          <w:rFonts w:ascii="Times New Roman" w:hAnsi="Times New Roman" w:eastAsia="Calibri" w:cs="Times New Roman"/>
          <w:bCs/>
          <w:iCs/>
          <w:sz w:val="24"/>
          <w:szCs w:val="24"/>
          <w:lang w:eastAsia="x-none"/>
        </w:rPr>
      </w:pPr>
      <w:r>
        <w:rPr>
          <w:rFonts w:eastAsia="Calibri" w:cs="Times New Roman" w:ascii="Times New Roman" w:hAnsi="Times New Roman"/>
          <w:bCs/>
          <w:iCs/>
          <w:sz w:val="24"/>
          <w:szCs w:val="24"/>
          <w:lang w:eastAsia="x-none"/>
        </w:rPr>
        <w:t>В случае если стоимость по смете, составленной Поставщиком, будет ниже стоимости, указанной в Коммерческом предложении, взаиморасчеты будут осуществляться по данной смете без увеличения до стоимости, указанной в коммерческом предложении.</w:t>
      </w:r>
    </w:p>
    <w:p>
      <w:pPr>
        <w:pStyle w:val="Normal"/>
        <w:numPr>
          <w:ilvl w:val="1"/>
          <w:numId w:val="3"/>
        </w:numPr>
        <w:spacing w:lineRule="auto" w:line="240" w:before="60" w:after="60"/>
        <w:ind w:hanging="709" w:left="709"/>
        <w:jc w:val="both"/>
        <w:rPr>
          <w:bCs/>
          <w:iCs/>
          <w:lang w:eastAsia="x-none"/>
        </w:rPr>
      </w:pPr>
      <w:r>
        <w:rPr>
          <w:rFonts w:eastAsia="Calibri" w:cs="Times New Roman" w:ascii="Times New Roman" w:hAnsi="Times New Roman"/>
          <w:bCs/>
          <w:iCs/>
          <w:sz w:val="24"/>
          <w:szCs w:val="24"/>
          <w:lang w:eastAsia="x-none"/>
        </w:rPr>
        <w:t>Единичные расценки (цена за единицу продукции по каждой позиции товара) должны включать в себя расходы на транспортировку товара до места поставки, погрузку, разгрузку, подлежащие уплате налоги, сборы и пошлины, и прочие затраты, и расходы Поставщика, связанные с поставкой товара, предусмотренные договором.</w:t>
      </w:r>
    </w:p>
    <w:p>
      <w:pPr>
        <w:pStyle w:val="Normal"/>
        <w:spacing w:lineRule="auto" w:line="240" w:before="0" w:after="0"/>
        <w:rPr>
          <w:rFonts w:ascii="Times New Roman" w:hAnsi="Times New Roman" w:eastAsia="Calibri" w:cs="Times New Roman"/>
          <w:b/>
          <w:sz w:val="28"/>
          <w:szCs w:val="28"/>
          <w:lang w:eastAsia="x-none"/>
        </w:rPr>
      </w:pPr>
      <w:r>
        <w:rPr>
          <w:rFonts w:eastAsia="Calibri" w:cs="Times New Roman" w:ascii="Times New Roman" w:hAnsi="Times New Roman"/>
          <w:b/>
          <w:sz w:val="28"/>
          <w:szCs w:val="28"/>
          <w:lang w:eastAsia="x-none"/>
        </w:rPr>
      </w:r>
      <w:r>
        <w:br w:type="page"/>
      </w:r>
    </w:p>
    <w:p>
      <w:pPr>
        <w:pStyle w:val="Normal"/>
        <w:keepNext w:val="true"/>
        <w:numPr>
          <w:ilvl w:val="0"/>
          <w:numId w:val="3"/>
        </w:numPr>
        <w:spacing w:lineRule="auto" w:line="240" w:before="120" w:after="60"/>
        <w:ind w:hanging="0" w:left="0"/>
        <w:jc w:val="center"/>
        <w:outlineLvl w:val="0"/>
        <w:rPr>
          <w:rFonts w:ascii="Times New Roman" w:hAnsi="Times New Roman" w:eastAsia="Calibri" w:cs="Times New Roman"/>
          <w:b/>
          <w:sz w:val="28"/>
          <w:szCs w:val="28"/>
          <w:lang w:eastAsia="x-none"/>
        </w:rPr>
      </w:pPr>
      <w:bookmarkStart w:id="39" w:name="_Toc193878094"/>
      <w:bookmarkStart w:id="40" w:name="_Toc130201883"/>
      <w:bookmarkStart w:id="41" w:name="_Toc51339699"/>
      <w:bookmarkStart w:id="42" w:name="_Toc46743519"/>
      <w:r>
        <w:rPr>
          <w:rFonts w:eastAsia="Calibri" w:cs="Times New Roman" w:ascii="Times New Roman" w:hAnsi="Times New Roman"/>
          <w:b/>
          <w:sz w:val="28"/>
          <w:szCs w:val="28"/>
          <w:lang w:eastAsia="x-none"/>
        </w:rPr>
        <w:t>Приложения</w:t>
      </w:r>
      <w:bookmarkEnd w:id="39"/>
      <w:bookmarkEnd w:id="40"/>
      <w:bookmarkEnd w:id="41"/>
      <w:bookmarkEnd w:id="42"/>
    </w:p>
    <w:p>
      <w:pPr>
        <w:pStyle w:val="Normal"/>
        <w:jc w:val="center"/>
        <w:rPr>
          <w:rFonts w:ascii="Times New Roman" w:hAnsi="Times New Roman" w:cs="Times New Roman"/>
          <w:b/>
          <w:color w:val="2E74B5" w:themeColor="accent1" w:themeShade="bf"/>
          <w:sz w:val="24"/>
          <w:szCs w:val="24"/>
        </w:rPr>
      </w:pPr>
      <w:r>
        <w:rPr>
          <w:rFonts w:cs="Times New Roman" w:ascii="Times New Roman" w:hAnsi="Times New Roman"/>
          <w:b/>
          <w:color w:val="2E74B5" w:themeColor="accent1" w:themeShade="bf"/>
          <w:sz w:val="24"/>
          <w:szCs w:val="24"/>
        </w:rPr>
        <w:t>(Каждое приложение доступно к открытию путем двойного клика по значку, содержащему ссылку)</w:t>
      </w:r>
    </w:p>
    <w:tbl>
      <w:tblPr>
        <w:tblStyle w:val="43"/>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78"/>
        <w:gridCol w:w="1792"/>
        <w:gridCol w:w="7551"/>
      </w:tblGrid>
      <w:tr>
        <w:trPr/>
        <w:tc>
          <w:tcPr>
            <w:tcW w:w="578" w:type="dxa"/>
            <w:tcBorders/>
          </w:tcPr>
          <w:p>
            <w:pPr>
              <w:pStyle w:val="Normal"/>
              <w:widowControl/>
              <w:suppressAutoHyphens w:val="false"/>
              <w:spacing w:lineRule="auto" w:line="240" w:before="60" w:after="60"/>
              <w:jc w:val="center"/>
              <w:rPr>
                <w:rFonts w:eastAsia="Calibri"/>
                <w:b/>
                <w:sz w:val="18"/>
                <w:szCs w:val="18"/>
              </w:rPr>
            </w:pPr>
            <w:r>
              <w:rPr>
                <w:rFonts w:eastAsia="Calibri" w:cs="Times New Roman" w:ascii="Times New Roman" w:hAnsi="Times New Roman"/>
                <w:b/>
                <w:kern w:val="0"/>
                <w:sz w:val="18"/>
                <w:szCs w:val="18"/>
                <w:lang w:val="ru-RU" w:eastAsia="ru-RU" w:bidi="ar-SA"/>
              </w:rPr>
              <w:t>№№</w:t>
            </w:r>
          </w:p>
        </w:tc>
        <w:tc>
          <w:tcPr>
            <w:tcW w:w="1792" w:type="dxa"/>
            <w:tcBorders/>
          </w:tcPr>
          <w:p>
            <w:pPr>
              <w:pStyle w:val="Normal"/>
              <w:keepNext w:val="true"/>
              <w:widowControl/>
              <w:suppressAutoHyphens w:val="false"/>
              <w:spacing w:lineRule="auto" w:line="240" w:before="60" w:after="60"/>
              <w:jc w:val="center"/>
              <w:rPr>
                <w:b/>
                <w:sz w:val="18"/>
                <w:szCs w:val="18"/>
              </w:rPr>
            </w:pPr>
            <w:r>
              <w:rPr>
                <w:rFonts w:eastAsia="Times New Roman" w:cs="Times New Roman" w:ascii="Times New Roman" w:hAnsi="Times New Roman"/>
                <w:b/>
                <w:kern w:val="0"/>
                <w:sz w:val="18"/>
                <w:szCs w:val="18"/>
                <w:lang w:val="ru-RU" w:eastAsia="ru-RU" w:bidi="ar-SA"/>
              </w:rPr>
              <w:t>Ссылки на документ</w:t>
            </w:r>
          </w:p>
        </w:tc>
        <w:tc>
          <w:tcPr>
            <w:tcW w:w="7551" w:type="dxa"/>
            <w:tcBorders/>
          </w:tcPr>
          <w:p>
            <w:pPr>
              <w:pStyle w:val="Normal"/>
              <w:keepNext w:val="true"/>
              <w:widowControl/>
              <w:suppressAutoHyphens w:val="false"/>
              <w:spacing w:lineRule="auto" w:line="240" w:before="60" w:after="60"/>
              <w:jc w:val="center"/>
              <w:rPr>
                <w:rFonts w:eastAsia="Calibri"/>
                <w:b/>
                <w:bCs/>
                <w:sz w:val="18"/>
                <w:szCs w:val="18"/>
              </w:rPr>
            </w:pPr>
            <w:r>
              <w:rPr>
                <w:rFonts w:eastAsia="Calibri" w:cs="Times New Roman" w:ascii="Times New Roman" w:hAnsi="Times New Roman"/>
                <w:b/>
                <w:bCs/>
                <w:kern w:val="0"/>
                <w:sz w:val="18"/>
                <w:szCs w:val="18"/>
                <w:lang w:val="ru-RU" w:eastAsia="ru-RU" w:bidi="ar-SA"/>
              </w:rPr>
              <w:t>Наименование документа</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bookmarkStart w:id="43" w:name="_MON_1851062113"/>
            <w:bookmarkStart w:id="44" w:name="_MON_1851062113"/>
            <w:bookmarkEnd w:id="44"/>
          </w:p>
        </w:tc>
        <w:tc>
          <w:tcPr>
            <w:tcW w:w="1792" w:type="dxa"/>
            <w:tcBorders/>
          </w:tcPr>
          <w:p>
            <w:pPr>
              <w:pStyle w:val="Normal"/>
              <w:keepNext w:val="true"/>
              <w:widowControl/>
              <w:suppressAutoHyphens w:val="false"/>
              <w:spacing w:lineRule="auto" w:line="240" w:before="120" w:after="120"/>
              <w:jc w:val="both"/>
              <w:rPr>
                <w:sz w:val="18"/>
                <w:szCs w:val="18"/>
              </w:rPr>
            </w:pPr>
            <w:bookmarkStart w:id="45" w:name="_MON_1851062113_Копия_1"/>
            <w:bookmarkEnd w:id="45"/>
            <w:r>
              <w:rPr/>
              <w:object>
                <v:shapetype id="_x0000_tole_rId5" coordsize="21600,21600" o:spt="ole_rId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type="_x0000_tole_rId5" style="width:76.85pt;height:49.45pt;mso-wrap-distance-right:0pt;mso-wrap-distance-bottom:6pt" filled="f" o:ole="">
                  <v:imagedata r:id="rId6" o:title=""/>
                </v:shape>
                <o:OLEObject Type="Embed" ProgID="Word.Document.12" ShapeID="ole_rId5" DrawAspect="Icon" ObjectID="_1455220302" r:id="rId5"/>
              </w:object>
            </w:r>
          </w:p>
        </w:tc>
        <w:tc>
          <w:tcPr>
            <w:tcW w:w="7551" w:type="dxa"/>
            <w:tcBorders/>
          </w:tcPr>
          <w:p>
            <w:pPr>
              <w:pStyle w:val="Normal"/>
              <w:keepNext w:val="true"/>
              <w:widowControl/>
              <w:suppressAutoHyphens w:val="false"/>
              <w:spacing w:lineRule="auto" w:line="240" w:before="120" w:after="120"/>
              <w:jc w:val="both"/>
              <w:rPr>
                <w:rFonts w:eastAsia="Calibri"/>
                <w:b/>
                <w:caps/>
                <w:sz w:val="18"/>
                <w:szCs w:val="18"/>
              </w:rPr>
            </w:pPr>
            <w:r>
              <w:rPr>
                <w:rFonts w:eastAsia="Calibri" w:cs="Times New Roman" w:ascii="Times New Roman" w:hAnsi="Times New Roman"/>
                <w:b/>
                <w:bCs/>
                <w:caps/>
                <w:kern w:val="0"/>
                <w:sz w:val="18"/>
                <w:szCs w:val="18"/>
                <w:lang w:val="ru-RU" w:eastAsia="ru-RU" w:bidi="ar-SA"/>
              </w:rPr>
              <w:t>ПРИЛОЖЕНИЕ № 1. Логика организации блокировок КА</w:t>
              <w:br/>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bookmarkStart w:id="46" w:name="_MON_1834725628"/>
            <w:bookmarkStart w:id="47" w:name="_MON_1834725628_Копия_1"/>
            <w:bookmarkStart w:id="48" w:name="_MON_1851061990"/>
            <w:bookmarkStart w:id="49" w:name="_MON_1834725628"/>
            <w:bookmarkStart w:id="50" w:name="_MON_1834725628_Копия_1"/>
            <w:bookmarkStart w:id="51" w:name="_MON_1851061990"/>
            <w:bookmarkEnd w:id="49"/>
            <w:bookmarkEnd w:id="50"/>
            <w:bookmarkEnd w:id="51"/>
          </w:p>
        </w:tc>
        <w:tc>
          <w:tcPr>
            <w:tcW w:w="1792" w:type="dxa"/>
            <w:tcBorders/>
          </w:tcPr>
          <w:p>
            <w:pPr>
              <w:pStyle w:val="Normal"/>
              <w:keepNext w:val="true"/>
              <w:widowControl/>
              <w:suppressAutoHyphens w:val="false"/>
              <w:spacing w:lineRule="auto" w:line="240" w:before="120" w:after="120"/>
              <w:jc w:val="both"/>
              <w:rPr>
                <w:rFonts w:ascii="Times New Roman" w:hAnsi="Times New Roman" w:eastAsia="Calibri" w:cs="Times New Roman"/>
                <w:b/>
                <w:bCs/>
                <w:caps/>
                <w:sz w:val="18"/>
                <w:szCs w:val="18"/>
                <w:lang w:eastAsia="ru-RU"/>
              </w:rPr>
            </w:pPr>
            <w:bookmarkStart w:id="52" w:name="_MON_1834725628_Копия_1_Копия_1"/>
            <w:bookmarkStart w:id="53" w:name="_MON_1851061990_Копия_1"/>
            <w:bookmarkEnd w:id="52"/>
            <w:bookmarkEnd w:id="53"/>
            <w:r>
              <w:rPr/>
              <w:object>
                <v:shapetype id="_x0000_tole_rId7" coordsize="21600,21600" o:spt="ole_rId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 type="_x0000_tole_rId7" style="width:76.85pt;height:49.45pt;mso-wrap-distance-right:0pt;mso-wrap-distance-bottom:6pt" filled="f" o:ole="">
                  <v:imagedata r:id="rId8" o:title=""/>
                </v:shape>
                <o:OLEObject Type="Embed" ProgID="Word.Document.12" ShapeID="ole_rId7" DrawAspect="Icon" ObjectID="_27471561" r:id="rId7"/>
              </w:object>
            </w:r>
          </w:p>
        </w:tc>
        <w:tc>
          <w:tcPr>
            <w:tcW w:w="7551" w:type="dxa"/>
            <w:tcBorders/>
          </w:tcPr>
          <w:p>
            <w:pPr>
              <w:pStyle w:val="Normal"/>
              <w:keepNext w:val="true"/>
              <w:widowControl/>
              <w:suppressAutoHyphens w:val="false"/>
              <w:spacing w:lineRule="auto" w:line="240" w:before="120" w:after="120"/>
              <w:jc w:val="both"/>
              <w:rPr>
                <w:rFonts w:ascii="Times New Roman" w:hAnsi="Times New Roman" w:eastAsia="Calibri" w:cs="Times New Roman"/>
                <w:b/>
                <w:bCs/>
                <w:caps/>
                <w:sz w:val="18"/>
                <w:szCs w:val="18"/>
                <w:lang w:eastAsia="ru-RU"/>
              </w:rPr>
            </w:pPr>
            <w:r>
              <w:rPr>
                <w:rFonts w:eastAsia="Calibri" w:cs="Times New Roman" w:ascii="Times New Roman" w:hAnsi="Times New Roman"/>
                <w:b/>
                <w:bCs/>
                <w:caps/>
                <w:kern w:val="0"/>
                <w:sz w:val="18"/>
                <w:szCs w:val="18"/>
                <w:lang w:val="ru-RU" w:eastAsia="ru-RU" w:bidi="ar-SA"/>
              </w:rPr>
              <w:t>Приложение №2. Дополнительно организуемые АПТС РЗА</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cs=""/>
                <w:kern w:val="0"/>
                <w:sz w:val="18"/>
                <w:szCs w:val="18"/>
                <w:lang w:val="ru-RU" w:eastAsia="ru-RU" w:bidi="ar-SA"/>
              </w:rPr>
              <w:t>‍</w:t>
            </w:r>
            <w:bookmarkStart w:id="54" w:name="_MON_1851062040"/>
          </w:p>
        </w:tc>
        <w:tc>
          <w:tcPr>
            <w:tcW w:w="1792" w:type="dxa"/>
            <w:tcBorders/>
          </w:tcPr>
          <w:p>
            <w:pPr>
              <w:pStyle w:val="Normal"/>
              <w:keepNext w:val="true"/>
              <w:widowControl/>
              <w:suppressAutoHyphens w:val="false"/>
              <w:spacing w:lineRule="auto" w:line="240" w:before="120" w:after="120"/>
              <w:jc w:val="both"/>
              <w:rPr>
                <w:rFonts w:ascii="Times New Roman" w:hAnsi="Times New Roman" w:eastAsia="Calibri" w:cs="Times New Roman"/>
                <w:b/>
                <w:bCs/>
                <w:caps/>
                <w:sz w:val="18"/>
                <w:szCs w:val="18"/>
                <w:lang w:eastAsia="ru-RU"/>
              </w:rPr>
            </w:pPr>
            <w:bookmarkEnd w:id="54"/>
            <w:r>
              <w:rPr/>
              <w:object>
                <v:shapetype id="_x0000_tole_rId9" coordsize="21600,21600" o:spt="ole_rId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 type="_x0000_tole_rId9" style="width:76.85pt;height:49.45pt;mso-wrap-distance-right:0pt;mso-wrap-distance-bottom:6pt" filled="f" o:ole="">
                  <v:imagedata r:id="rId10" o:title=""/>
                </v:shape>
                <o:OLEObject Type="Embed" ProgID="Word.Document.12" ShapeID="ole_rId9" DrawAspect="Icon" ObjectID="_614337700" r:id="rId9"/>
              </w:object>
            </w:r>
          </w:p>
        </w:tc>
        <w:tc>
          <w:tcPr>
            <w:tcW w:w="7551" w:type="dxa"/>
            <w:tcBorders/>
          </w:tcPr>
          <w:p>
            <w:pPr>
              <w:pStyle w:val="Normal"/>
              <w:widowControl/>
              <w:suppressAutoHyphens w:val="true"/>
              <w:spacing w:before="120" w:after="160"/>
              <w:jc w:val="both"/>
              <w:rPr>
                <w:rFonts w:ascii="Times New Roman" w:hAnsi="Times New Roman" w:eastAsia="Calibri" w:cs="Times New Roman"/>
                <w:b/>
                <w:bCs/>
                <w:caps/>
                <w:sz w:val="18"/>
                <w:szCs w:val="18"/>
                <w:lang w:eastAsia="ru-RU"/>
              </w:rPr>
            </w:pPr>
            <w:r>
              <w:rPr>
                <w:rFonts w:eastAsia="Calibri" w:cs="Times New Roman" w:ascii="Times New Roman" w:hAnsi="Times New Roman"/>
                <w:b/>
                <w:bCs/>
                <w:caps/>
                <w:kern w:val="0"/>
                <w:sz w:val="18"/>
                <w:szCs w:val="18"/>
                <w:lang w:val="ru-RU" w:eastAsia="ru-RU" w:bidi="ar-SA"/>
              </w:rPr>
              <w:t>Приложение №3. Перечень коммутационных аппаратов КРУЭ 220кВ и КРУЭ 500кВ, подлежащих дистанционному управлению ДЦ</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cs=""/>
                <w:kern w:val="0"/>
                <w:sz w:val="18"/>
                <w:szCs w:val="18"/>
                <w:lang w:val="ru-RU" w:eastAsia="ru-RU" w:bidi="ar-SA"/>
              </w:rPr>
              <w:t>‍</w:t>
            </w:r>
            <w:bookmarkStart w:id="55" w:name="_MON_1851062050"/>
          </w:p>
        </w:tc>
        <w:tc>
          <w:tcPr>
            <w:tcW w:w="1792" w:type="dxa"/>
            <w:tcBorders/>
          </w:tcPr>
          <w:p>
            <w:pPr>
              <w:pStyle w:val="Normal"/>
              <w:keepNext w:val="true"/>
              <w:widowControl/>
              <w:suppressAutoHyphens w:val="false"/>
              <w:spacing w:lineRule="auto" w:line="240" w:before="120" w:after="120"/>
              <w:jc w:val="both"/>
              <w:rPr>
                <w:rFonts w:ascii="Times New Roman" w:hAnsi="Times New Roman" w:eastAsia="Calibri" w:cs="Times New Roman"/>
                <w:b/>
                <w:bCs/>
                <w:caps/>
                <w:sz w:val="18"/>
                <w:szCs w:val="18"/>
                <w:lang w:eastAsia="ru-RU"/>
              </w:rPr>
            </w:pPr>
            <w:bookmarkEnd w:id="55"/>
            <w:r>
              <w:rPr/>
              <w:object>
                <v:shapetype id="_x0000_tole_rId11" coordsize="21600,21600" o:spt="ole_rId1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 type="_x0000_tole_rId11" style="width:76.85pt;height:49.45pt;mso-wrap-distance-right:0pt;mso-wrap-distance-bottom:6pt" filled="f" o:ole="">
                  <v:imagedata r:id="rId12" o:title=""/>
                </v:shape>
                <o:OLEObject Type="Embed" ProgID="Word.Document.12" ShapeID="ole_rId11" DrawAspect="Icon" ObjectID="_687225848" r:id="rId11"/>
              </w:object>
            </w:r>
          </w:p>
        </w:tc>
        <w:tc>
          <w:tcPr>
            <w:tcW w:w="7551" w:type="dxa"/>
            <w:tcBorders/>
          </w:tcPr>
          <w:p>
            <w:pPr>
              <w:pStyle w:val="Normal"/>
              <w:widowControl/>
              <w:suppressAutoHyphens w:val="true"/>
              <w:spacing w:before="120" w:after="160"/>
              <w:jc w:val="both"/>
              <w:rPr>
                <w:rFonts w:ascii="Times New Roman" w:hAnsi="Times New Roman" w:eastAsia="Calibri" w:cs="Times New Roman"/>
                <w:b/>
                <w:bCs/>
                <w:caps/>
                <w:sz w:val="18"/>
                <w:szCs w:val="18"/>
                <w:lang w:eastAsia="ru-RU"/>
              </w:rPr>
            </w:pPr>
            <w:r>
              <w:rPr>
                <w:rFonts w:eastAsia="Calibri" w:cs="Times New Roman" w:ascii="Times New Roman" w:hAnsi="Times New Roman"/>
                <w:b/>
                <w:bCs/>
                <w:caps/>
                <w:kern w:val="0"/>
                <w:sz w:val="18"/>
                <w:szCs w:val="18"/>
                <w:lang w:val="ru-RU" w:eastAsia="ru-RU" w:bidi="ar-SA"/>
              </w:rPr>
              <w:t>Приложение №4. Перечень команд дистанционного управления из филиалов АО «СО ЕЭС» ОДУ Сибири и Красноярское РДУ.</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cs=""/>
                <w:kern w:val="0"/>
                <w:sz w:val="18"/>
                <w:szCs w:val="18"/>
                <w:lang w:val="ru-RU" w:eastAsia="ru-RU" w:bidi="ar-SA"/>
              </w:rPr>
              <w:t>‍</w:t>
            </w:r>
          </w:p>
        </w:tc>
        <w:tc>
          <w:tcPr>
            <w:tcW w:w="1792" w:type="dxa"/>
            <w:tcBorders/>
          </w:tcPr>
          <w:p>
            <w:pPr>
              <w:pStyle w:val="Normal"/>
              <w:keepNext w:val="true"/>
              <w:widowControl/>
              <w:suppressAutoHyphens w:val="false"/>
              <w:spacing w:lineRule="auto" w:line="240" w:before="120" w:after="120"/>
              <w:jc w:val="both"/>
              <w:rPr>
                <w:rFonts w:eastAsia="Calibri"/>
                <w:b/>
                <w:bCs/>
                <w:sz w:val="18"/>
                <w:szCs w:val="18"/>
              </w:rPr>
            </w:pPr>
            <w:bookmarkStart w:id="56" w:name="_MON_1851061731"/>
            <w:bookmarkEnd w:id="56"/>
            <w:r>
              <w:rPr/>
              <mc:AlternateContent>
                <mc:Choice Requires="wps">
                  <w:drawing>
                    <wp:anchor behindDoc="0" distT="0" distB="0" distL="635" distR="0" simplePos="0" locked="0" layoutInCell="0" allowOverlap="1" relativeHeight="6">
                      <wp:simplePos x="0" y="0"/>
                      <wp:positionH relativeFrom="column">
                        <wp:posOffset>635</wp:posOffset>
                      </wp:positionH>
                      <wp:positionV relativeFrom="paragraph">
                        <wp:posOffset>635</wp:posOffset>
                      </wp:positionV>
                      <wp:extent cx="635000" cy="635000"/>
                      <wp:effectExtent l="635" t="0" r="0" b="0"/>
                      <wp:wrapNone/>
                      <wp:docPr id="1" name="Фигура1"/>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Фигура1"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9pt;height:49.45pt;mso-wrap-distance-right:0pt;mso-wrap-distance-bottom:6pt" filled="f" o:ole="">
                  <v:imagedata r:id="rId14" o:title=""/>
                </v:shape>
                <o:OLEObject Type="Embed" ProgID="Word.Document.12" ShapeID="ole_rId13" DrawAspect="Icon" ObjectID="_849772384" r:id="rId13"/>
              </w:object>
            </w:r>
          </w:p>
        </w:tc>
        <w:tc>
          <w:tcPr>
            <w:tcW w:w="7551" w:type="dxa"/>
            <w:tcBorders/>
          </w:tcPr>
          <w:p>
            <w:pPr>
              <w:pStyle w:val="Normal"/>
              <w:widowControl/>
              <w:suppressAutoHyphens w:val="true"/>
              <w:spacing w:before="120" w:after="160"/>
              <w:jc w:val="both"/>
              <w:rPr>
                <w:b/>
              </w:rPr>
            </w:pPr>
            <w:r>
              <w:rPr>
                <w:rFonts w:eastAsia="Times New Roman" w:cs="Times New Roman" w:ascii="Times New Roman" w:hAnsi="Times New Roman"/>
                <w:b/>
                <w:bCs/>
                <w:kern w:val="0"/>
                <w:sz w:val="18"/>
                <w:szCs w:val="18"/>
                <w:lang w:val="ru-RU" w:eastAsia="ru-RU" w:bidi="ar-SA"/>
              </w:rPr>
              <w:t xml:space="preserve">ПРИЛОЖЕНИЕ № </w:t>
            </w:r>
            <w:r>
              <w:rPr>
                <w:rFonts w:eastAsia="Times New Roman" w:cs="Times New Roman" w:ascii="Times New Roman" w:hAnsi="Times New Roman"/>
                <w:b/>
                <w:bCs/>
                <w:kern w:val="0"/>
                <w:sz w:val="18"/>
                <w:szCs w:val="18"/>
                <w:lang w:val="en-US" w:eastAsia="ru-RU" w:bidi="ar-SA"/>
              </w:rPr>
              <w:t>5</w:t>
            </w:r>
            <w:r>
              <w:rPr>
                <w:rFonts w:eastAsia="Times New Roman" w:cs="Times New Roman" w:ascii="Times New Roman" w:hAnsi="Times New Roman"/>
                <w:b/>
                <w:bCs/>
                <w:caps/>
                <w:kern w:val="0"/>
                <w:sz w:val="18"/>
                <w:szCs w:val="18"/>
                <w:lang w:val="ru-RU" w:eastAsia="ru-RU" w:bidi="ar-SA"/>
              </w:rPr>
              <w:t>.</w:t>
              <w:br/>
              <w:t>Регламент процесса «Допуск персонала подрядных организаций на объекты ПАО «РусГидро» с Методикой допуска персонала подрядных организаций к выполнению работ на объектах ПАО «РусГидро»</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p>
        </w:tc>
        <w:tc>
          <w:tcPr>
            <w:tcW w:w="1792" w:type="dxa"/>
            <w:tcBorders/>
          </w:tcPr>
          <w:p>
            <w:pPr>
              <w:pStyle w:val="Normal"/>
              <w:keepNext w:val="true"/>
              <w:widowControl/>
              <w:suppressAutoHyphens w:val="false"/>
              <w:spacing w:lineRule="auto" w:line="240" w:before="120" w:after="120"/>
              <w:jc w:val="both"/>
              <w:rPr>
                <w:rFonts w:eastAsia="Calibri"/>
                <w:b/>
                <w:bCs/>
                <w:sz w:val="18"/>
                <w:szCs w:val="18"/>
              </w:rPr>
            </w:pPr>
            <w:r>
              <mc:AlternateContent>
                <mc:Choice Requires="wps">
                  <w:drawing>
                    <wp:anchor behindDoc="0" distT="0" distB="0" distL="635" distR="0" simplePos="0" locked="0" layoutInCell="0" allowOverlap="1" relativeHeight="2">
                      <wp:simplePos x="0" y="0"/>
                      <wp:positionH relativeFrom="column">
                        <wp:posOffset>635</wp:posOffset>
                      </wp:positionH>
                      <wp:positionV relativeFrom="paragraph">
                        <wp:posOffset>635</wp:posOffset>
                      </wp:positionV>
                      <wp:extent cx="635000" cy="635000"/>
                      <wp:effectExtent l="635" t="0" r="0" b="0"/>
                      <wp:wrapNone/>
                      <wp:docPr id="2" name="_x0000_tole_rId7"/>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_x0000_tole_rId7"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t>https://storage.yandexcloud.net/storage.rushydro.ru/iblock/316/3163ac9ee714a001ee43e50b007c4ce5/2026_TEKHPOLITIKA%20GRUPPY%20RUSGIDRO.pdf</w:t>
            </w:r>
          </w:p>
        </w:tc>
        <w:tc>
          <w:tcPr>
            <w:tcW w:w="7551" w:type="dxa"/>
            <w:tcBorders/>
          </w:tcPr>
          <w:p>
            <w:pPr>
              <w:pStyle w:val="Normal"/>
              <w:widowControl/>
              <w:tabs>
                <w:tab w:val="clear" w:pos="708"/>
                <w:tab w:val="left" w:pos="135" w:leader="none"/>
              </w:tabs>
              <w:suppressAutoHyphens w:val="false"/>
              <w:spacing w:lineRule="auto" w:line="240" w:before="60" w:after="60"/>
              <w:jc w:val="both"/>
              <w:rPr>
                <w:rFonts w:eastAsia="Calibri"/>
                <w:b/>
                <w:sz w:val="18"/>
                <w:szCs w:val="18"/>
              </w:rPr>
            </w:pPr>
            <w:r>
              <w:rPr>
                <w:rFonts w:eastAsia="Times New Roman" w:cs="Times New Roman" w:ascii="Times New Roman" w:hAnsi="Times New Roman"/>
                <w:b/>
                <w:bCs/>
                <w:kern w:val="0"/>
                <w:sz w:val="18"/>
                <w:szCs w:val="18"/>
                <w:lang w:val="ru-RU" w:eastAsia="ru-RU" w:bidi="ar-SA"/>
              </w:rPr>
              <w:t xml:space="preserve">ПРИЛОЖЕНИЕ № </w:t>
            </w:r>
            <w:r>
              <w:rPr>
                <w:rFonts w:eastAsia="Times New Roman" w:cs="Times New Roman" w:ascii="Times New Roman" w:hAnsi="Times New Roman"/>
                <w:b/>
                <w:bCs/>
                <w:kern w:val="0"/>
                <w:sz w:val="18"/>
                <w:szCs w:val="18"/>
                <w:lang w:val="en-US" w:eastAsia="ru-RU" w:bidi="ar-SA"/>
              </w:rPr>
              <w:t>6</w:t>
            </w:r>
            <w:r>
              <w:rPr>
                <w:rFonts w:eastAsia="Times New Roman" w:cs="Times New Roman" w:ascii="Times New Roman" w:hAnsi="Times New Roman"/>
                <w:b/>
                <w:bCs/>
                <w:kern w:val="0"/>
                <w:sz w:val="18"/>
                <w:szCs w:val="18"/>
                <w:lang w:val="ru-RU" w:eastAsia="ru-RU" w:bidi="ar-SA"/>
              </w:rPr>
              <w:t>. ТЕХНИЧЕСКАЯ ПОЛИТИКА ГРУППЫ РУСГИДРО</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p>
        </w:tc>
        <w:tc>
          <w:tcPr>
            <w:tcW w:w="1792" w:type="dxa"/>
            <w:tcBorders/>
          </w:tcPr>
          <w:p>
            <w:pPr>
              <w:pStyle w:val="Normal"/>
              <w:keepNext w:val="true"/>
              <w:widowControl/>
              <w:suppressAutoHyphens w:val="false"/>
              <w:spacing w:lineRule="auto" w:line="240" w:before="120" w:after="120"/>
              <w:jc w:val="both"/>
              <w:rPr>
                <w:rFonts w:eastAsia="Calibri"/>
                <w:b/>
                <w:bCs/>
                <w:sz w:val="18"/>
                <w:szCs w:val="18"/>
              </w:rPr>
            </w:pPr>
            <w:r>
              <mc:AlternateContent>
                <mc:Choice Requires="wps">
                  <w:drawing>
                    <wp:anchor behindDoc="0" distT="0" distB="0" distL="635" distR="0" simplePos="0" locked="0" layoutInCell="0" allowOverlap="1" relativeHeight="3">
                      <wp:simplePos x="0" y="0"/>
                      <wp:positionH relativeFrom="column">
                        <wp:posOffset>635</wp:posOffset>
                      </wp:positionH>
                      <wp:positionV relativeFrom="paragraph">
                        <wp:posOffset>635</wp:posOffset>
                      </wp:positionV>
                      <wp:extent cx="635000" cy="635000"/>
                      <wp:effectExtent l="635" t="0" r="0" b="0"/>
                      <wp:wrapNone/>
                      <wp:docPr id="3" name="_x0000_tole_rId9"/>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_x0000_tole_rId9"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eastAsia="Calibri"/>
                <w:b/>
                <w:bCs/>
                <w:sz w:val="18"/>
                <w:szCs w:val="18"/>
              </w:rPr>
              <w:t>https://rushydro.ru/activity/safety/library/teksty-deystvuyushchikh-tipovykh-proektnykh-resheniy/?utm_source=google.com&amp;utm_medium=organic&amp;utm_campaign=google.com&amp;utm_referrer=google.com</w:t>
            </w:r>
          </w:p>
        </w:tc>
        <w:tc>
          <w:tcPr>
            <w:tcW w:w="7551" w:type="dxa"/>
            <w:tcBorders/>
          </w:tcPr>
          <w:p>
            <w:pPr>
              <w:pStyle w:val="Normal"/>
              <w:widowControl/>
              <w:tabs>
                <w:tab w:val="clear" w:pos="708"/>
                <w:tab w:val="left" w:pos="135" w:leader="none"/>
              </w:tabs>
              <w:suppressAutoHyphens w:val="false"/>
              <w:spacing w:lineRule="auto" w:line="240" w:before="60" w:after="60"/>
              <w:jc w:val="both"/>
              <w:rPr>
                <w:rFonts w:eastAsia="Calibri"/>
                <w:b/>
                <w:sz w:val="18"/>
                <w:szCs w:val="18"/>
              </w:rPr>
            </w:pPr>
            <w:r>
              <w:rPr>
                <w:rFonts w:eastAsia="Times New Roman" w:cs="Times New Roman" w:ascii="Times New Roman" w:hAnsi="Times New Roman"/>
                <w:b/>
                <w:bCs/>
                <w:kern w:val="0"/>
                <w:sz w:val="18"/>
                <w:szCs w:val="18"/>
                <w:lang w:val="ru-RU" w:eastAsia="ru-RU" w:bidi="ar-SA"/>
              </w:rPr>
              <w:t xml:space="preserve">ПРИЛОЖЕНИЕ </w:t>
            </w:r>
            <w:r>
              <w:rPr>
                <w:rFonts w:eastAsia="Times New Roman" w:cs="Times New Roman" w:ascii="Times New Roman" w:hAnsi="Times New Roman"/>
                <w:b/>
                <w:bCs/>
                <w:color w:val="auto"/>
                <w:kern w:val="0"/>
                <w:sz w:val="18"/>
                <w:szCs w:val="18"/>
                <w:lang w:val="ru-RU" w:eastAsia="ru-RU" w:bidi="ar-SA"/>
              </w:rPr>
              <w:t xml:space="preserve">№ 7. </w:t>
            </w:r>
            <w:r>
              <w:rPr>
                <w:rFonts w:eastAsia="Times New Roman" w:cs="Times New Roman" w:ascii="Times New Roman" w:hAnsi="Times New Roman"/>
                <w:b/>
                <w:bCs/>
                <w:color w:val="auto"/>
                <w:kern w:val="0"/>
                <w:sz w:val="20"/>
                <w:szCs w:val="20"/>
                <w:lang w:val="ru-RU" w:eastAsia="ru-RU" w:bidi="ar-SA"/>
              </w:rPr>
              <w:t>«Действующие типовые проектные решение»</w:t>
            </w:r>
            <w:r>
              <w:rPr>
                <w:rFonts w:eastAsia="Times New Roman" w:cs="Times New Roman" w:ascii="Times New Roman" w:hAnsi="Times New Roman"/>
                <w:b/>
                <w:bCs/>
                <w:color w:val="auto"/>
                <w:kern w:val="0"/>
                <w:sz w:val="18"/>
                <w:szCs w:val="18"/>
                <w:lang w:val="ru-RU" w:eastAsia="ru-RU" w:bidi="ar-SA"/>
              </w:rPr>
              <w:t xml:space="preserve"> </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bookmarkStart w:id="57" w:name="_MON_1794656712"/>
            <w:bookmarkStart w:id="58" w:name="_MON_1794656712"/>
            <w:bookmarkEnd w:id="58"/>
          </w:p>
        </w:tc>
        <w:tc>
          <w:tcPr>
            <w:tcW w:w="1792" w:type="dxa"/>
            <w:tcBorders/>
          </w:tcPr>
          <w:p>
            <w:pPr>
              <w:pStyle w:val="Normal"/>
              <w:keepNext w:val="true"/>
              <w:widowControl/>
              <w:suppressAutoHyphens w:val="false"/>
              <w:spacing w:lineRule="auto" w:line="240" w:before="120" w:after="120"/>
              <w:jc w:val="both"/>
              <w:rPr>
                <w:rFonts w:eastAsia="Calibri"/>
                <w:b/>
                <w:bCs/>
                <w:sz w:val="18"/>
                <w:szCs w:val="18"/>
              </w:rPr>
            </w:pPr>
            <w:bookmarkStart w:id="59" w:name="_MON_1794656712_Копия_1"/>
            <w:bookmarkStart w:id="60" w:name="_MON_1851061950"/>
            <w:bookmarkEnd w:id="59"/>
            <w:bookmarkEnd w:id="60"/>
            <w:r>
              <w:rPr/>
              <mc:AlternateContent>
                <mc:Choice Requires="wps">
                  <w:drawing>
                    <wp:anchor behindDoc="0" distT="0" distB="0" distL="635" distR="0" simplePos="0" locked="0" layoutInCell="0" allowOverlap="1" relativeHeight="4">
                      <wp:simplePos x="0" y="0"/>
                      <wp:positionH relativeFrom="column">
                        <wp:posOffset>635</wp:posOffset>
                      </wp:positionH>
                      <wp:positionV relativeFrom="paragraph">
                        <wp:posOffset>635</wp:posOffset>
                      </wp:positionV>
                      <wp:extent cx="635000" cy="635000"/>
                      <wp:effectExtent l="635" t="0" r="0" b="0"/>
                      <wp:wrapNone/>
                      <wp:docPr id="4" name="_x0000_tole_rId11"/>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_x0000_tole_rId11"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object>
                <v:shapetype id="_x0000_tole_rId15" coordsize="21600,21600" o:spt="ole_rId1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 type="_x0000_tole_rId15" style="width:77.35pt;height:49.95pt;mso-wrap-distance-right:0pt;mso-wrap-distance-bottom:6pt" filled="f" o:ole="">
                  <v:imagedata r:id="rId16" o:title=""/>
                </v:shape>
                <o:OLEObject Type="Embed" ProgID="Word.Document.12" ShapeID="ole_rId15" DrawAspect="Icon" ObjectID="_1934266258" r:id="rId15"/>
              </w:object>
            </w:r>
          </w:p>
        </w:tc>
        <w:tc>
          <w:tcPr>
            <w:tcW w:w="7551" w:type="dxa"/>
            <w:tcBorders/>
          </w:tcPr>
          <w:p>
            <w:pPr>
              <w:pStyle w:val="Normal"/>
              <w:keepNext w:val="true"/>
              <w:widowControl/>
              <w:suppressAutoHyphens w:val="false"/>
              <w:spacing w:lineRule="auto" w:line="240" w:before="120" w:after="120"/>
              <w:jc w:val="both"/>
              <w:rPr>
                <w:b/>
                <w:sz w:val="18"/>
                <w:szCs w:val="18"/>
              </w:rPr>
            </w:pPr>
            <w:r>
              <w:rPr>
                <w:rFonts w:eastAsia="Times New Roman" w:cs="Times New Roman" w:ascii="Times New Roman" w:hAnsi="Times New Roman"/>
                <w:b/>
                <w:bCs/>
                <w:kern w:val="0"/>
                <w:sz w:val="18"/>
                <w:szCs w:val="18"/>
                <w:lang w:val="ru-RU" w:eastAsia="ru-RU" w:bidi="ar-SA"/>
              </w:rPr>
              <w:t xml:space="preserve">ПРИЛОЖЕНИЕ № </w:t>
            </w:r>
            <w:r>
              <w:rPr>
                <w:rFonts w:eastAsia="Times New Roman" w:cs="Times New Roman" w:ascii="Times New Roman" w:hAnsi="Times New Roman"/>
                <w:b/>
                <w:bCs/>
                <w:kern w:val="0"/>
                <w:sz w:val="18"/>
                <w:szCs w:val="18"/>
                <w:lang w:val="en-US" w:eastAsia="ru-RU" w:bidi="ar-SA"/>
              </w:rPr>
              <w:t>8</w:t>
            </w:r>
            <w:r>
              <w:rPr>
                <w:rFonts w:eastAsia="Times New Roman" w:cs="Times New Roman" w:ascii="Times New Roman" w:hAnsi="Times New Roman"/>
                <w:b/>
                <w:bCs/>
                <w:caps/>
                <w:kern w:val="0"/>
                <w:sz w:val="18"/>
                <w:szCs w:val="18"/>
                <w:lang w:val="ru-RU" w:eastAsia="ru-RU" w:bidi="ar-SA"/>
              </w:rPr>
              <w:t>.</w:t>
              <w:br/>
              <w:t>Требования к оформлению и составлению сметной документации на выполнение проектных работ</w:t>
            </w:r>
          </w:p>
        </w:tc>
      </w:tr>
      <w:tr>
        <w:trPr/>
        <w:tc>
          <w:tcPr>
            <w:tcW w:w="578" w:type="dxa"/>
            <w:tcBorders/>
          </w:tcPr>
          <w:p>
            <w:pPr>
              <w:pStyle w:val="Normal"/>
              <w:widowControl/>
              <w:numPr>
                <w:ilvl w:val="0"/>
                <w:numId w:val="7"/>
              </w:numPr>
              <w:suppressAutoHyphens w:val="false"/>
              <w:spacing w:lineRule="auto" w:line="240" w:before="120" w:after="120"/>
              <w:contextualSpacing/>
              <w:jc w:val="both"/>
              <w:rPr>
                <w:rFonts w:eastAsia="Calibri"/>
                <w:sz w:val="18"/>
                <w:szCs w:val="18"/>
              </w:rPr>
            </w:pPr>
            <w:r>
              <w:rPr>
                <w:rFonts w:eastAsia="Calibri"/>
                <w:sz w:val="18"/>
                <w:szCs w:val="18"/>
              </w:rPr>
            </w:r>
            <w:bookmarkStart w:id="61" w:name="_MON_1834727446"/>
            <w:bookmarkStart w:id="62" w:name="_MON_1834727446"/>
            <w:bookmarkEnd w:id="62"/>
          </w:p>
        </w:tc>
        <w:tc>
          <w:tcPr>
            <w:tcW w:w="1792" w:type="dxa"/>
            <w:tcBorders/>
          </w:tcPr>
          <w:p>
            <w:pPr>
              <w:pStyle w:val="Normal"/>
              <w:keepNext w:val="true"/>
              <w:widowControl/>
              <w:suppressAutoHyphens w:val="false"/>
              <w:spacing w:lineRule="auto" w:line="240" w:before="120" w:after="120"/>
              <w:jc w:val="both"/>
              <w:rPr>
                <w:rFonts w:eastAsia="Calibri"/>
                <w:b/>
                <w:bCs/>
                <w:sz w:val="18"/>
                <w:szCs w:val="18"/>
              </w:rPr>
            </w:pPr>
            <w:bookmarkStart w:id="63" w:name="_MON_1834727446_Копия_1"/>
            <w:bookmarkStart w:id="64" w:name="_MON_1851061939"/>
            <w:bookmarkEnd w:id="63"/>
            <w:bookmarkEnd w:id="64"/>
            <w:r>
              <w:rPr/>
              <mc:AlternateContent>
                <mc:Choice Requires="wps">
                  <w:drawing>
                    <wp:anchor behindDoc="0" distT="0" distB="0" distL="635" distR="0" simplePos="0" locked="0" layoutInCell="0" allowOverlap="1" relativeHeight="5">
                      <wp:simplePos x="0" y="0"/>
                      <wp:positionH relativeFrom="column">
                        <wp:posOffset>635</wp:posOffset>
                      </wp:positionH>
                      <wp:positionV relativeFrom="paragraph">
                        <wp:posOffset>635</wp:posOffset>
                      </wp:positionV>
                      <wp:extent cx="635000" cy="635000"/>
                      <wp:effectExtent l="635" t="0" r="0" b="0"/>
                      <wp:wrapNone/>
                      <wp:docPr id="5" name="_x0000_tole_rId13"/>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_x0000_tole_rId13"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object>
                <v:shapetype id="_x0000_tole_rId17" coordsize="21600,21600" o:spt="ole_rId1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 type="_x0000_tole_rId17" style="width:96.7pt;height:62.35pt;mso-wrap-distance-right:0pt;mso-wrap-distance-bottom:6pt" filled="f" o:ole="">
                  <v:imagedata r:id="rId18" o:title=""/>
                </v:shape>
                <o:OLEObject Type="Embed" ProgID="Word.Document.12" ShapeID="ole_rId17" DrawAspect="Icon" ObjectID="_1810762615" r:id="rId17"/>
              </w:object>
            </w:r>
          </w:p>
        </w:tc>
        <w:tc>
          <w:tcPr>
            <w:tcW w:w="7551" w:type="dxa"/>
            <w:tcBorders/>
          </w:tcPr>
          <w:p>
            <w:pPr>
              <w:pStyle w:val="Normal"/>
              <w:keepNext w:val="true"/>
              <w:widowControl/>
              <w:suppressAutoHyphens w:val="false"/>
              <w:spacing w:lineRule="auto" w:line="240" w:before="120" w:after="120"/>
              <w:jc w:val="both"/>
              <w:rPr>
                <w:b/>
                <w:sz w:val="18"/>
                <w:szCs w:val="18"/>
              </w:rPr>
            </w:pPr>
            <w:r>
              <w:rPr>
                <w:rFonts w:eastAsia="Times New Roman" w:cs="Times New Roman" w:ascii="Times New Roman" w:hAnsi="Times New Roman"/>
                <w:b/>
                <w:bCs/>
                <w:kern w:val="0"/>
                <w:sz w:val="18"/>
                <w:szCs w:val="18"/>
                <w:lang w:val="ru-RU" w:eastAsia="ru-RU" w:bidi="ar-SA"/>
              </w:rPr>
              <w:t xml:space="preserve">ПРИЛОЖЕНИЕ № </w:t>
            </w:r>
            <w:r>
              <w:rPr>
                <w:rFonts w:eastAsia="Times New Roman" w:cs="Times New Roman" w:ascii="Times New Roman" w:hAnsi="Times New Roman"/>
                <w:b/>
                <w:bCs/>
                <w:kern w:val="0"/>
                <w:sz w:val="18"/>
                <w:szCs w:val="18"/>
                <w:lang w:val="en-US" w:eastAsia="ru-RU" w:bidi="ar-SA"/>
              </w:rPr>
              <w:t>9</w:t>
            </w:r>
            <w:r>
              <w:rPr>
                <w:rFonts w:eastAsia="Times New Roman" w:cs="Times New Roman" w:ascii="Times New Roman" w:hAnsi="Times New Roman"/>
                <w:b/>
                <w:bCs/>
                <w:caps/>
                <w:kern w:val="0"/>
                <w:sz w:val="18"/>
                <w:szCs w:val="18"/>
                <w:lang w:val="ru-RU" w:eastAsia="ru-RU" w:bidi="ar-SA"/>
              </w:rPr>
              <w:t>.</w:t>
              <w:br/>
              <w:t>Требования к оформлению и составлению сметной документации на работы по программе ремонтов, реконструкции и техническому перевооружению</w:t>
            </w:r>
          </w:p>
        </w:tc>
      </w:tr>
    </w:tbl>
    <w:p>
      <w:pPr>
        <w:pStyle w:val="Normal"/>
        <w:widowControl w:val="false"/>
        <w:tabs>
          <w:tab w:val="clear" w:pos="708"/>
          <w:tab w:val="left" w:pos="426" w:leader="none"/>
        </w:tabs>
        <w:spacing w:lineRule="auto" w:line="240" w:before="6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sectPr>
      <w:headerReference w:type="default" r:id="rId19"/>
      <w:footerReference w:type="default" r:id="rId20"/>
      <w:footerReference w:type="first" r:id="rId21"/>
      <w:footnotePr>
        <w:numFmt w:val="decimal"/>
      </w:footnotePr>
      <w:type w:val="nextPage"/>
      <w:pgSz w:w="11906" w:h="16838"/>
      <w:pgMar w:left="1418" w:right="567" w:gutter="0" w:header="0" w:top="567" w:footer="567" w:bottom="709"/>
      <w:pgNumType w:fmt="decimal"/>
      <w:formProt w:val="false"/>
      <w:textDirection w:val="lrTb"/>
      <w:docGrid w:type="default" w:linePitch="381" w:charSpace="2867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Pragmatica">
    <w:charset w:val="01"/>
    <w:family w:val="roman"/>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32637033"/>
    </w:sdtPr>
    <w:sdtContent>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9</w:t>
        </w:r>
        <w:r>
          <w:rPr>
            <w:sz w:val="24"/>
            <w:szCs w:val="24"/>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49513211"/>
    </w:sdtPr>
    <w:sdtContent>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43</w:t>
        </w:r>
        <w:r>
          <w:rPr>
            <w:sz w:val="24"/>
            <w:szCs w:val="24"/>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18217972"/>
    </w:sdtPr>
    <w:sdtContent>
      <w:p>
        <w:pPr>
          <w:pStyle w:val="Footer"/>
          <w:jc w:val="right"/>
          <w:rPr/>
        </w:pPr>
        <w:r>
          <w:rPr/>
          <w:fldChar w:fldCharType="begin"/>
        </w:r>
        <w:r>
          <w:rPr/>
          <w:instrText xml:space="preserve"> PAGE </w:instrText>
        </w:r>
        <w:r>
          <w:rPr/>
          <w:fldChar w:fldCharType="separate"/>
        </w:r>
        <w:r>
          <w:rPr/>
          <w:t>46</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
        </w:rPr>
        <w:footnoteRef/>
      </w:r>
      <w:r>
        <w:rPr/>
        <w:t xml:space="preserve"> </w:t>
      </w:r>
      <w:r>
        <w:rPr/>
        <w:t xml:space="preserve">ПО </w:t>
      </w:r>
      <w:r>
        <w:rPr>
          <w:rFonts w:eastAsia="Calibri"/>
        </w:rPr>
        <w:t>Oracle Primavera (либо аналог по согласованию с Заказчиком)</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Fonts w:ascii="Times New Roman" w:hAnsi="Times New Roman" w:cs="Times New Roman"/>
        <w:color w:val="000000" w:themeColor="text1"/>
        <w:lang w:val="x-none"/>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suff w:val="nothing"/>
      <w:lvlText w:val="%1."/>
      <w:lvlJc w:val="left"/>
      <w:pPr>
        <w:tabs>
          <w:tab w:val="num" w:pos="0"/>
        </w:tabs>
        <w:ind w:left="0" w:hanging="0"/>
      </w:pPr>
      <w:rPr>
        <w:sz w:val="24"/>
        <w:b/>
        <w:szCs w:val="24"/>
        <w:bCs w:val="false"/>
      </w:rPr>
    </w:lvl>
    <w:lvl w:ilvl="1">
      <w:start w:val="1"/>
      <w:numFmt w:val="decimal"/>
      <w:suff w:val="nothing"/>
      <w:lvlText w:val="%1.%2."/>
      <w:lvlJc w:val="left"/>
      <w:pPr>
        <w:tabs>
          <w:tab w:val="num" w:pos="0"/>
        </w:tabs>
        <w:ind w:left="0" w:hanging="0"/>
      </w:pPr>
      <w:rPr>
        <w:sz w:val="24"/>
        <w:b w:val="false"/>
        <w:szCs w:val="24"/>
        <w:bCs/>
      </w:rPr>
    </w:lvl>
    <w:lvl w:ilvl="2">
      <w:start w:val="1"/>
      <w:numFmt w:val="decimal"/>
      <w:suff w:val="nothing"/>
      <w:lvlText w:val="%1.%2.%3."/>
      <w:lvlJc w:val="left"/>
      <w:pPr>
        <w:tabs>
          <w:tab w:val="num" w:pos="0"/>
        </w:tabs>
        <w:ind w:left="0" w:hanging="0"/>
      </w:pPr>
      <w:rPr>
        <w:sz w:val="24"/>
        <w:szCs w:val="24"/>
      </w:rPr>
    </w:lvl>
    <w:lvl w:ilvl="3">
      <w:start w:val="1"/>
      <w:numFmt w:val="decimal"/>
      <w:lvlText w:val="%1.%2.%3.%4."/>
      <w:lvlJc w:val="left"/>
      <w:pPr>
        <w:tabs>
          <w:tab w:val="num" w:pos="0"/>
        </w:tabs>
        <w:ind w:left="284" w:hanging="0"/>
      </w:pPr>
      <w:rPr>
        <w:sz w:val="24"/>
        <w:szCs w:val="24"/>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7">
    <w:lvl w:ilvl="0">
      <w:start w:val="1"/>
      <w:numFmt w:val="decimal"/>
      <w:suff w:val="nothing"/>
      <w:lvlText w:val="№ %1."/>
      <w:lvlJc w:val="left"/>
      <w:pPr>
        <w:tabs>
          <w:tab w:val="num" w:pos="0"/>
        </w:tabs>
        <w:ind w:left="0" w:hanging="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b w:val="false"/>
      </w:rPr>
    </w:lvl>
    <w:lvl w:ilvl="1">
      <w:start w:val="1"/>
      <w:numFmt w:val="decimal"/>
      <w:suff w:val="nothing"/>
      <w:lvlText w:val="%1.%2."/>
      <w:lvlJc w:val="left"/>
      <w:pPr>
        <w:tabs>
          <w:tab w:val="num" w:pos="0"/>
        </w:tabs>
        <w:ind w:left="0" w:hanging="0"/>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suff w:val="nothing"/>
      <w:lvlText w:val="%1."/>
      <w:lvlJc w:val="left"/>
      <w:pPr>
        <w:tabs>
          <w:tab w:val="num" w:pos="0"/>
        </w:tabs>
        <w:ind w:left="0" w:hanging="0"/>
      </w:pPr>
      <w:rPr>
        <w:sz w:val="24"/>
        <w:b/>
        <w:szCs w:val="24"/>
        <w:bCs w:val="false"/>
      </w:rPr>
    </w:lvl>
    <w:lvl w:ilvl="1">
      <w:start w:val="1"/>
      <w:numFmt w:val="decimal"/>
      <w:suff w:val="nothing"/>
      <w:lvlText w:val="%1.%2."/>
      <w:lvlJc w:val="left"/>
      <w:pPr>
        <w:tabs>
          <w:tab w:val="num" w:pos="0"/>
        </w:tabs>
        <w:ind w:left="426" w:hanging="0"/>
      </w:pPr>
      <w:rPr>
        <w:sz w:val="24"/>
        <w:b w:val="false"/>
        <w:szCs w:val="24"/>
        <w:bCs/>
      </w:rPr>
    </w:lvl>
    <w:lvl w:ilvl="2">
      <w:start w:val="1"/>
      <w:numFmt w:val="decimal"/>
      <w:lvlText w:val="%1.%2.%3."/>
      <w:lvlJc w:val="left"/>
      <w:pPr>
        <w:tabs>
          <w:tab w:val="num" w:pos="0"/>
        </w:tabs>
        <w:ind w:left="6120" w:hanging="0"/>
      </w:pPr>
      <w:rPr>
        <w:sz w:val="24"/>
        <w:i w:val="false"/>
        <w:szCs w:val="24"/>
      </w:rPr>
    </w:lvl>
    <w:lvl w:ilvl="3">
      <w:start w:val="1"/>
      <w:numFmt w:val="decimal"/>
      <w:lvlText w:val="%1.%2.%3.%4."/>
      <w:lvlJc w:val="left"/>
      <w:pPr>
        <w:tabs>
          <w:tab w:val="num" w:pos="0"/>
        </w:tabs>
        <w:ind w:left="0" w:hanging="0"/>
      </w:pPr>
      <w:rPr>
        <w:sz w:val="24"/>
        <w:szCs w:val="24"/>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10">
    <w:lvl w:ilvl="0">
      <w:start w:val="1"/>
      <w:numFmt w:val="decimal"/>
      <w:lvlText w:val="%1."/>
      <w:lvlJc w:val="left"/>
      <w:pPr>
        <w:tabs>
          <w:tab w:val="num" w:pos="0"/>
        </w:tabs>
        <w:ind w:left="360" w:hanging="360"/>
      </w:pPr>
      <w:rPr>
        <w:b w:val="false"/>
      </w:rPr>
    </w:lvl>
    <w:lvl w:ilvl="1">
      <w:start w:val="1"/>
      <w:numFmt w:val="decimal"/>
      <w:suff w:val="nothing"/>
      <w:lvlText w:val="%1.%2."/>
      <w:lvlJc w:val="left"/>
      <w:pPr>
        <w:tabs>
          <w:tab w:val="num" w:pos="0"/>
        </w:tabs>
        <w:ind w:left="0" w:hanging="0"/>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suff w:val="nothing"/>
      <w:lvlText w:val="%1."/>
      <w:lvlJc w:val="left"/>
      <w:pPr>
        <w:tabs>
          <w:tab w:val="num" w:pos="0"/>
        </w:tabs>
        <w:ind w:left="0" w:hanging="0"/>
      </w:pPr>
      <w:rPr>
        <w:b w:val="false"/>
      </w:rPr>
    </w:lvl>
    <w:lvl w:ilvl="1">
      <w:start w:val="1"/>
      <w:numFmt w:val="decimal"/>
      <w:lvlText w:val="%1.%2."/>
      <w:lvlJc w:val="left"/>
      <w:pPr>
        <w:tabs>
          <w:tab w:val="num" w:pos="0"/>
        </w:tabs>
        <w:ind w:left="0" w:hanging="0"/>
      </w:pPr>
      <w:rPr/>
    </w:lvl>
    <w:lvl w:ilvl="2">
      <w:start w:val="1"/>
      <w:numFmt w:val="decimal"/>
      <w:suff w:val="nothing"/>
      <w:lvlText w:val="%1.%2.%3."/>
      <w:lvlJc w:val="left"/>
      <w:pPr>
        <w:tabs>
          <w:tab w:val="num" w:pos="0"/>
        </w:tabs>
        <w:ind w:left="0" w:hanging="0"/>
      </w:pPr>
      <w:rPr/>
    </w:lvl>
    <w:lvl w:ilvl="3">
      <w:start w:val="1"/>
      <w:numFmt w:val="decimal"/>
      <w:lvlText w:val="%1.%2.%3.%4."/>
      <w:lvlJc w:val="left"/>
      <w:pPr>
        <w:tabs>
          <w:tab w:val="num" w:pos="0"/>
        </w:tabs>
        <w:ind w:left="0" w:hanging="0"/>
      </w:pPr>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12">
    <w:lvl w:ilvl="0">
      <w:start w:val="1"/>
      <w:numFmt w:val="decimal"/>
      <w:lvlText w:val="%1."/>
      <w:lvlJc w:val="left"/>
      <w:pPr>
        <w:tabs>
          <w:tab w:val="num" w:pos="0"/>
        </w:tabs>
        <w:ind w:left="0" w:hanging="0"/>
      </w:pPr>
      <w:rPr>
        <w:b w:val="false"/>
      </w:rPr>
    </w:lvl>
    <w:lvl w:ilvl="1">
      <w:start w:val="1"/>
      <w:numFmt w:val="decimal"/>
      <w:suff w:val="nothing"/>
      <w:lvlText w:val="%1.%2."/>
      <w:lvlJc w:val="left"/>
      <w:pPr>
        <w:tabs>
          <w:tab w:val="num" w:pos="0"/>
        </w:tabs>
        <w:ind w:left="0" w:hanging="0"/>
      </w:pPr>
      <w:rPr/>
    </w:lvl>
    <w:lvl w:ilvl="2">
      <w:start w:val="1"/>
      <w:numFmt w:val="decimal"/>
      <w:suff w:val="nothing"/>
      <w:lvlText w:val="%1.%2.%3."/>
      <w:lvlJc w:val="left"/>
      <w:pPr>
        <w:tabs>
          <w:tab w:val="num" w:pos="0"/>
        </w:tabs>
        <w:ind w:left="0" w:hanging="0"/>
      </w:pPr>
      <w:rPr/>
    </w:lvl>
    <w:lvl w:ilvl="3">
      <w:start w:val="1"/>
      <w:numFmt w:val="decimal"/>
      <w:lvlText w:val="%1.%2.%3.%4."/>
      <w:lvlJc w:val="left"/>
      <w:pPr>
        <w:tabs>
          <w:tab w:val="num" w:pos="0"/>
        </w:tabs>
        <w:ind w:left="0" w:hanging="0"/>
      </w:pPr>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13">
    <w:lvl w:ilvl="0">
      <w:start w:val="1"/>
      <w:numFmt w:val="bullet"/>
      <w:lvlText w:val=""/>
      <w:lvlJc w:val="left"/>
      <w:pPr>
        <w:tabs>
          <w:tab w:val="num" w:pos="0"/>
        </w:tabs>
        <w:ind w:left="1288" w:hanging="295"/>
      </w:pPr>
      <w:rPr>
        <w:rFonts w:ascii="Symbol" w:hAnsi="Symbol" w:cs="Symbol" w:hint="default"/>
      </w:rPr>
    </w:lvl>
    <w:lvl w:ilvl="1">
      <w:start w:val="1"/>
      <w:numFmt w:val="bullet"/>
      <w:lvlText w:val="o"/>
      <w:lvlJc w:val="left"/>
      <w:pPr>
        <w:tabs>
          <w:tab w:val="num" w:pos="0"/>
        </w:tabs>
        <w:ind w:left="1299" w:hanging="360"/>
      </w:pPr>
      <w:rPr>
        <w:rFonts w:ascii="Courier New" w:hAnsi="Courier New" w:cs="Courier New" w:hint="default"/>
      </w:rPr>
    </w:lvl>
    <w:lvl w:ilvl="2">
      <w:start w:val="1"/>
      <w:numFmt w:val="bullet"/>
      <w:lvlText w:val=""/>
      <w:lvlJc w:val="left"/>
      <w:pPr>
        <w:tabs>
          <w:tab w:val="num" w:pos="0"/>
        </w:tabs>
        <w:ind w:left="2019" w:hanging="360"/>
      </w:pPr>
      <w:rPr>
        <w:rFonts w:ascii="Wingdings" w:hAnsi="Wingdings" w:cs="Wingdings" w:hint="default"/>
      </w:rPr>
    </w:lvl>
    <w:lvl w:ilvl="3">
      <w:start w:val="1"/>
      <w:numFmt w:val="bullet"/>
      <w:lvlText w:val=""/>
      <w:lvlJc w:val="left"/>
      <w:pPr>
        <w:tabs>
          <w:tab w:val="num" w:pos="0"/>
        </w:tabs>
        <w:ind w:left="2739" w:hanging="360"/>
      </w:pPr>
      <w:rPr>
        <w:rFonts w:ascii="Symbol" w:hAnsi="Symbol" w:cs="Symbol" w:hint="default"/>
      </w:rPr>
    </w:lvl>
    <w:lvl w:ilvl="4">
      <w:start w:val="1"/>
      <w:numFmt w:val="bullet"/>
      <w:lvlText w:val="o"/>
      <w:lvlJc w:val="left"/>
      <w:pPr>
        <w:tabs>
          <w:tab w:val="num" w:pos="0"/>
        </w:tabs>
        <w:ind w:left="3459" w:hanging="360"/>
      </w:pPr>
      <w:rPr>
        <w:rFonts w:ascii="Courier New" w:hAnsi="Courier New" w:cs="Courier New" w:hint="default"/>
      </w:rPr>
    </w:lvl>
    <w:lvl w:ilvl="5">
      <w:start w:val="1"/>
      <w:numFmt w:val="bullet"/>
      <w:lvlText w:val=""/>
      <w:lvlJc w:val="left"/>
      <w:pPr>
        <w:tabs>
          <w:tab w:val="num" w:pos="0"/>
        </w:tabs>
        <w:ind w:left="4179" w:hanging="360"/>
      </w:pPr>
      <w:rPr>
        <w:rFonts w:ascii="Wingdings" w:hAnsi="Wingdings" w:cs="Wingdings" w:hint="default"/>
      </w:rPr>
    </w:lvl>
    <w:lvl w:ilvl="6">
      <w:start w:val="1"/>
      <w:numFmt w:val="bullet"/>
      <w:lvlText w:val=""/>
      <w:lvlJc w:val="left"/>
      <w:pPr>
        <w:tabs>
          <w:tab w:val="num" w:pos="0"/>
        </w:tabs>
        <w:ind w:left="4899" w:hanging="360"/>
      </w:pPr>
      <w:rPr>
        <w:rFonts w:ascii="Symbol" w:hAnsi="Symbol" w:cs="Symbol" w:hint="default"/>
      </w:rPr>
    </w:lvl>
    <w:lvl w:ilvl="7">
      <w:start w:val="1"/>
      <w:numFmt w:val="bullet"/>
      <w:lvlText w:val="o"/>
      <w:lvlJc w:val="left"/>
      <w:pPr>
        <w:tabs>
          <w:tab w:val="num" w:pos="0"/>
        </w:tabs>
        <w:ind w:left="5619" w:hanging="360"/>
      </w:pPr>
      <w:rPr>
        <w:rFonts w:ascii="Courier New" w:hAnsi="Courier New" w:cs="Courier New" w:hint="default"/>
      </w:rPr>
    </w:lvl>
    <w:lvl w:ilvl="8">
      <w:start w:val="1"/>
      <w:numFmt w:val="bullet"/>
      <w:lvlText w:val=""/>
      <w:lvlJc w:val="left"/>
      <w:pPr>
        <w:tabs>
          <w:tab w:val="num" w:pos="0"/>
        </w:tabs>
        <w:ind w:left="6339" w:hanging="360"/>
      </w:pPr>
      <w:rPr>
        <w:rFonts w:ascii="Wingdings" w:hAnsi="Wingdings" w:cs="Wingdings" w:hint="default"/>
      </w:rPr>
    </w:lvl>
  </w:abstractNum>
  <w:abstractNum w:abstractNumId="14">
    <w:lvl w:ilvl="0">
      <w:start w:val="1"/>
      <w:numFmt w:val="decimal"/>
      <w:lvlText w:val="%1)"/>
      <w:lvlJc w:val="left"/>
      <w:pPr>
        <w:tabs>
          <w:tab w:val="num" w:pos="0"/>
        </w:tabs>
        <w:ind w:left="1712" w:hanging="360"/>
      </w:pPr>
      <w:rPr/>
    </w:lvl>
    <w:lvl w:ilvl="1">
      <w:start w:val="1"/>
      <w:numFmt w:val="lowerLetter"/>
      <w:lvlText w:val="%2."/>
      <w:lvlJc w:val="left"/>
      <w:pPr>
        <w:tabs>
          <w:tab w:val="num" w:pos="0"/>
        </w:tabs>
        <w:ind w:left="2432" w:hanging="360"/>
      </w:pPr>
      <w:rPr/>
    </w:lvl>
    <w:lvl w:ilvl="2">
      <w:start w:val="1"/>
      <w:numFmt w:val="lowerRoman"/>
      <w:lvlText w:val="%3."/>
      <w:lvlJc w:val="right"/>
      <w:pPr>
        <w:tabs>
          <w:tab w:val="num" w:pos="0"/>
        </w:tabs>
        <w:ind w:left="3152" w:hanging="180"/>
      </w:pPr>
      <w:rPr/>
    </w:lvl>
    <w:lvl w:ilvl="3">
      <w:start w:val="1"/>
      <w:numFmt w:val="decimal"/>
      <w:lvlText w:val="%4."/>
      <w:lvlJc w:val="left"/>
      <w:pPr>
        <w:tabs>
          <w:tab w:val="num" w:pos="0"/>
        </w:tabs>
        <w:ind w:left="3872" w:hanging="360"/>
      </w:pPr>
      <w:rPr/>
    </w:lvl>
    <w:lvl w:ilvl="4">
      <w:start w:val="1"/>
      <w:numFmt w:val="lowerLetter"/>
      <w:lvlText w:val="%5."/>
      <w:lvlJc w:val="left"/>
      <w:pPr>
        <w:tabs>
          <w:tab w:val="num" w:pos="0"/>
        </w:tabs>
        <w:ind w:left="4592" w:hanging="360"/>
      </w:pPr>
      <w:rPr/>
    </w:lvl>
    <w:lvl w:ilvl="5">
      <w:start w:val="1"/>
      <w:numFmt w:val="lowerRoman"/>
      <w:lvlText w:val="%6."/>
      <w:lvlJc w:val="right"/>
      <w:pPr>
        <w:tabs>
          <w:tab w:val="num" w:pos="0"/>
        </w:tabs>
        <w:ind w:left="5312" w:hanging="180"/>
      </w:pPr>
      <w:rPr/>
    </w:lvl>
    <w:lvl w:ilvl="6">
      <w:start w:val="1"/>
      <w:numFmt w:val="decimal"/>
      <w:lvlText w:val="%7."/>
      <w:lvlJc w:val="left"/>
      <w:pPr>
        <w:tabs>
          <w:tab w:val="num" w:pos="0"/>
        </w:tabs>
        <w:ind w:left="6032" w:hanging="360"/>
      </w:pPr>
      <w:rPr/>
    </w:lvl>
    <w:lvl w:ilvl="7">
      <w:start w:val="1"/>
      <w:numFmt w:val="lowerLetter"/>
      <w:lvlText w:val="%8."/>
      <w:lvlJc w:val="left"/>
      <w:pPr>
        <w:tabs>
          <w:tab w:val="num" w:pos="0"/>
        </w:tabs>
        <w:ind w:left="6752" w:hanging="360"/>
      </w:pPr>
      <w:rPr/>
    </w:lvl>
    <w:lvl w:ilvl="8">
      <w:start w:val="1"/>
      <w:numFmt w:val="lowerRoman"/>
      <w:lvlText w:val="%9."/>
      <w:lvlJc w:val="right"/>
      <w:pPr>
        <w:tabs>
          <w:tab w:val="num" w:pos="0"/>
        </w:tabs>
        <w:ind w:left="7472" w:hanging="180"/>
      </w:pPr>
      <w:rPr/>
    </w:lvl>
  </w:abstractNum>
  <w:abstractNum w:abstractNumId="1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decimal"/>
      <w:lvlText w:val="%1."/>
      <w:lvlJc w:val="left"/>
      <w:pPr>
        <w:tabs>
          <w:tab w:val="num" w:pos="0"/>
        </w:tabs>
        <w:ind w:left="360" w:hanging="360"/>
      </w:pPr>
      <w:rPr/>
    </w:lvl>
    <w:lvl w:ilvl="1">
      <w:start w:val="1"/>
      <w:numFmt w:val="decimal"/>
      <w:lvlText w:val="%1.%2."/>
      <w:lvlJc w:val="left"/>
      <w:pPr>
        <w:tabs>
          <w:tab w:val="num" w:pos="0"/>
        </w:tabs>
        <w:ind w:left="1000"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1800" w:hanging="360"/>
      </w:pPr>
      <w:rPr/>
    </w:lvl>
    <w:lvl w:ilvl="1">
      <w:start w:val="1"/>
      <w:numFmt w:val="lowerLetter"/>
      <w:lvlText w:val="%2."/>
      <w:lvlJc w:val="left"/>
      <w:pPr>
        <w:tabs>
          <w:tab w:val="num" w:pos="0"/>
        </w:tabs>
        <w:ind w:left="2432" w:hanging="360"/>
      </w:pPr>
      <w:rPr/>
    </w:lvl>
    <w:lvl w:ilvl="2">
      <w:start w:val="1"/>
      <w:numFmt w:val="lowerRoman"/>
      <w:lvlText w:val="%3."/>
      <w:lvlJc w:val="right"/>
      <w:pPr>
        <w:tabs>
          <w:tab w:val="num" w:pos="0"/>
        </w:tabs>
        <w:ind w:left="3152" w:hanging="180"/>
      </w:pPr>
      <w:rPr/>
    </w:lvl>
    <w:lvl w:ilvl="3">
      <w:start w:val="1"/>
      <w:numFmt w:val="decimal"/>
      <w:lvlText w:val="%4."/>
      <w:lvlJc w:val="left"/>
      <w:pPr>
        <w:tabs>
          <w:tab w:val="num" w:pos="0"/>
        </w:tabs>
        <w:ind w:left="3872" w:hanging="360"/>
      </w:pPr>
      <w:rPr/>
    </w:lvl>
    <w:lvl w:ilvl="4">
      <w:start w:val="1"/>
      <w:numFmt w:val="lowerLetter"/>
      <w:lvlText w:val="%5."/>
      <w:lvlJc w:val="left"/>
      <w:pPr>
        <w:tabs>
          <w:tab w:val="num" w:pos="0"/>
        </w:tabs>
        <w:ind w:left="4592" w:hanging="360"/>
      </w:pPr>
      <w:rPr/>
    </w:lvl>
    <w:lvl w:ilvl="5">
      <w:start w:val="1"/>
      <w:numFmt w:val="lowerRoman"/>
      <w:lvlText w:val="%6."/>
      <w:lvlJc w:val="right"/>
      <w:pPr>
        <w:tabs>
          <w:tab w:val="num" w:pos="0"/>
        </w:tabs>
        <w:ind w:left="5312" w:hanging="180"/>
      </w:pPr>
      <w:rPr/>
    </w:lvl>
    <w:lvl w:ilvl="6">
      <w:start w:val="1"/>
      <w:numFmt w:val="decimal"/>
      <w:lvlText w:val="%7."/>
      <w:lvlJc w:val="left"/>
      <w:pPr>
        <w:tabs>
          <w:tab w:val="num" w:pos="0"/>
        </w:tabs>
        <w:ind w:left="6032" w:hanging="360"/>
      </w:pPr>
      <w:rPr/>
    </w:lvl>
    <w:lvl w:ilvl="7">
      <w:start w:val="1"/>
      <w:numFmt w:val="lowerLetter"/>
      <w:lvlText w:val="%8."/>
      <w:lvlJc w:val="left"/>
      <w:pPr>
        <w:tabs>
          <w:tab w:val="num" w:pos="0"/>
        </w:tabs>
        <w:ind w:left="6752" w:hanging="360"/>
      </w:pPr>
      <w:rPr/>
    </w:lvl>
    <w:lvl w:ilvl="8">
      <w:start w:val="1"/>
      <w:numFmt w:val="lowerRoman"/>
      <w:lvlText w:val="%9."/>
      <w:lvlJc w:val="right"/>
      <w:pPr>
        <w:tabs>
          <w:tab w:val="num" w:pos="0"/>
        </w:tabs>
        <w:ind w:left="7472" w:hanging="180"/>
      </w:pPr>
      <w:rPr/>
    </w:lvl>
  </w:abstractNum>
  <w:abstractNum w:abstractNumId="19">
    <w:lvl w:ilvl="0">
      <w:start w:val="1"/>
      <w:numFmt w:val="decimal"/>
      <w:lvlText w:val="%1)"/>
      <w:lvlJc w:val="left"/>
      <w:pPr>
        <w:tabs>
          <w:tab w:val="num" w:pos="0"/>
        </w:tabs>
        <w:ind w:left="0" w:hanging="0"/>
      </w:pPr>
      <w:rPr>
        <w:rFonts w:cs="Times New Roman"/>
      </w:rPr>
    </w:lvl>
    <w:lvl w:ilvl="1">
      <w:start w:val="1"/>
      <w:numFmt w:val="lowerLetter"/>
      <w:lvlText w:val="%2."/>
      <w:lvlJc w:val="left"/>
      <w:pPr>
        <w:tabs>
          <w:tab w:val="num" w:pos="0"/>
        </w:tabs>
        <w:ind w:left="0" w:hanging="0"/>
      </w:pPr>
      <w:rPr>
        <w:rFonts w:cs="Times New Roman"/>
      </w:rPr>
    </w:lvl>
    <w:lvl w:ilvl="2">
      <w:start w:val="1"/>
      <w:numFmt w:val="lowerRoman"/>
      <w:lvlText w:val="%3."/>
      <w:lvlJc w:val="right"/>
      <w:pPr>
        <w:tabs>
          <w:tab w:val="num" w:pos="0"/>
        </w:tabs>
        <w:ind w:left="0" w:hanging="0"/>
      </w:pPr>
      <w:rPr>
        <w:rFonts w:cs="Times New Roman"/>
      </w:rPr>
    </w:lvl>
    <w:lvl w:ilvl="3">
      <w:start w:val="1"/>
      <w:numFmt w:val="decimal"/>
      <w:lvlText w:val="%4."/>
      <w:lvlJc w:val="left"/>
      <w:pPr>
        <w:tabs>
          <w:tab w:val="num" w:pos="0"/>
        </w:tabs>
        <w:ind w:left="0" w:hanging="0"/>
      </w:pPr>
      <w:rPr>
        <w:rFonts w:cs="Times New Roman"/>
      </w:rPr>
    </w:lvl>
    <w:lvl w:ilvl="4">
      <w:start w:val="1"/>
      <w:numFmt w:val="lowerLetter"/>
      <w:lvlText w:val="%5."/>
      <w:lvlJc w:val="left"/>
      <w:pPr>
        <w:tabs>
          <w:tab w:val="num" w:pos="0"/>
        </w:tabs>
        <w:ind w:left="0" w:hanging="0"/>
      </w:pPr>
      <w:rPr>
        <w:rFonts w:cs="Times New Roman"/>
      </w:rPr>
    </w:lvl>
    <w:lvl w:ilvl="5">
      <w:start w:val="1"/>
      <w:numFmt w:val="lowerRoman"/>
      <w:lvlText w:val="%6."/>
      <w:lvlJc w:val="right"/>
      <w:pPr>
        <w:tabs>
          <w:tab w:val="num" w:pos="0"/>
        </w:tabs>
        <w:ind w:left="0" w:hanging="0"/>
      </w:pPr>
      <w:rPr>
        <w:rFonts w:cs="Times New Roman"/>
      </w:rPr>
    </w:lvl>
    <w:lvl w:ilvl="6">
      <w:start w:val="1"/>
      <w:numFmt w:val="decimal"/>
      <w:lvlText w:val="%7."/>
      <w:lvlJc w:val="left"/>
      <w:pPr>
        <w:tabs>
          <w:tab w:val="num" w:pos="0"/>
        </w:tabs>
        <w:ind w:left="0" w:hanging="0"/>
      </w:pPr>
      <w:rPr>
        <w:rFonts w:cs="Times New Roman"/>
      </w:rPr>
    </w:lvl>
    <w:lvl w:ilvl="7">
      <w:start w:val="1"/>
      <w:numFmt w:val="lowerLetter"/>
      <w:lvlText w:val="%8."/>
      <w:lvlJc w:val="left"/>
      <w:pPr>
        <w:tabs>
          <w:tab w:val="num" w:pos="0"/>
        </w:tabs>
        <w:ind w:left="0" w:hanging="0"/>
      </w:pPr>
      <w:rPr>
        <w:rFonts w:cs="Times New Roman"/>
      </w:rPr>
    </w:lvl>
    <w:lvl w:ilvl="8">
      <w:start w:val="1"/>
      <w:numFmt w:val="lowerRoman"/>
      <w:lvlText w:val="%9."/>
      <w:lvlJc w:val="right"/>
      <w:pPr>
        <w:tabs>
          <w:tab w:val="num" w:pos="0"/>
        </w:tabs>
        <w:ind w:left="0" w:hanging="0"/>
      </w:pPr>
      <w:rPr>
        <w:rFonts w:cs="Times New Roman"/>
      </w:rPr>
    </w:lvl>
  </w:abstractNum>
  <w:abstractNum w:abstractNumId="20">
    <w:lvl w:ilvl="0">
      <w:start w:val="1"/>
      <w:numFmt w:val="decimal"/>
      <w:lvlText w:val="%1."/>
      <w:lvlJc w:val="left"/>
      <w:pPr>
        <w:tabs>
          <w:tab w:val="num" w:pos="0"/>
        </w:tabs>
        <w:ind w:left="0" w:hanging="0"/>
      </w:pPr>
      <w:rPr>
        <w:b w:val="false"/>
      </w:rPr>
    </w:lvl>
    <w:lvl w:ilvl="1">
      <w:start w:val="1"/>
      <w:numFmt w:val="decimal"/>
      <w:suff w:val="nothing"/>
      <w:lvlText w:val="%1.%2."/>
      <w:lvlJc w:val="left"/>
      <w:pPr>
        <w:tabs>
          <w:tab w:val="num" w:pos="0"/>
        </w:tabs>
        <w:ind w:left="0" w:hanging="0"/>
      </w:pPr>
      <w:rPr/>
    </w:lvl>
    <w:lvl w:ilvl="2">
      <w:start w:val="1"/>
      <w:numFmt w:val="decimal"/>
      <w:suff w:val="nothing"/>
      <w:lvlText w:val="%1.%2.%3."/>
      <w:lvlJc w:val="left"/>
      <w:pPr>
        <w:tabs>
          <w:tab w:val="num" w:pos="0"/>
        </w:tabs>
        <w:ind w:left="0" w:hanging="0"/>
      </w:pPr>
      <w:rPr/>
    </w:lvl>
    <w:lvl w:ilvl="3">
      <w:start w:val="1"/>
      <w:numFmt w:val="decimal"/>
      <w:lvlText w:val="%1.%2.%3.%4."/>
      <w:lvlJc w:val="left"/>
      <w:pPr>
        <w:tabs>
          <w:tab w:val="num" w:pos="0"/>
        </w:tabs>
        <w:ind w:left="0" w:hanging="0"/>
      </w:pPr>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1">
    <w:lvl w:ilvl="0">
      <w:start w:val="1"/>
      <w:numFmt w:val="decimal"/>
      <w:suff w:val="nothing"/>
      <w:lvlText w:val="%1."/>
      <w:lvlJc w:val="left"/>
      <w:pPr>
        <w:tabs>
          <w:tab w:val="num" w:pos="0"/>
        </w:tabs>
        <w:ind w:left="0" w:hanging="0"/>
      </w:pPr>
      <w:rPr>
        <w:b w:val="false"/>
      </w:rPr>
    </w:lvl>
    <w:lvl w:ilvl="1">
      <w:start w:val="1"/>
      <w:numFmt w:val="decimal"/>
      <w:lvlText w:val="%1.%2."/>
      <w:lvlJc w:val="left"/>
      <w:pPr>
        <w:tabs>
          <w:tab w:val="num" w:pos="0"/>
        </w:tabs>
        <w:ind w:left="0" w:hanging="0"/>
      </w:pPr>
      <w:rPr/>
    </w:lvl>
    <w:lvl w:ilvl="2">
      <w:start w:val="1"/>
      <w:numFmt w:val="decimal"/>
      <w:suff w:val="nothing"/>
      <w:lvlText w:val="%1.%2.%3."/>
      <w:lvlJc w:val="left"/>
      <w:pPr>
        <w:tabs>
          <w:tab w:val="num" w:pos="0"/>
        </w:tabs>
        <w:ind w:left="0" w:hanging="0"/>
      </w:pPr>
      <w:rPr/>
    </w:lvl>
    <w:lvl w:ilvl="3">
      <w:start w:val="1"/>
      <w:numFmt w:val="decimal"/>
      <w:lvlText w:val="%1.%2.%3.%4."/>
      <w:lvlJc w:val="left"/>
      <w:pPr>
        <w:tabs>
          <w:tab w:val="num" w:pos="0"/>
        </w:tabs>
        <w:ind w:left="0" w:hanging="0"/>
      </w:pPr>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2">
    <w:lvl w:ilvl="0">
      <w:start w:val="1"/>
      <w:numFmt w:val="decimal"/>
      <w:lvlText w:val="%1."/>
      <w:lvlJc w:val="left"/>
      <w:pPr>
        <w:tabs>
          <w:tab w:val="num" w:pos="0"/>
        </w:tabs>
        <w:ind w:left="360" w:hanging="360"/>
      </w:pPr>
      <w:rPr>
        <w:b w:val="false"/>
      </w:rPr>
    </w:lvl>
    <w:lvl w:ilvl="1">
      <w:start w:val="1"/>
      <w:numFmt w:val="decimal"/>
      <w:suff w:val="nothing"/>
      <w:lvlText w:val="%1.%2."/>
      <w:lvlJc w:val="left"/>
      <w:pPr>
        <w:tabs>
          <w:tab w:val="num" w:pos="0"/>
        </w:tabs>
        <w:ind w:left="0" w:hanging="0"/>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712" w:hanging="360"/>
      </w:pPr>
      <w:rPr/>
    </w:lvl>
    <w:lvl w:ilvl="1">
      <w:start w:val="1"/>
      <w:numFmt w:val="lowerLetter"/>
      <w:lvlText w:val="%2."/>
      <w:lvlJc w:val="left"/>
      <w:pPr>
        <w:tabs>
          <w:tab w:val="num" w:pos="0"/>
        </w:tabs>
        <w:ind w:left="2432" w:hanging="360"/>
      </w:pPr>
      <w:rPr/>
    </w:lvl>
    <w:lvl w:ilvl="2">
      <w:start w:val="1"/>
      <w:numFmt w:val="lowerRoman"/>
      <w:lvlText w:val="%3."/>
      <w:lvlJc w:val="right"/>
      <w:pPr>
        <w:tabs>
          <w:tab w:val="num" w:pos="0"/>
        </w:tabs>
        <w:ind w:left="3152" w:hanging="180"/>
      </w:pPr>
      <w:rPr/>
    </w:lvl>
    <w:lvl w:ilvl="3">
      <w:start w:val="1"/>
      <w:numFmt w:val="decimal"/>
      <w:lvlText w:val="%4."/>
      <w:lvlJc w:val="left"/>
      <w:pPr>
        <w:tabs>
          <w:tab w:val="num" w:pos="0"/>
        </w:tabs>
        <w:ind w:left="3872" w:hanging="360"/>
      </w:pPr>
      <w:rPr/>
    </w:lvl>
    <w:lvl w:ilvl="4">
      <w:start w:val="1"/>
      <w:numFmt w:val="lowerLetter"/>
      <w:lvlText w:val="%5."/>
      <w:lvlJc w:val="left"/>
      <w:pPr>
        <w:tabs>
          <w:tab w:val="num" w:pos="0"/>
        </w:tabs>
        <w:ind w:left="4592" w:hanging="360"/>
      </w:pPr>
      <w:rPr/>
    </w:lvl>
    <w:lvl w:ilvl="5">
      <w:start w:val="1"/>
      <w:numFmt w:val="lowerRoman"/>
      <w:lvlText w:val="%6."/>
      <w:lvlJc w:val="right"/>
      <w:pPr>
        <w:tabs>
          <w:tab w:val="num" w:pos="0"/>
        </w:tabs>
        <w:ind w:left="5312" w:hanging="180"/>
      </w:pPr>
      <w:rPr/>
    </w:lvl>
    <w:lvl w:ilvl="6">
      <w:start w:val="1"/>
      <w:numFmt w:val="decimal"/>
      <w:lvlText w:val="%7."/>
      <w:lvlJc w:val="left"/>
      <w:pPr>
        <w:tabs>
          <w:tab w:val="num" w:pos="0"/>
        </w:tabs>
        <w:ind w:left="6032" w:hanging="360"/>
      </w:pPr>
      <w:rPr/>
    </w:lvl>
    <w:lvl w:ilvl="7">
      <w:start w:val="1"/>
      <w:numFmt w:val="lowerLetter"/>
      <w:lvlText w:val="%8."/>
      <w:lvlJc w:val="left"/>
      <w:pPr>
        <w:tabs>
          <w:tab w:val="num" w:pos="0"/>
        </w:tabs>
        <w:ind w:left="6752" w:hanging="360"/>
      </w:pPr>
      <w:rPr/>
    </w:lvl>
    <w:lvl w:ilvl="8">
      <w:start w:val="1"/>
      <w:numFmt w:val="lowerRoman"/>
      <w:lvlText w:val="%9."/>
      <w:lvlJc w:val="right"/>
      <w:pPr>
        <w:tabs>
          <w:tab w:val="num" w:pos="0"/>
        </w:tabs>
        <w:ind w:left="7472" w:hanging="180"/>
      </w:pPr>
      <w:rPr/>
    </w:lvl>
  </w:abstractNum>
  <w:abstractNum w:abstractNumId="25">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1.%2.%3.%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6">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7">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8">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29">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russianLower"/>
      <w:lvlText w:val="%3)"/>
      <w:lvlJc w:val="left"/>
      <w:pPr>
        <w:tabs>
          <w:tab w:val="num" w:pos="0"/>
        </w:tabs>
        <w:ind w:left="0" w:hanging="0"/>
      </w:pPr>
      <w:rPr>
        <w:sz w:val="24"/>
        <w:szCs w:val="24"/>
      </w:rPr>
    </w:lvl>
    <w:lvl w:ilvl="3">
      <w:start w:val="1"/>
      <w:numFmt w:val="decimal"/>
      <w:lvlText w:val="%1.%2.%3.%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0">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1">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2">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3">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4">
    <w:lvl w:ilvl="0">
      <w:start w:val="1"/>
      <w:numFmt w:val="decimal"/>
      <w:suff w:val="space"/>
      <w:lvlText w:val="%1."/>
      <w:lvlJc w:val="left"/>
      <w:pPr>
        <w:tabs>
          <w:tab w:val="num" w:pos="0"/>
        </w:tabs>
        <w:ind w:left="0" w:hanging="0"/>
      </w:pPr>
      <w:rPr>
        <w:sz w:val="24"/>
        <w:b w:val="false"/>
        <w:szCs w:val="24"/>
      </w:rPr>
    </w:lvl>
    <w:lvl w:ilvl="1">
      <w:start w:val="1"/>
      <w:numFmt w:val="decimal"/>
      <w:suff w:val="space"/>
      <w:lvlText w:val="%1.%2."/>
      <w:lvlJc w:val="left"/>
      <w:pPr>
        <w:tabs>
          <w:tab w:val="num" w:pos="0"/>
        </w:tabs>
        <w:ind w:left="0" w:hanging="0"/>
      </w:pPr>
      <w:rPr>
        <w:sz w:val="24"/>
        <w:b w:val="false"/>
        <w:szCs w:val="20"/>
      </w:rPr>
    </w:lvl>
    <w:lvl w:ilvl="2">
      <w:start w:val="1"/>
      <w:numFmt w:val="decimal"/>
      <w:lvlText w:val="%1.%2.%3."/>
      <w:lvlJc w:val="left"/>
      <w:pPr>
        <w:tabs>
          <w:tab w:val="num" w:pos="141"/>
        </w:tabs>
        <w:ind w:left="0" w:hanging="0"/>
      </w:pPr>
      <w:rPr>
        <w:sz w:val="24"/>
        <w:b w:val="false"/>
        <w:szCs w:val="24"/>
      </w:rPr>
    </w:lvl>
    <w:lvl w:ilvl="3">
      <w:start w:val="1"/>
      <w:numFmt w:val="russianLower"/>
      <w:lvlText w:val="%4)"/>
      <w:lvlJc w:val="left"/>
      <w:pPr>
        <w:tabs>
          <w:tab w:val="num" w:pos="0"/>
        </w:tabs>
        <w:ind w:left="0" w:hanging="0"/>
      </w:pPr>
      <w:rPr>
        <w:sz w:val="24"/>
        <w:b w:val="false"/>
        <w:szCs w:val="24"/>
      </w:rPr>
    </w:lvl>
    <w:lvl w:ilvl="4">
      <w:start w:val="1"/>
      <w:numFmt w:val="decimal"/>
      <w:lvlText w:val="%1.%2.%3.%4.%5."/>
      <w:lvlJc w:val="left"/>
      <w:pPr>
        <w:tabs>
          <w:tab w:val="num" w:pos="0"/>
        </w:tabs>
        <w:ind w:left="0" w:hanging="0"/>
      </w:pPr>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5">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0"/>
        </w:tabs>
        <w:ind w:left="0" w:hanging="0"/>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6">
    <w:lvl w:ilvl="0">
      <w:start w:val="1"/>
      <w:numFmt w:val="decimal"/>
      <w:suff w:val="nothing"/>
      <w:lvlText w:val="%1."/>
      <w:lvlJc w:val="left"/>
      <w:pPr>
        <w:tabs>
          <w:tab w:val="num" w:pos="0"/>
        </w:tabs>
        <w:ind w:left="0" w:hanging="0"/>
      </w:pPr>
      <w:rPr>
        <w:sz w:val="24"/>
        <w:b/>
        <w:szCs w:val="24"/>
        <w:bCs w:val="false"/>
      </w:rPr>
    </w:lvl>
    <w:lvl w:ilvl="1">
      <w:start w:val="1"/>
      <w:numFmt w:val="decimal"/>
      <w:suff w:val="nothing"/>
      <w:lvlText w:val="%1.%2."/>
      <w:lvlJc w:val="left"/>
      <w:pPr>
        <w:tabs>
          <w:tab w:val="num" w:pos="0"/>
        </w:tabs>
        <w:ind w:left="0" w:hanging="0"/>
      </w:pPr>
      <w:rPr>
        <w:sz w:val="24"/>
        <w:b w:val="false"/>
        <w:szCs w:val="24"/>
        <w:bCs/>
      </w:rPr>
    </w:lvl>
    <w:lvl w:ilvl="2">
      <w:start w:val="1"/>
      <w:numFmt w:val="decimal"/>
      <w:suff w:val="nothing"/>
      <w:lvlText w:val="%1.%2.%3."/>
      <w:lvlJc w:val="left"/>
      <w:pPr>
        <w:tabs>
          <w:tab w:val="num" w:pos="0"/>
        </w:tabs>
        <w:ind w:left="0" w:hanging="0"/>
      </w:pPr>
      <w:rPr>
        <w:sz w:val="24"/>
        <w:szCs w:val="24"/>
      </w:rPr>
    </w:lvl>
    <w:lvl w:ilvl="3">
      <w:start w:val="1"/>
      <w:numFmt w:val="decimal"/>
      <w:lvlText w:val="%1.%2.%3.%4."/>
      <w:lvlJc w:val="left"/>
      <w:pPr>
        <w:tabs>
          <w:tab w:val="num" w:pos="0"/>
        </w:tabs>
        <w:ind w:left="284" w:hanging="0"/>
      </w:pPr>
      <w:rPr>
        <w:sz w:val="24"/>
        <w:szCs w:val="24"/>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7">
    <w:lvl w:ilvl="0">
      <w:start w:val="1"/>
      <w:numFmt w:val="decimal"/>
      <w:lvlText w:val="%1."/>
      <w:lvlJc w:val="left"/>
      <w:pPr>
        <w:tabs>
          <w:tab w:val="num" w:pos="0"/>
        </w:tabs>
        <w:ind w:left="0" w:hanging="0"/>
      </w:pPr>
      <w:rPr>
        <w:sz w:val="24"/>
        <w:b/>
        <w:szCs w:val="24"/>
        <w:bCs w:val="false"/>
      </w:rPr>
    </w:lvl>
    <w:lvl w:ilvl="1">
      <w:start w:val="1"/>
      <w:numFmt w:val="decimal"/>
      <w:lvlText w:val="%1.%2."/>
      <w:lvlJc w:val="left"/>
      <w:pPr>
        <w:tabs>
          <w:tab w:val="num" w:pos="0"/>
        </w:tabs>
        <w:ind w:left="0" w:hanging="0"/>
      </w:pPr>
      <w:rPr>
        <w:sz w:val="24"/>
        <w:b w:val="false"/>
        <w:szCs w:val="24"/>
        <w:bCs/>
      </w:rPr>
    </w:lvl>
    <w:lvl w:ilvl="2">
      <w:start w:val="1"/>
      <w:numFmt w:val="decimal"/>
      <w:lvlText w:val="%1.%2.%3."/>
      <w:lvlJc w:val="left"/>
      <w:pPr>
        <w:tabs>
          <w:tab w:val="num" w:pos="0"/>
        </w:tabs>
        <w:ind w:left="0" w:hanging="0"/>
      </w:pPr>
      <w:rPr>
        <w:sz w:val="24"/>
        <w:szCs w:val="24"/>
        <w:rFonts w:ascii="Times New Roman" w:hAnsi="Times New Roman" w:cs="Times New Roman"/>
      </w:rPr>
    </w:lvl>
    <w:lvl w:ilvl="3">
      <w:start w:val="1"/>
      <w:numFmt w:val="decimal"/>
      <w:lvlText w:val="%4)"/>
      <w:lvlJc w:val="left"/>
      <w:pPr>
        <w:tabs>
          <w:tab w:val="num" w:pos="851"/>
        </w:tabs>
        <w:ind w:left="0" w:firstLine="851"/>
      </w:pPr>
      <w:rPr>
        <w:sz w:val="24"/>
        <w:b w:val="false"/>
        <w:szCs w:val="24"/>
        <w:rFonts w:ascii="Times New Roman" w:hAnsi="Times New Roman" w:cs="Times New Roman"/>
      </w:rPr>
    </w:lvl>
    <w:lvl w:ilvl="4">
      <w:start w:val="1"/>
      <w:numFmt w:val="decimal"/>
      <w:lvlText w:val="%1.%2.%3.%4.%5."/>
      <w:lvlJc w:val="left"/>
      <w:pPr>
        <w:tabs>
          <w:tab w:val="num" w:pos="0"/>
        </w:tabs>
        <w:ind w:left="0" w:hanging="0"/>
      </w:pPr>
      <w:rPr>
        <w:sz w:val="24"/>
        <w:szCs w:val="24"/>
      </w:rPr>
    </w:lvl>
    <w:lvl w:ilvl="5">
      <w:start w:val="1"/>
      <w:numFmt w:val="decimal"/>
      <w:lvlText w:val="%1.%2.%3.%4.%5.%6."/>
      <w:lvlJc w:val="left"/>
      <w:pPr>
        <w:tabs>
          <w:tab w:val="num" w:pos="0"/>
        </w:tabs>
        <w:ind w:left="0" w:hanging="0"/>
      </w:pPr>
      <w:rPr/>
    </w:lvl>
    <w:lvl w:ilvl="6">
      <w:start w:val="1"/>
      <w:numFmt w:val="decimal"/>
      <w:lvlText w:val="%1.%2.%3.%4.%5.%6.%7."/>
      <w:lvlJc w:val="left"/>
      <w:pPr>
        <w:tabs>
          <w:tab w:val="num" w:pos="0"/>
        </w:tabs>
        <w:ind w:left="0" w:hanging="0"/>
      </w:pPr>
      <w:rPr/>
    </w:lvl>
    <w:lvl w:ilvl="7">
      <w:start w:val="1"/>
      <w:numFmt w:val="decimal"/>
      <w:lvlText w:val="%1.%2.%3.%4.%5.%6.%7.%8."/>
      <w:lvlJc w:val="left"/>
      <w:pPr>
        <w:tabs>
          <w:tab w:val="num" w:pos="0"/>
        </w:tabs>
        <w:ind w:left="0" w:hanging="0"/>
      </w:pPr>
      <w:rPr/>
    </w:lvl>
    <w:lvl w:ilvl="8">
      <w:start w:val="1"/>
      <w:numFmt w:val="decimal"/>
      <w:lvlText w:val="%1.%2.%3.%4.%5.%6.%7.%8.%9."/>
      <w:lvlJc w:val="left"/>
      <w:pPr>
        <w:tabs>
          <w:tab w:val="num" w:pos="0"/>
        </w:tabs>
        <w:ind w:left="0" w:hanging="0"/>
      </w:pPr>
      <w:rPr/>
    </w:lvl>
  </w:abstractNum>
  <w:abstractNum w:abstractNumId="38">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39">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0">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3)"/>
      <w:lvlJc w:val="left"/>
      <w:pPr>
        <w:tabs>
          <w:tab w:val="num" w:pos="0"/>
        </w:tabs>
        <w:ind w:left="1224" w:hanging="504"/>
      </w:pPr>
      <w:rPr>
        <w:sz w:val="20"/>
        <w:szCs w:val="20"/>
      </w:rPr>
    </w:lvl>
    <w:lvl w:ilvl="3">
      <w:start w:val="1"/>
      <w:numFmt w:val="decimal"/>
      <w:lvlText w:val="%4)"/>
      <w:lvlJc w:val="left"/>
      <w:pPr>
        <w:tabs>
          <w:tab w:val="num" w:pos="0"/>
        </w:tabs>
        <w:ind w:left="1728" w:hanging="648"/>
      </w:pPr>
      <w:rPr>
        <w:sz w:val="20"/>
        <w:i w:val="false"/>
        <w:b w:val="false"/>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w="http://schemas.openxmlformats.org/wordprocessingml/2006/main">
  <w:zoom w:percent="107"/>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qFormat="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0a1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Heading3"/>
    <w:next w:val="Normal"/>
    <w:link w:val="1"/>
    <w:qFormat/>
    <w:rsid w:val="00f62e73"/>
    <w:pPr>
      <w:outlineLvl w:val="0"/>
    </w:pPr>
    <w:rPr>
      <w:sz w:val="28"/>
      <w:szCs w:val="28"/>
    </w:rPr>
  </w:style>
  <w:style w:type="paragraph" w:styleId="Heading2">
    <w:name w:val="Heading 2"/>
    <w:basedOn w:val="Heading4"/>
    <w:next w:val="Normal"/>
    <w:link w:val="2"/>
    <w:qFormat/>
    <w:rsid w:val="00f62e73"/>
    <w:pPr>
      <w:outlineLvl w:val="1"/>
    </w:pPr>
    <w:rPr/>
  </w:style>
  <w:style w:type="paragraph" w:styleId="Heading3">
    <w:name w:val="Heading 3"/>
    <w:basedOn w:val="Normal"/>
    <w:next w:val="Normal"/>
    <w:link w:val="3"/>
    <w:autoRedefine/>
    <w:qFormat/>
    <w:rsid w:val="00f62e73"/>
    <w:pPr>
      <w:keepNext w:val="true"/>
      <w:tabs>
        <w:tab w:val="clear" w:pos="708"/>
        <w:tab w:val="left" w:pos="0" w:leader="none"/>
      </w:tabs>
      <w:spacing w:lineRule="auto" w:line="240" w:before="120" w:after="60"/>
      <w:ind w:hanging="504" w:left="1224"/>
      <w:outlineLvl w:val="2"/>
    </w:pPr>
    <w:rPr>
      <w:rFonts w:ascii="Times New Roman" w:hAnsi="Times New Roman" w:eastAsia="Calibri" w:cs="Times New Roman"/>
      <w:b/>
      <w:sz w:val="24"/>
      <w:szCs w:val="24"/>
      <w:lang w:val="x-none" w:eastAsia="x-none"/>
    </w:rPr>
  </w:style>
  <w:style w:type="paragraph" w:styleId="Heading4">
    <w:name w:val="Heading 4"/>
    <w:basedOn w:val="Heading3"/>
    <w:next w:val="Normal"/>
    <w:link w:val="4"/>
    <w:qFormat/>
    <w:rsid w:val="00f62e73"/>
    <w:pPr>
      <w:outlineLvl w:val="3"/>
    </w:pPr>
    <w:rPr>
      <w:bCs/>
    </w:rPr>
  </w:style>
  <w:style w:type="paragraph" w:styleId="Heading5">
    <w:name w:val="Heading 5"/>
    <w:basedOn w:val="Normal"/>
    <w:next w:val="Normal"/>
    <w:link w:val="5"/>
    <w:uiPriority w:val="9"/>
    <w:qFormat/>
    <w:rsid w:val="00f62e73"/>
    <w:pPr>
      <w:spacing w:lineRule="auto" w:line="240" w:before="240" w:after="60"/>
      <w:outlineLvl w:val="4"/>
    </w:pPr>
    <w:rPr>
      <w:rFonts w:ascii="Times New Roman" w:hAnsi="Times New Roman" w:eastAsia="Times New Roman" w:cs="Times New Roman"/>
      <w:b/>
      <w:bCs/>
      <w:i/>
      <w:iCs/>
      <w:sz w:val="26"/>
      <w:szCs w:val="26"/>
      <w:lang w:val="x-none" w:eastAsia="x-none"/>
    </w:rPr>
  </w:style>
  <w:style w:type="paragraph" w:styleId="Heading6">
    <w:name w:val="Heading 6"/>
    <w:basedOn w:val="Normal"/>
    <w:next w:val="Normal"/>
    <w:link w:val="6"/>
    <w:uiPriority w:val="9"/>
    <w:qFormat/>
    <w:rsid w:val="00f62e73"/>
    <w:pPr>
      <w:keepNext w:val="true"/>
      <w:keepLines/>
      <w:spacing w:lineRule="auto" w:line="240" w:before="200" w:after="0"/>
      <w:outlineLvl w:val="5"/>
    </w:pPr>
    <w:rPr>
      <w:rFonts w:ascii="Cambria" w:hAnsi="Cambria" w:eastAsia="Times New Roman" w:cs="Times New Roman"/>
      <w:i/>
      <w:iCs/>
      <w:color w:val="243F60"/>
      <w:sz w:val="20"/>
      <w:szCs w:val="20"/>
      <w:lang w:val="x-none" w:eastAsia="x-none"/>
    </w:rPr>
  </w:style>
  <w:style w:type="paragraph" w:styleId="Heading7">
    <w:name w:val="Heading 7"/>
    <w:basedOn w:val="Normal"/>
    <w:next w:val="Normal"/>
    <w:link w:val="7"/>
    <w:uiPriority w:val="9"/>
    <w:qFormat/>
    <w:rsid w:val="00f62e73"/>
    <w:pPr>
      <w:keepNext w:val="true"/>
      <w:keepLines/>
      <w:spacing w:lineRule="auto" w:line="240" w:before="200" w:after="0"/>
      <w:outlineLvl w:val="6"/>
    </w:pPr>
    <w:rPr>
      <w:rFonts w:ascii="Cambria" w:hAnsi="Cambria" w:eastAsia="Times New Roman" w:cs="Times New Roman"/>
      <w:i/>
      <w:iCs/>
      <w:color w:val="404040"/>
      <w:sz w:val="20"/>
      <w:szCs w:val="20"/>
      <w:lang w:val="x-none" w:eastAsia="x-none"/>
    </w:rPr>
  </w:style>
  <w:style w:type="paragraph" w:styleId="Heading8">
    <w:name w:val="Heading 8"/>
    <w:basedOn w:val="Normal"/>
    <w:next w:val="Normal"/>
    <w:link w:val="8"/>
    <w:uiPriority w:val="9"/>
    <w:qFormat/>
    <w:rsid w:val="00f62e73"/>
    <w:pPr>
      <w:keepNext w:val="true"/>
      <w:keepLines/>
      <w:spacing w:lineRule="auto" w:line="240" w:before="200" w:after="0"/>
      <w:outlineLvl w:val="7"/>
    </w:pPr>
    <w:rPr>
      <w:rFonts w:ascii="Cambria" w:hAnsi="Cambria" w:eastAsia="Times New Roman" w:cs="Times New Roman"/>
      <w:color w:val="4F81BD"/>
      <w:sz w:val="20"/>
      <w:szCs w:val="20"/>
      <w:lang w:val="x-none" w:eastAsia="x-none"/>
    </w:rPr>
  </w:style>
  <w:style w:type="paragraph" w:styleId="Heading9">
    <w:name w:val="Heading 9"/>
    <w:basedOn w:val="Normal"/>
    <w:next w:val="Normal"/>
    <w:link w:val="9"/>
    <w:uiPriority w:val="9"/>
    <w:qFormat/>
    <w:rsid w:val="00f62e73"/>
    <w:pPr>
      <w:spacing w:lineRule="auto" w:line="240" w:before="240" w:after="60"/>
      <w:outlineLvl w:val="8"/>
    </w:pPr>
    <w:rPr>
      <w:rFonts w:ascii="Arial" w:hAnsi="Arial" w:eastAsia="Times New Roman" w:cs="Times New Roman"/>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f62e73"/>
    <w:rPr>
      <w:rFonts w:ascii="Times New Roman" w:hAnsi="Times New Roman" w:eastAsia="Calibri" w:cs="Times New Roman"/>
      <w:b/>
      <w:sz w:val="28"/>
      <w:szCs w:val="28"/>
      <w:lang w:val="x-none" w:eastAsia="x-none"/>
    </w:rPr>
  </w:style>
  <w:style w:type="character" w:styleId="2" w:customStyle="1">
    <w:name w:val="Заголовок 2 Знак"/>
    <w:basedOn w:val="DefaultParagraphFont"/>
    <w:qFormat/>
    <w:rsid w:val="00f62e73"/>
    <w:rPr>
      <w:rFonts w:ascii="Times New Roman" w:hAnsi="Times New Roman" w:eastAsia="Calibri" w:cs="Times New Roman"/>
      <w:b/>
      <w:bCs/>
      <w:sz w:val="24"/>
      <w:szCs w:val="24"/>
      <w:lang w:val="x-none" w:eastAsia="x-none"/>
    </w:rPr>
  </w:style>
  <w:style w:type="character" w:styleId="3" w:customStyle="1">
    <w:name w:val="Заголовок 3 Знак"/>
    <w:basedOn w:val="DefaultParagraphFont"/>
    <w:qFormat/>
    <w:rsid w:val="00f62e73"/>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f62e73"/>
    <w:rPr>
      <w:rFonts w:ascii="Times New Roman" w:hAnsi="Times New Roman" w:eastAsia="Calibri" w:cs="Times New Roman"/>
      <w:b/>
      <w:bCs/>
      <w:sz w:val="24"/>
      <w:szCs w:val="24"/>
      <w:lang w:val="x-none" w:eastAsia="x-none"/>
    </w:rPr>
  </w:style>
  <w:style w:type="character" w:styleId="5" w:customStyle="1">
    <w:name w:val="Заголовок 5 Знак"/>
    <w:basedOn w:val="DefaultParagraphFont"/>
    <w:uiPriority w:val="9"/>
    <w:qFormat/>
    <w:rsid w:val="00f62e73"/>
    <w:rPr>
      <w:rFonts w:ascii="Times New Roman" w:hAnsi="Times New Roman" w:eastAsia="Times New Roman" w:cs="Times New Roman"/>
      <w:b/>
      <w:bCs/>
      <w:i/>
      <w:iCs/>
      <w:sz w:val="26"/>
      <w:szCs w:val="26"/>
      <w:lang w:val="x-none" w:eastAsia="x-none"/>
    </w:rPr>
  </w:style>
  <w:style w:type="character" w:styleId="6" w:customStyle="1">
    <w:name w:val="Заголовок 6 Знак"/>
    <w:basedOn w:val="DefaultParagraphFont"/>
    <w:uiPriority w:val="9"/>
    <w:qFormat/>
    <w:rsid w:val="00f62e73"/>
    <w:rPr>
      <w:rFonts w:ascii="Cambria" w:hAnsi="Cambria" w:eastAsia="Times New Roman" w:cs="Times New Roman"/>
      <w:i/>
      <w:iCs/>
      <w:color w:val="243F60"/>
      <w:sz w:val="20"/>
      <w:szCs w:val="20"/>
      <w:lang w:val="x-none" w:eastAsia="x-none"/>
    </w:rPr>
  </w:style>
  <w:style w:type="character" w:styleId="7" w:customStyle="1">
    <w:name w:val="Заголовок 7 Знак"/>
    <w:basedOn w:val="DefaultParagraphFont"/>
    <w:uiPriority w:val="9"/>
    <w:qFormat/>
    <w:rsid w:val="00f62e73"/>
    <w:rPr>
      <w:rFonts w:ascii="Cambria" w:hAnsi="Cambria" w:eastAsia="Times New Roman" w:cs="Times New Roman"/>
      <w:i/>
      <w:iCs/>
      <w:color w:val="404040"/>
      <w:sz w:val="20"/>
      <w:szCs w:val="20"/>
      <w:lang w:val="x-none" w:eastAsia="x-none"/>
    </w:rPr>
  </w:style>
  <w:style w:type="character" w:styleId="8" w:customStyle="1">
    <w:name w:val="Заголовок 8 Знак"/>
    <w:basedOn w:val="DefaultParagraphFont"/>
    <w:uiPriority w:val="9"/>
    <w:qFormat/>
    <w:rsid w:val="00f62e73"/>
    <w:rPr>
      <w:rFonts w:ascii="Cambria" w:hAnsi="Cambria" w:eastAsia="Times New Roman" w:cs="Times New Roman"/>
      <w:color w:val="4F81BD"/>
      <w:sz w:val="20"/>
      <w:szCs w:val="20"/>
      <w:lang w:val="x-none" w:eastAsia="x-none"/>
    </w:rPr>
  </w:style>
  <w:style w:type="character" w:styleId="9" w:customStyle="1">
    <w:name w:val="Заголовок 9 Знак"/>
    <w:basedOn w:val="DefaultParagraphFont"/>
    <w:uiPriority w:val="9"/>
    <w:qFormat/>
    <w:rsid w:val="00f62e73"/>
    <w:rPr>
      <w:rFonts w:ascii="Arial" w:hAnsi="Arial" w:eastAsia="Times New Roman" w:cs="Times New Roman"/>
      <w:lang w:val="x-none" w:eastAsia="x-none"/>
    </w:rPr>
  </w:style>
  <w:style w:type="character" w:styleId="Style" w:customStyle="1">
    <w:name w:val="Текст сноски Знак"/>
    <w:basedOn w:val="DefaultParagraphFont"/>
    <w:uiPriority w:val="99"/>
    <w:qFormat/>
    <w:rsid w:val="00f62e73"/>
    <w:rPr>
      <w:rFonts w:ascii="Times New Roman" w:hAnsi="Times New Roman" w:eastAsia="Times New Roman" w:cs="Times New Roman"/>
      <w:sz w:val="20"/>
      <w:szCs w:val="20"/>
      <w:lang w:eastAsia="ru-RU"/>
    </w:rPr>
  </w:style>
  <w:style w:type="character" w:styleId="Style1" w:customStyle="1">
    <w:name w:val="Символ сноски"/>
    <w:qFormat/>
    <w:rsid w:val="00586d10"/>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f62e73"/>
    <w:rPr>
      <w:vertAlign w:val="superscript"/>
    </w:rPr>
  </w:style>
  <w:style w:type="character" w:styleId="Style2" w:customStyle="1">
    <w:name w:val="Верхний колонтитул Знак"/>
    <w:basedOn w:val="DefaultParagraphFont"/>
    <w:uiPriority w:val="99"/>
    <w:qFormat/>
    <w:rsid w:val="00f62e73"/>
    <w:rPr>
      <w:rFonts w:ascii="Times New Roman" w:hAnsi="Times New Roman" w:eastAsia="Times New Roman" w:cs="Times New Roman"/>
      <w:sz w:val="24"/>
      <w:szCs w:val="24"/>
      <w:lang w:eastAsia="ru-RU"/>
    </w:rPr>
  </w:style>
  <w:style w:type="character" w:styleId="Style3" w:customStyle="1">
    <w:name w:val="Основной текст с отступом Знак"/>
    <w:basedOn w:val="DefaultParagraphFont"/>
    <w:qFormat/>
    <w:rsid w:val="00f62e73"/>
    <w:rPr>
      <w:rFonts w:ascii="Times New Roman" w:hAnsi="Times New Roman" w:eastAsia="Times New Roman" w:cs="Times New Roman"/>
      <w:sz w:val="24"/>
      <w:szCs w:val="24"/>
      <w:lang w:eastAsia="ru-RU"/>
    </w:rPr>
  </w:style>
  <w:style w:type="character" w:styleId="Style4" w:customStyle="1">
    <w:name w:val="Нижний колонтитул Знак"/>
    <w:basedOn w:val="DefaultParagraphFont"/>
    <w:uiPriority w:val="99"/>
    <w:qFormat/>
    <w:rsid w:val="00f62e73"/>
    <w:rPr>
      <w:rFonts w:ascii="Times New Roman" w:hAnsi="Times New Roman" w:eastAsia="Times New Roman" w:cs="Times New Roman"/>
      <w:sz w:val="28"/>
      <w:szCs w:val="28"/>
      <w:lang w:eastAsia="ru-RU"/>
    </w:rPr>
  </w:style>
  <w:style w:type="character" w:styleId="Style5" w:customStyle="1">
    <w:name w:val="Основной текст Знак"/>
    <w:basedOn w:val="DefaultParagraphFont"/>
    <w:qFormat/>
    <w:rsid w:val="00f62e73"/>
    <w:rPr>
      <w:rFonts w:ascii="Times New Roman" w:hAnsi="Times New Roman" w:eastAsia="Times New Roman" w:cs="Times New Roman"/>
      <w:sz w:val="28"/>
      <w:szCs w:val="28"/>
      <w:lang w:eastAsia="ru-RU"/>
    </w:rPr>
  </w:style>
  <w:style w:type="character" w:styleId="21" w:customStyle="1">
    <w:name w:val="Основной текст с отступом 2 Знак"/>
    <w:basedOn w:val="DefaultParagraphFont"/>
    <w:link w:val="BodyTextIndent2"/>
    <w:qFormat/>
    <w:rsid w:val="00f62e73"/>
    <w:rPr>
      <w:rFonts w:ascii="Times New Roman" w:hAnsi="Times New Roman" w:eastAsia="Times New Roman" w:cs="Times New Roman"/>
      <w:sz w:val="28"/>
      <w:szCs w:val="28"/>
      <w:lang w:eastAsia="ru-RU"/>
    </w:rPr>
  </w:style>
  <w:style w:type="character" w:styleId="31" w:customStyle="1">
    <w:name w:val="Основной текст 3 Знак"/>
    <w:basedOn w:val="DefaultParagraphFont"/>
    <w:link w:val="BodyText3"/>
    <w:qFormat/>
    <w:rsid w:val="00f62e73"/>
    <w:rPr>
      <w:rFonts w:ascii="Times New Roman" w:hAnsi="Times New Roman" w:eastAsia="Times New Roman" w:cs="Times New Roman"/>
      <w:sz w:val="16"/>
      <w:szCs w:val="16"/>
      <w:lang w:eastAsia="ru-RU"/>
    </w:rPr>
  </w:style>
  <w:style w:type="character" w:styleId="32" w:customStyle="1">
    <w:name w:val="Основной текст с отступом 3 Знак"/>
    <w:basedOn w:val="DefaultParagraphFont"/>
    <w:link w:val="BodyTextIndent3"/>
    <w:qFormat/>
    <w:rsid w:val="00f62e73"/>
    <w:rPr>
      <w:rFonts w:ascii="Times New Roman" w:hAnsi="Times New Roman" w:eastAsia="Times New Roman" w:cs="Times New Roman"/>
      <w:sz w:val="16"/>
      <w:szCs w:val="16"/>
      <w:lang w:eastAsia="ru-RU"/>
    </w:rPr>
  </w:style>
  <w:style w:type="character" w:styleId="22" w:customStyle="1">
    <w:name w:val="Основной текст 2 Знак"/>
    <w:basedOn w:val="DefaultParagraphFont"/>
    <w:link w:val="BodyText2"/>
    <w:qFormat/>
    <w:rsid w:val="00f62e73"/>
    <w:rPr>
      <w:rFonts w:ascii="Times New Roman" w:hAnsi="Times New Roman" w:eastAsia="Times New Roman" w:cs="Times New Roman"/>
      <w:sz w:val="28"/>
      <w:szCs w:val="28"/>
      <w:lang w:eastAsia="ru-RU"/>
    </w:rPr>
  </w:style>
  <w:style w:type="character" w:styleId="Pagenumber">
    <w:name w:val="page number"/>
    <w:basedOn w:val="DefaultParagraphFont"/>
    <w:qFormat/>
    <w:rsid w:val="00f62e73"/>
    <w:rPr/>
  </w:style>
  <w:style w:type="character" w:styleId="Hyperlink">
    <w:name w:val="Hyperlink"/>
    <w:basedOn w:val="DefaultParagraphFont"/>
    <w:uiPriority w:val="99"/>
    <w:unhideWhenUsed/>
    <w:rsid w:val="00877c0d"/>
    <w:rPr>
      <w:color w:val="0563C1" w:themeColor="hyperlink"/>
      <w:u w:val="single"/>
    </w:rPr>
  </w:style>
  <w:style w:type="character" w:styleId="Style6" w:customStyle="1">
    <w:name w:val="Текст выноски Знак"/>
    <w:basedOn w:val="DefaultParagraphFont"/>
    <w:link w:val="BalloonText"/>
    <w:semiHidden/>
    <w:qFormat/>
    <w:rsid w:val="00f62e73"/>
    <w:rPr>
      <w:rFonts w:ascii="Tahoma" w:hAnsi="Tahoma" w:eastAsia="Times New Roman" w:cs="Tahoma"/>
      <w:sz w:val="16"/>
      <w:szCs w:val="16"/>
      <w:lang w:eastAsia="ru-RU"/>
    </w:rPr>
  </w:style>
  <w:style w:type="character" w:styleId="Annotationreference">
    <w:name w:val="annotation reference"/>
    <w:uiPriority w:val="99"/>
    <w:qFormat/>
    <w:rsid w:val="00f62e73"/>
    <w:rPr>
      <w:sz w:val="16"/>
      <w:szCs w:val="16"/>
    </w:rPr>
  </w:style>
  <w:style w:type="character" w:styleId="Style7" w:customStyle="1">
    <w:name w:val="Текст примечания Знак"/>
    <w:basedOn w:val="DefaultParagraphFont"/>
    <w:link w:val="Annotationtext"/>
    <w:uiPriority w:val="99"/>
    <w:qFormat/>
    <w:rsid w:val="00f62e73"/>
    <w:rPr>
      <w:rFonts w:ascii="Times New Roman" w:hAnsi="Times New Roman" w:eastAsia="Times New Roman" w:cs="Times New Roman"/>
      <w:sz w:val="20"/>
      <w:szCs w:val="20"/>
      <w:lang w:eastAsia="ru-RU"/>
    </w:rPr>
  </w:style>
  <w:style w:type="character" w:styleId="Style8" w:customStyle="1">
    <w:name w:val="Тема примечания Знак"/>
    <w:basedOn w:val="Style7"/>
    <w:link w:val="Annotationsubject"/>
    <w:semiHidden/>
    <w:qFormat/>
    <w:rsid w:val="00f62e73"/>
    <w:rPr>
      <w:rFonts w:ascii="Times New Roman" w:hAnsi="Times New Roman" w:eastAsia="Times New Roman" w:cs="Times New Roman"/>
      <w:b/>
      <w:bCs/>
      <w:sz w:val="20"/>
      <w:szCs w:val="20"/>
      <w:lang w:eastAsia="ru-RU"/>
    </w:rPr>
  </w:style>
  <w:style w:type="character" w:styleId="Strong1" w:customStyle="1">
    <w:name w:val="Strong1"/>
    <w:uiPriority w:val="22"/>
    <w:qFormat/>
    <w:rsid w:val="00f62e73"/>
    <w:rPr>
      <w:b/>
      <w:bCs/>
    </w:rPr>
  </w:style>
  <w:style w:type="character" w:styleId="Style9" w:customStyle="1">
    <w:name w:val="Название Знак"/>
    <w:link w:val="16"/>
    <w:uiPriority w:val="10"/>
    <w:qFormat/>
    <w:rsid w:val="00f62e73"/>
    <w:rPr>
      <w:rFonts w:ascii="Times New Roman" w:hAnsi="Times New Roman" w:eastAsia="Times New Roman" w:cs="Times New Roman"/>
      <w:sz w:val="28"/>
      <w:szCs w:val="20"/>
      <w:lang w:val="x-none" w:eastAsia="x-none"/>
    </w:rPr>
  </w:style>
  <w:style w:type="character" w:styleId="Style10" w:customStyle="1">
    <w:name w:val="Подзаголовок Знак"/>
    <w:basedOn w:val="DefaultParagraphFont"/>
    <w:uiPriority w:val="11"/>
    <w:qFormat/>
    <w:rsid w:val="00f62e73"/>
    <w:rPr>
      <w:rFonts w:ascii="Cambria" w:hAnsi="Cambria" w:eastAsia="Times New Roman" w:cs="Times New Roman"/>
      <w:i/>
      <w:iCs/>
      <w:color w:val="4F81BD"/>
      <w:spacing w:val="15"/>
      <w:sz w:val="24"/>
      <w:szCs w:val="24"/>
      <w:lang w:val="x-none" w:eastAsia="x-none"/>
    </w:rPr>
  </w:style>
  <w:style w:type="character" w:styleId="Emphasis">
    <w:name w:val="Emphasis"/>
    <w:uiPriority w:val="20"/>
    <w:qFormat/>
    <w:rsid w:val="00f62e73"/>
    <w:rPr>
      <w:i/>
      <w:iCs/>
    </w:rPr>
  </w:style>
  <w:style w:type="character" w:styleId="23" w:customStyle="1">
    <w:name w:val="Цитата 2 Знак"/>
    <w:basedOn w:val="DefaultParagraphFont"/>
    <w:link w:val="Quote"/>
    <w:uiPriority w:val="29"/>
    <w:qFormat/>
    <w:rsid w:val="00f62e73"/>
    <w:rPr>
      <w:rFonts w:ascii="Calibri" w:hAnsi="Calibri" w:eastAsia="Calibri" w:cs="Times New Roman"/>
      <w:i/>
      <w:iCs/>
      <w:color w:val="000000"/>
      <w:sz w:val="20"/>
      <w:szCs w:val="20"/>
      <w:lang w:val="x-none" w:eastAsia="x-none"/>
    </w:rPr>
  </w:style>
  <w:style w:type="character" w:styleId="Style11" w:customStyle="1">
    <w:name w:val="Выделенная цитата Знак"/>
    <w:basedOn w:val="DefaultParagraphFont"/>
    <w:link w:val="IntenseQuote"/>
    <w:uiPriority w:val="30"/>
    <w:qFormat/>
    <w:rsid w:val="00f62e73"/>
    <w:rPr>
      <w:rFonts w:ascii="Calibri" w:hAnsi="Calibri" w:eastAsia="Calibri" w:cs="Times New Roman"/>
      <w:b/>
      <w:bCs/>
      <w:i/>
      <w:iCs/>
      <w:color w:val="4F81BD"/>
      <w:sz w:val="20"/>
      <w:szCs w:val="20"/>
      <w:lang w:val="x-none" w:eastAsia="x-none"/>
    </w:rPr>
  </w:style>
  <w:style w:type="character" w:styleId="SubtleEmphasis">
    <w:name w:val="Subtle Emphasis"/>
    <w:uiPriority w:val="19"/>
    <w:qFormat/>
    <w:rsid w:val="00f62e73"/>
    <w:rPr>
      <w:i/>
      <w:iCs/>
      <w:color w:val="808080"/>
    </w:rPr>
  </w:style>
  <w:style w:type="character" w:styleId="IntenseEmphasis">
    <w:name w:val="Intense Emphasis"/>
    <w:uiPriority w:val="21"/>
    <w:qFormat/>
    <w:rsid w:val="00f62e73"/>
    <w:rPr>
      <w:b/>
      <w:bCs/>
      <w:i/>
      <w:iCs/>
      <w:color w:val="4F81BD"/>
    </w:rPr>
  </w:style>
  <w:style w:type="character" w:styleId="SubtleReference">
    <w:name w:val="Subtle Reference"/>
    <w:uiPriority w:val="31"/>
    <w:qFormat/>
    <w:rsid w:val="00f62e73"/>
    <w:rPr>
      <w:smallCaps/>
      <w:color w:val="C0504D"/>
      <w:u w:val="single"/>
    </w:rPr>
  </w:style>
  <w:style w:type="character" w:styleId="IntenseReference">
    <w:name w:val="Intense Reference"/>
    <w:uiPriority w:val="32"/>
    <w:qFormat/>
    <w:rsid w:val="00f62e73"/>
    <w:rPr>
      <w:b/>
      <w:bCs/>
      <w:smallCaps/>
      <w:color w:val="C0504D"/>
      <w:spacing w:val="5"/>
      <w:u w:val="single"/>
    </w:rPr>
  </w:style>
  <w:style w:type="character" w:styleId="BookTitle">
    <w:name w:val="Book Title"/>
    <w:uiPriority w:val="33"/>
    <w:qFormat/>
    <w:rsid w:val="00f62e73"/>
    <w:rPr>
      <w:b/>
      <w:bCs/>
      <w:smallCaps/>
      <w:spacing w:val="5"/>
    </w:rPr>
  </w:style>
  <w:style w:type="character" w:styleId="Style12" w:customStyle="1">
    <w:name w:val="Электронная подпись Знак"/>
    <w:basedOn w:val="DefaultParagraphFont"/>
    <w:link w:val="E-mailSignature"/>
    <w:uiPriority w:val="99"/>
    <w:qFormat/>
    <w:rsid w:val="00f62e73"/>
    <w:rPr>
      <w:rFonts w:ascii="Times New Roman" w:hAnsi="Times New Roman" w:eastAsia="Calibri" w:cs="Times New Roman"/>
      <w:sz w:val="24"/>
      <w:szCs w:val="24"/>
      <w:lang w:val="x-none" w:eastAsia="x-none"/>
    </w:rPr>
  </w:style>
  <w:style w:type="character" w:styleId="11" w:customStyle="1">
    <w:name w:val="Подпункт Знак1"/>
    <w:link w:val="Style25"/>
    <w:qFormat/>
    <w:locked/>
    <w:rsid w:val="00f62e73"/>
    <w:rPr>
      <w:rFonts w:ascii="Times New Roman" w:hAnsi="Times New Roman" w:eastAsia="Times New Roman" w:cs="Times New Roman"/>
      <w:sz w:val="28"/>
      <w:szCs w:val="20"/>
      <w:lang w:val="x-none" w:eastAsia="x-none"/>
    </w:rPr>
  </w:style>
  <w:style w:type="character" w:styleId="Blk" w:customStyle="1">
    <w:name w:val="blk"/>
    <w:qFormat/>
    <w:rsid w:val="00f62e73"/>
    <w:rPr/>
  </w:style>
  <w:style w:type="character" w:styleId="Style13" w:customStyle="1">
    <w:name w:val="Абзац списка Знак"/>
    <w:link w:val="ListParagraph"/>
    <w:uiPriority w:val="99"/>
    <w:qFormat/>
    <w:locked/>
    <w:rsid w:val="00f62e73"/>
    <w:rPr>
      <w:rFonts w:ascii="Times New Roman" w:hAnsi="Times New Roman" w:eastAsia="Calibri" w:cs="Times New Roman"/>
      <w:sz w:val="24"/>
      <w:szCs w:val="24"/>
      <w:lang w:eastAsia="ru-RU"/>
    </w:rPr>
  </w:style>
  <w:style w:type="character" w:styleId="Style14" w:customStyle="1">
    <w:name w:val="комментарий"/>
    <w:qFormat/>
    <w:rsid w:val="00f62e73"/>
    <w:rPr>
      <w:b/>
      <w:i/>
      <w:shd w:fill="FFFF99" w:val="clear"/>
    </w:rPr>
  </w:style>
  <w:style w:type="character" w:styleId="Style15" w:customStyle="1">
    <w:name w:val="Подподпункт Знак"/>
    <w:link w:val="Style33"/>
    <w:qFormat/>
    <w:locked/>
    <w:rsid w:val="00f62e73"/>
    <w:rPr>
      <w:rFonts w:ascii="Times New Roman" w:hAnsi="Times New Roman" w:eastAsia="Times New Roman" w:cs="Times New Roman"/>
      <w:sz w:val="26"/>
      <w:szCs w:val="26"/>
      <w:lang w:eastAsia="ru-RU"/>
    </w:rPr>
  </w:style>
  <w:style w:type="character" w:styleId="33" w:customStyle="1">
    <w:name w:val="УРОВЕНЬ_Абзац_тип3 Знак"/>
    <w:link w:val="37"/>
    <w:qFormat/>
    <w:rsid w:val="00f62e73"/>
    <w:rPr>
      <w:rFonts w:ascii="Times New Roman" w:hAnsi="Times New Roman" w:eastAsia="Calibri" w:cs="Times New Roman"/>
      <w:sz w:val="26"/>
      <w:szCs w:val="28"/>
    </w:rPr>
  </w:style>
  <w:style w:type="character" w:styleId="Style16" w:customStyle="1">
    <w:name w:val="Текст концевой сноски Знак"/>
    <w:basedOn w:val="DefaultParagraphFont"/>
    <w:qFormat/>
    <w:rsid w:val="00f62e73"/>
    <w:rPr>
      <w:rFonts w:ascii="Times New Roman" w:hAnsi="Times New Roman" w:eastAsia="Times New Roman" w:cs="Times New Roman"/>
      <w:sz w:val="20"/>
      <w:szCs w:val="20"/>
      <w:lang w:eastAsia="ru-RU"/>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f62e73"/>
    <w:rPr>
      <w:vertAlign w:val="superscript"/>
    </w:rPr>
  </w:style>
  <w:style w:type="character" w:styleId="24" w:customStyle="1">
    <w:name w:val="Пункт2 Знак"/>
    <w:link w:val="27"/>
    <w:qFormat/>
    <w:rsid w:val="00f62e73"/>
    <w:rPr>
      <w:rFonts w:ascii="Times New Roman" w:hAnsi="Times New Roman" w:eastAsia="Times New Roman" w:cs="Times New Roman"/>
      <w:b/>
      <w:sz w:val="28"/>
      <w:szCs w:val="20"/>
      <w:lang w:eastAsia="ru-RU"/>
    </w:rPr>
  </w:style>
  <w:style w:type="character" w:styleId="12" w:customStyle="1">
    <w:name w:val="УРОВЕНЬ_1. Знак"/>
    <w:link w:val="110"/>
    <w:qFormat/>
    <w:rsid w:val="00f62e73"/>
    <w:rPr>
      <w:rFonts w:ascii="Times New Roman" w:hAnsi="Times New Roman" w:eastAsia="Calibri" w:cs="Times New Roman"/>
      <w:caps/>
      <w:sz w:val="28"/>
      <w:szCs w:val="28"/>
    </w:rPr>
  </w:style>
  <w:style w:type="character" w:styleId="13" w:customStyle="1">
    <w:name w:val="Неразрешенное упоминание1"/>
    <w:basedOn w:val="DefaultParagraphFont"/>
    <w:uiPriority w:val="99"/>
    <w:semiHidden/>
    <w:unhideWhenUsed/>
    <w:qFormat/>
    <w:rsid w:val="00f62e73"/>
    <w:rPr>
      <w:color w:val="605E5C"/>
      <w:shd w:fill="E1DFDD" w:val="clear"/>
    </w:rPr>
  </w:style>
  <w:style w:type="character" w:styleId="Style18" w:customStyle="1">
    <w:name w:val="Ссылка указателя"/>
    <w:qFormat/>
    <w:rPr/>
  </w:style>
  <w:style w:type="character" w:styleId="14" w:customStyle="1">
    <w:name w:val="Номер строки1"/>
    <w:qFormat/>
    <w:rPr/>
  </w:style>
  <w:style w:type="character" w:styleId="FollowedHyperlink">
    <w:name w:val="FollowedHyperlink"/>
    <w:basedOn w:val="DefaultParagraphFont"/>
    <w:uiPriority w:val="99"/>
    <w:semiHidden/>
    <w:unhideWhenUsed/>
    <w:rsid w:val="00de4995"/>
    <w:rPr>
      <w:color w:val="954F72" w:themeColor="followedHyperlink"/>
      <w:u w:val="single"/>
    </w:rPr>
  </w:style>
  <w:style w:type="character" w:styleId="25" w:customStyle="1">
    <w:name w:val="Маркированный 2 Знак"/>
    <w:link w:val="214"/>
    <w:qFormat/>
    <w:locked/>
    <w:rsid w:val="007c1a3b"/>
    <w:rPr>
      <w:sz w:val="24"/>
      <w:szCs w:val="24"/>
    </w:rPr>
  </w:style>
  <w:style w:type="character" w:styleId="Body" w:customStyle="1">
    <w:name w:val="Body Знак"/>
    <w:link w:val="Body1"/>
    <w:qFormat/>
    <w:locked/>
    <w:rsid w:val="00d34949"/>
    <w:rPr>
      <w:rFonts w:ascii="Pragmatica" w:hAnsi="Pragmatica"/>
      <w:sz w:val="28"/>
    </w:rPr>
  </w:style>
  <w:style w:type="character" w:styleId="Gstkn" w:customStyle="1">
    <w:name w:val="gs_tkn"/>
    <w:basedOn w:val="DefaultParagraphFont"/>
    <w:qFormat/>
    <w:rsid w:val="00137ea7"/>
    <w:rPr/>
  </w:style>
  <w:style w:type="character" w:styleId="Linenumber">
    <w:name w:val="line number"/>
    <w:qFormat/>
    <w:rPr/>
  </w:style>
  <w:style w:type="character" w:styleId="Strong">
    <w:name w:val="Strong"/>
    <w:qFormat/>
    <w:rPr>
      <w:b/>
      <w:bCs/>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5"/>
    <w:rsid w:val="00f62e73"/>
    <w:pPr>
      <w:spacing w:lineRule="auto" w:line="240" w:before="0" w:after="120"/>
    </w:pPr>
    <w:rPr>
      <w:rFonts w:ascii="Times New Roman" w:hAnsi="Times New Roman" w:eastAsia="Times New Roman" w:cs="Times New Roman"/>
      <w:sz w:val="28"/>
      <w:szCs w:val="28"/>
      <w:lang w:eastAsia="ru-RU"/>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next w:val="Normal"/>
    <w:uiPriority w:val="35"/>
    <w:qFormat/>
    <w:rsid w:val="00f62e73"/>
    <w:pPr>
      <w:spacing w:lineRule="auto" w:line="240" w:before="0" w:after="0"/>
    </w:pPr>
    <w:rPr>
      <w:rFonts w:ascii="Times New Roman" w:hAnsi="Times New Roman" w:eastAsia="Calibri" w:cs="Times New Roman"/>
      <w:b/>
      <w:bCs/>
      <w:color w:val="4F81BD"/>
      <w:sz w:val="18"/>
      <w:szCs w:val="18"/>
      <w:lang w:eastAsia="ru-RU"/>
    </w:rPr>
  </w:style>
  <w:style w:type="paragraph" w:styleId="Indexheading11111" w:customStyle="1">
    <w:name w:val="index heading11111"/>
    <w:basedOn w:val="Title"/>
    <w:qFormat/>
    <w:pPr/>
    <w:rPr/>
  </w:style>
  <w:style w:type="paragraph" w:styleId="Style21" w:customStyle="1">
    <w:name w:val="Название раздела инструкции"/>
    <w:basedOn w:val="Normal"/>
    <w:autoRedefine/>
    <w:qFormat/>
    <w:rsid w:val="00f62e73"/>
    <w:pPr>
      <w:spacing w:lineRule="auto" w:line="240" w:before="0" w:after="0"/>
      <w:jc w:val="center"/>
    </w:pPr>
    <w:rPr>
      <w:rFonts w:ascii="Times New Roman" w:hAnsi="Times New Roman" w:eastAsia="Times New Roman" w:cs="Times New Roman"/>
      <w:b/>
      <w:sz w:val="28"/>
      <w:szCs w:val="28"/>
      <w:lang w:eastAsia="ru-RU"/>
    </w:rPr>
  </w:style>
  <w:style w:type="paragraph" w:styleId="Style22" w:customStyle="1">
    <w:name w:val="Раздел положения"/>
    <w:basedOn w:val="Normal"/>
    <w:autoRedefine/>
    <w:qFormat/>
    <w:rsid w:val="00f62e73"/>
    <w:pPr>
      <w:numPr>
        <w:ilvl w:val="0"/>
        <w:numId w:val="1"/>
      </w:numPr>
      <w:spacing w:lineRule="auto" w:line="240" w:before="80" w:after="80"/>
      <w:jc w:val="center"/>
    </w:pPr>
    <w:rPr>
      <w:rFonts w:ascii="Times New Roman" w:hAnsi="Times New Roman" w:eastAsia="Times New Roman" w:cs="Times New Roman"/>
      <w:b/>
      <w:sz w:val="32"/>
      <w:szCs w:val="32"/>
      <w:lang w:eastAsia="ru-RU"/>
    </w:rPr>
  </w:style>
  <w:style w:type="paragraph" w:styleId="Style23" w:customStyle="1">
    <w:name w:val="Подраздел раздела положения"/>
    <w:basedOn w:val="Normal"/>
    <w:autoRedefine/>
    <w:qFormat/>
    <w:rsid w:val="00f62e73"/>
    <w:pPr>
      <w:numPr>
        <w:ilvl w:val="1"/>
        <w:numId w:val="1"/>
      </w:numPr>
      <w:spacing w:lineRule="auto" w:line="240" w:before="80" w:after="80"/>
      <w:jc w:val="both"/>
    </w:pPr>
    <w:rPr>
      <w:rFonts w:ascii="Times New Roman" w:hAnsi="Times New Roman" w:eastAsia="Times New Roman" w:cs="Times New Roman"/>
      <w:sz w:val="28"/>
      <w:szCs w:val="28"/>
      <w:lang w:eastAsia="ru-RU"/>
    </w:rPr>
  </w:style>
  <w:style w:type="paragraph" w:styleId="FootnoteText">
    <w:name w:val="Footnote Text"/>
    <w:basedOn w:val="Normal"/>
    <w:link w:val="Style"/>
    <w:uiPriority w:val="99"/>
    <w:rsid w:val="00f62e73"/>
    <w:pPr>
      <w:spacing w:lineRule="auto" w:line="240" w:before="0" w:after="0"/>
    </w:pPr>
    <w:rPr>
      <w:rFonts w:ascii="Times New Roman" w:hAnsi="Times New Roman" w:eastAsia="Times New Roman" w:cs="Times New Roman"/>
      <w:sz w:val="20"/>
      <w:szCs w:val="20"/>
      <w:lang w:eastAsia="ru-RU"/>
    </w:rPr>
  </w:style>
  <w:style w:type="paragraph" w:styleId="15" w:customStyle="1">
    <w:name w:val="Шапка 1"/>
    <w:basedOn w:val="Normal"/>
    <w:qFormat/>
    <w:rsid w:val="00f62e73"/>
    <w:pPr>
      <w:pBdr>
        <w:bottom w:val="thickThinSmallGap" w:sz="24" w:space="1" w:color="000000"/>
      </w:pBdr>
      <w:spacing w:lineRule="auto" w:line="240" w:before="0" w:after="240"/>
      <w:jc w:val="center"/>
    </w:pPr>
    <w:rPr>
      <w:rFonts w:ascii="Times New Roman" w:hAnsi="Times New Roman" w:eastAsia="Times New Roman" w:cs="Times New Roman"/>
      <w:lang w:eastAsia="ru-RU"/>
    </w:rPr>
  </w:style>
  <w:style w:type="paragraph" w:styleId="26" w:customStyle="1">
    <w:name w:val="Шапка 2"/>
    <w:basedOn w:val="Normal"/>
    <w:qFormat/>
    <w:rsid w:val="00f62e73"/>
    <w:pPr>
      <w:pBdr>
        <w:bottom w:val="thickThinSmallGap" w:sz="24" w:space="1" w:color="000000"/>
      </w:pBdr>
      <w:spacing w:lineRule="auto" w:line="240" w:before="0" w:after="120"/>
      <w:jc w:val="center"/>
    </w:pPr>
    <w:rPr>
      <w:rFonts w:ascii="Times New Roman" w:hAnsi="Times New Roman" w:eastAsia="Times New Roman" w:cs="Times New Roman"/>
      <w:b/>
      <w:lang w:eastAsia="ru-RU"/>
    </w:rPr>
  </w:style>
  <w:style w:type="paragraph" w:styleId="34" w:customStyle="1">
    <w:name w:val="Шапка 3"/>
    <w:basedOn w:val="Normal"/>
    <w:qFormat/>
    <w:rsid w:val="00f62e73"/>
    <w:pPr>
      <w:pBdr>
        <w:bottom w:val="thickThinSmallGap" w:sz="24" w:space="1" w:color="000000"/>
      </w:pBdr>
      <w:spacing w:lineRule="auto" w:line="240" w:before="240" w:after="360"/>
      <w:jc w:val="center"/>
    </w:pPr>
    <w:rPr>
      <w:rFonts w:ascii="Times New Roman" w:hAnsi="Times New Roman" w:eastAsia="Times New Roman" w:cs="Times New Roman"/>
      <w:b/>
      <w:sz w:val="24"/>
      <w:szCs w:val="24"/>
      <w:lang w:eastAsia="ru-RU"/>
    </w:rPr>
  </w:style>
  <w:style w:type="paragraph" w:styleId="16" w:customStyle="1">
    <w:name w:val="Название1"/>
    <w:basedOn w:val="Normal"/>
    <w:link w:val="Style9"/>
    <w:uiPriority w:val="10"/>
    <w:qFormat/>
    <w:rsid w:val="00f62e73"/>
    <w:pPr>
      <w:spacing w:lineRule="auto" w:line="240" w:before="0" w:after="0"/>
      <w:jc w:val="center"/>
    </w:pPr>
    <w:rPr>
      <w:rFonts w:ascii="Times New Roman" w:hAnsi="Times New Roman" w:eastAsia="Times New Roman" w:cs="Times New Roman"/>
      <w:sz w:val="28"/>
      <w:szCs w:val="20"/>
      <w:lang w:val="x-none" w:eastAsia="x-none"/>
    </w:rPr>
  </w:style>
  <w:style w:type="paragraph" w:styleId="Style24" w:customStyle="1">
    <w:name w:val="Колонтитул"/>
    <w:basedOn w:val="Normal"/>
    <w:qFormat/>
    <w:pPr/>
    <w:rPr/>
  </w:style>
  <w:style w:type="paragraph" w:styleId="Header">
    <w:name w:val="Header"/>
    <w:basedOn w:val="Normal"/>
    <w:link w:val="Style2"/>
    <w:uiPriority w:val="99"/>
    <w:rsid w:val="00f62e73"/>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BodyTextIndent">
    <w:name w:val="Body Text Indent"/>
    <w:basedOn w:val="Normal"/>
    <w:link w:val="Style3"/>
    <w:rsid w:val="00f62e73"/>
    <w:pPr>
      <w:spacing w:lineRule="auto" w:line="240" w:before="0" w:after="0"/>
      <w:ind w:left="360"/>
    </w:pPr>
    <w:rPr>
      <w:rFonts w:ascii="Times New Roman" w:hAnsi="Times New Roman" w:eastAsia="Times New Roman" w:cs="Times New Roman"/>
      <w:sz w:val="24"/>
      <w:szCs w:val="24"/>
      <w:lang w:eastAsia="ru-RU"/>
    </w:rPr>
  </w:style>
  <w:style w:type="paragraph" w:styleId="Footer">
    <w:name w:val="Footer"/>
    <w:basedOn w:val="Normal"/>
    <w:link w:val="Style4"/>
    <w:uiPriority w:val="99"/>
    <w:rsid w:val="00f62e73"/>
    <w:pPr>
      <w:tabs>
        <w:tab w:val="clear" w:pos="708"/>
        <w:tab w:val="center" w:pos="4677" w:leader="none"/>
        <w:tab w:val="right" w:pos="9355" w:leader="none"/>
      </w:tabs>
      <w:spacing w:lineRule="auto" w:line="240" w:before="0" w:after="0"/>
    </w:pPr>
    <w:rPr>
      <w:rFonts w:ascii="Times New Roman" w:hAnsi="Times New Roman" w:eastAsia="Times New Roman" w:cs="Times New Roman"/>
      <w:sz w:val="28"/>
      <w:szCs w:val="28"/>
      <w:lang w:eastAsia="ru-RU"/>
    </w:rPr>
  </w:style>
  <w:style w:type="paragraph" w:styleId="BodyTextIndent2">
    <w:name w:val="Body Text Indent 2"/>
    <w:basedOn w:val="Normal"/>
    <w:link w:val="21"/>
    <w:qFormat/>
    <w:rsid w:val="00f62e73"/>
    <w:pPr>
      <w:spacing w:lineRule="auto" w:line="480" w:before="0" w:after="120"/>
      <w:ind w:left="283"/>
    </w:pPr>
    <w:rPr>
      <w:rFonts w:ascii="Times New Roman" w:hAnsi="Times New Roman" w:eastAsia="Times New Roman" w:cs="Times New Roman"/>
      <w:sz w:val="28"/>
      <w:szCs w:val="28"/>
      <w:lang w:eastAsia="ru-RU"/>
    </w:rPr>
  </w:style>
  <w:style w:type="paragraph" w:styleId="BodyText3">
    <w:name w:val="Body Text 3"/>
    <w:basedOn w:val="Normal"/>
    <w:link w:val="31"/>
    <w:qFormat/>
    <w:rsid w:val="00f62e73"/>
    <w:pPr>
      <w:spacing w:lineRule="auto" w:line="240" w:before="0" w:after="120"/>
    </w:pPr>
    <w:rPr>
      <w:rFonts w:ascii="Times New Roman" w:hAnsi="Times New Roman" w:eastAsia="Times New Roman" w:cs="Times New Roman"/>
      <w:sz w:val="16"/>
      <w:szCs w:val="16"/>
      <w:lang w:eastAsia="ru-RU"/>
    </w:rPr>
  </w:style>
  <w:style w:type="paragraph" w:styleId="BodyTextIndent3">
    <w:name w:val="Body Text Indent 3"/>
    <w:basedOn w:val="Normal"/>
    <w:link w:val="32"/>
    <w:qFormat/>
    <w:rsid w:val="00f62e73"/>
    <w:pPr>
      <w:spacing w:lineRule="auto" w:line="240" w:before="0" w:after="120"/>
      <w:ind w:left="283"/>
    </w:pPr>
    <w:rPr>
      <w:rFonts w:ascii="Times New Roman" w:hAnsi="Times New Roman" w:eastAsia="Times New Roman" w:cs="Times New Roman"/>
      <w:sz w:val="16"/>
      <w:szCs w:val="16"/>
      <w:lang w:eastAsia="ru-RU"/>
    </w:rPr>
  </w:style>
  <w:style w:type="paragraph" w:styleId="BodyText2">
    <w:name w:val="Body Text 2"/>
    <w:basedOn w:val="Normal"/>
    <w:link w:val="22"/>
    <w:qFormat/>
    <w:rsid w:val="00f62e73"/>
    <w:pPr>
      <w:spacing w:lineRule="auto" w:line="480" w:before="0" w:after="120"/>
    </w:pPr>
    <w:rPr>
      <w:rFonts w:ascii="Times New Roman" w:hAnsi="Times New Roman" w:eastAsia="Times New Roman" w:cs="Times New Roman"/>
      <w:sz w:val="28"/>
      <w:szCs w:val="28"/>
      <w:lang w:eastAsia="ru-RU"/>
    </w:rPr>
  </w:style>
  <w:style w:type="paragraph" w:styleId="BlockText">
    <w:name w:val="Block Text"/>
    <w:basedOn w:val="Normal"/>
    <w:qFormat/>
    <w:rsid w:val="00f62e73"/>
    <w:pPr>
      <w:spacing w:lineRule="auto" w:line="240" w:before="0" w:after="0"/>
      <w:ind w:left="-567" w:right="-766"/>
      <w:jc w:val="center"/>
    </w:pPr>
    <w:rPr>
      <w:rFonts w:ascii="Times New Roman" w:hAnsi="Times New Roman" w:eastAsia="Times New Roman" w:cs="Times New Roman"/>
      <w:b/>
      <w:bCs/>
      <w:sz w:val="24"/>
      <w:szCs w:val="20"/>
      <w:lang w:eastAsia="ru-RU"/>
    </w:rPr>
  </w:style>
  <w:style w:type="paragraph" w:styleId="Style25" w:customStyle="1">
    <w:name w:val="Подпункт"/>
    <w:basedOn w:val="Normal"/>
    <w:link w:val="11"/>
    <w:qFormat/>
    <w:rsid w:val="00f62e73"/>
    <w:pPr>
      <w:tabs>
        <w:tab w:val="clear" w:pos="708"/>
        <w:tab w:val="left" w:pos="1134" w:leader="none"/>
      </w:tabs>
      <w:snapToGrid w:val="false"/>
      <w:spacing w:lineRule="auto" w:line="360" w:before="0" w:after="0"/>
      <w:ind w:hanging="1134" w:left="1134"/>
      <w:jc w:val="both"/>
    </w:pPr>
    <w:rPr>
      <w:rFonts w:ascii="Times New Roman" w:hAnsi="Times New Roman" w:eastAsia="Times New Roman" w:cs="Times New Roman"/>
      <w:sz w:val="28"/>
      <w:szCs w:val="20"/>
      <w:lang w:val="x-none" w:eastAsia="x-none"/>
    </w:rPr>
  </w:style>
  <w:style w:type="paragraph" w:styleId="27" w:customStyle="1">
    <w:name w:val="Пункт2"/>
    <w:basedOn w:val="Normal"/>
    <w:link w:val="24"/>
    <w:qFormat/>
    <w:rsid w:val="00f62e73"/>
    <w:pPr>
      <w:keepNext w:val="true"/>
      <w:tabs>
        <w:tab w:val="clear" w:pos="708"/>
        <w:tab w:val="left" w:pos="1134" w:leader="none"/>
      </w:tabs>
      <w:snapToGrid w:val="false"/>
      <w:spacing w:lineRule="auto" w:line="240" w:before="240" w:after="120"/>
      <w:ind w:hanging="1134" w:left="1134"/>
      <w:outlineLvl w:val="2"/>
    </w:pPr>
    <w:rPr>
      <w:rFonts w:ascii="Times New Roman" w:hAnsi="Times New Roman" w:eastAsia="Times New Roman" w:cs="Times New Roman"/>
      <w:b/>
      <w:sz w:val="28"/>
      <w:szCs w:val="20"/>
      <w:lang w:eastAsia="ru-RU"/>
    </w:rPr>
  </w:style>
  <w:style w:type="paragraph" w:styleId="TOC1">
    <w:name w:val="TOC 1"/>
    <w:basedOn w:val="Normal"/>
    <w:next w:val="Normal"/>
    <w:autoRedefine/>
    <w:uiPriority w:val="39"/>
    <w:rsid w:val="00f62e73"/>
    <w:pPr>
      <w:spacing w:lineRule="auto" w:line="240" w:before="120" w:after="0"/>
    </w:pPr>
    <w:rPr>
      <w:rFonts w:ascii="Times New Roman" w:hAnsi="Times New Roman" w:eastAsia="Times New Roman" w:cs="Calibri Light (Заголовки)"/>
      <w:b/>
      <w:bCs/>
      <w:sz w:val="24"/>
      <w:szCs w:val="24"/>
      <w:lang w:eastAsia="ru-RU"/>
    </w:rPr>
  </w:style>
  <w:style w:type="paragraph" w:styleId="311" w:customStyle="1">
    <w:name w:val="Оглавление 31"/>
    <w:basedOn w:val="Normal"/>
    <w:next w:val="Normal"/>
    <w:autoRedefine/>
    <w:uiPriority w:val="39"/>
    <w:qFormat/>
    <w:rsid w:val="00f62e73"/>
    <w:pPr>
      <w:spacing w:lineRule="auto" w:line="240" w:before="0" w:after="0"/>
      <w:ind w:left="280"/>
    </w:pPr>
    <w:rPr>
      <w:rFonts w:ascii="Times New Roman" w:hAnsi="Times New Roman" w:eastAsia="Times New Roman" w:cs="Calibri"/>
      <w:sz w:val="20"/>
      <w:szCs w:val="20"/>
      <w:lang w:eastAsia="ru-RU"/>
    </w:rPr>
  </w:style>
  <w:style w:type="paragraph" w:styleId="Style26" w:customStyle="1">
    <w:name w:val="Раздел регламента"/>
    <w:basedOn w:val="Normal"/>
    <w:qFormat/>
    <w:rsid w:val="00f62e73"/>
    <w:pPr>
      <w:spacing w:lineRule="auto" w:line="240" w:before="0" w:after="0"/>
    </w:pPr>
    <w:rPr>
      <w:rFonts w:ascii="Times New Roman" w:hAnsi="Times New Roman" w:eastAsia="Times New Roman" w:cs="Times New Roman"/>
      <w:sz w:val="28"/>
      <w:szCs w:val="28"/>
      <w:lang w:eastAsia="ru-RU"/>
    </w:rPr>
  </w:style>
  <w:style w:type="paragraph" w:styleId="Style27" w:customStyle="1">
    <w:name w:val="Приложение к регламенту"/>
    <w:basedOn w:val="Normal"/>
    <w:qFormat/>
    <w:rsid w:val="00f62e73"/>
    <w:pPr>
      <w:spacing w:lineRule="auto" w:line="240" w:before="0" w:after="0"/>
      <w:jc w:val="right"/>
    </w:pPr>
    <w:rPr>
      <w:rFonts w:ascii="Times New Roman" w:hAnsi="Times New Roman" w:eastAsia="Times New Roman" w:cs="Times New Roman"/>
      <w:sz w:val="28"/>
      <w:szCs w:val="28"/>
      <w:lang w:eastAsia="ru-RU"/>
    </w:rPr>
  </w:style>
  <w:style w:type="paragraph" w:styleId="211" w:customStyle="1">
    <w:name w:val="Оглавление 21"/>
    <w:basedOn w:val="Normal"/>
    <w:next w:val="Normal"/>
    <w:autoRedefine/>
    <w:uiPriority w:val="39"/>
    <w:qFormat/>
    <w:rsid w:val="00f62e73"/>
    <w:pPr>
      <w:spacing w:lineRule="auto" w:line="240" w:before="240" w:after="0"/>
    </w:pPr>
    <w:rPr>
      <w:rFonts w:ascii="Times New Roman" w:hAnsi="Times New Roman" w:eastAsia="Times New Roman" w:cs="Calibri"/>
      <w:b/>
      <w:bCs/>
      <w:sz w:val="20"/>
      <w:szCs w:val="20"/>
      <w:lang w:eastAsia="ru-RU"/>
    </w:rPr>
  </w:style>
  <w:style w:type="paragraph" w:styleId="BalloonText">
    <w:name w:val="Balloon Text"/>
    <w:basedOn w:val="Normal"/>
    <w:link w:val="Style6"/>
    <w:semiHidden/>
    <w:qFormat/>
    <w:rsid w:val="00f62e73"/>
    <w:pPr>
      <w:spacing w:lineRule="auto" w:line="240" w:before="0" w:after="0"/>
    </w:pPr>
    <w:rPr>
      <w:rFonts w:ascii="Tahoma" w:hAnsi="Tahoma" w:eastAsia="Times New Roman" w:cs="Tahoma"/>
      <w:sz w:val="16"/>
      <w:szCs w:val="16"/>
      <w:lang w:eastAsia="ru-RU"/>
    </w:rPr>
  </w:style>
  <w:style w:type="paragraph" w:styleId="Annotationtext">
    <w:name w:val="annotation text"/>
    <w:basedOn w:val="Normal"/>
    <w:link w:val="Style7"/>
    <w:uiPriority w:val="99"/>
    <w:qFormat/>
    <w:rsid w:val="00f62e73"/>
    <w:pPr>
      <w:spacing w:lineRule="auto" w:line="240" w:before="0" w:after="0"/>
    </w:pPr>
    <w:rPr>
      <w:rFonts w:ascii="Times New Roman" w:hAnsi="Times New Roman" w:eastAsia="Times New Roman" w:cs="Times New Roman"/>
      <w:sz w:val="20"/>
      <w:szCs w:val="20"/>
      <w:lang w:eastAsia="ru-RU"/>
    </w:rPr>
  </w:style>
  <w:style w:type="paragraph" w:styleId="Annotationsubject">
    <w:name w:val="annotation subject"/>
    <w:basedOn w:val="Annotationtext"/>
    <w:next w:val="Annotationtext"/>
    <w:link w:val="Style8"/>
    <w:semiHidden/>
    <w:qFormat/>
    <w:rsid w:val="00f62e73"/>
    <w:pPr/>
    <w:rPr>
      <w:b/>
      <w:bCs/>
    </w:rPr>
  </w:style>
  <w:style w:type="paragraph" w:styleId="17" w:customStyle="1">
    <w:name w:val="Обычный (веб)1"/>
    <w:basedOn w:val="Normal"/>
    <w:uiPriority w:val="99"/>
    <w:qFormat/>
    <w:rsid w:val="00f62e73"/>
    <w:pPr>
      <w:spacing w:lineRule="auto" w:line="240" w:beforeAutospacing="1" w:afterAutospacing="1"/>
    </w:pPr>
    <w:rPr>
      <w:rFonts w:ascii="Arial Unicode MS" w:hAnsi="Arial Unicode MS" w:eastAsia="Arial Unicode MS" w:cs="Arial Unicode MS"/>
      <w:sz w:val="24"/>
      <w:szCs w:val="24"/>
      <w:lang w:eastAsia="ru-RU"/>
    </w:rPr>
  </w:style>
  <w:style w:type="paragraph" w:styleId="91" w:customStyle="1">
    <w:name w:val="Оглавление 91"/>
    <w:basedOn w:val="Normal"/>
    <w:next w:val="Normal"/>
    <w:autoRedefine/>
    <w:semiHidden/>
    <w:qFormat/>
    <w:rsid w:val="00f62e73"/>
    <w:pPr>
      <w:spacing w:lineRule="auto" w:line="240" w:before="0" w:after="0"/>
      <w:ind w:left="1960"/>
    </w:pPr>
    <w:rPr>
      <w:rFonts w:eastAsia="Times New Roman" w:cs="Calibri"/>
      <w:sz w:val="20"/>
      <w:szCs w:val="20"/>
      <w:lang w:eastAsia="ru-RU"/>
    </w:rPr>
  </w:style>
  <w:style w:type="paragraph" w:styleId="51" w:customStyle="1">
    <w:name w:val="Оглавление 51"/>
    <w:basedOn w:val="Normal"/>
    <w:next w:val="Normal"/>
    <w:autoRedefine/>
    <w:semiHidden/>
    <w:qFormat/>
    <w:rsid w:val="00f62e73"/>
    <w:pPr>
      <w:spacing w:lineRule="auto" w:line="240" w:before="0" w:after="0"/>
      <w:ind w:left="840"/>
    </w:pPr>
    <w:rPr>
      <w:rFonts w:eastAsia="Times New Roman" w:cs="Calibri"/>
      <w:sz w:val="20"/>
      <w:szCs w:val="20"/>
      <w:lang w:eastAsia="ru-RU"/>
    </w:rPr>
  </w:style>
  <w:style w:type="paragraph" w:styleId="41" w:customStyle="1">
    <w:name w:val="Оглавление 41"/>
    <w:basedOn w:val="Normal"/>
    <w:next w:val="Normal"/>
    <w:autoRedefine/>
    <w:uiPriority w:val="39"/>
    <w:qFormat/>
    <w:rsid w:val="00f62e73"/>
    <w:pPr>
      <w:spacing w:lineRule="auto" w:line="240" w:before="0" w:after="0"/>
      <w:ind w:left="560"/>
    </w:pPr>
    <w:rPr>
      <w:rFonts w:ascii="Times New Roman" w:hAnsi="Times New Roman" w:eastAsia="Times New Roman" w:cs="Calibri"/>
      <w:sz w:val="20"/>
      <w:szCs w:val="20"/>
      <w:lang w:eastAsia="ru-RU"/>
    </w:rPr>
  </w:style>
  <w:style w:type="paragraph" w:styleId="28" w:customStyle="1">
    <w:name w:val="Раздел положения 2"/>
    <w:basedOn w:val="Normal"/>
    <w:qFormat/>
    <w:rsid w:val="00f62e73"/>
    <w:pPr>
      <w:pageBreakBefore/>
      <w:spacing w:lineRule="auto" w:line="240" w:before="0" w:after="0"/>
      <w:jc w:val="both"/>
      <w:outlineLvl w:val="0"/>
    </w:pPr>
    <w:rPr>
      <w:rFonts w:ascii="Times New Roman" w:hAnsi="Times New Roman" w:eastAsia="Times New Roman" w:cs="Times New Roman"/>
      <w:b/>
      <w:sz w:val="28"/>
      <w:szCs w:val="28"/>
      <w:lang w:eastAsia="ru-RU"/>
    </w:rPr>
  </w:style>
  <w:style w:type="paragraph" w:styleId="Style28" w:customStyle="1">
    <w:name w:val="Знак Знак Знак Знак Знак Знак Знак Знак Знак"/>
    <w:basedOn w:val="Normal"/>
    <w:qFormat/>
    <w:rsid w:val="00f62e73"/>
    <w:pPr>
      <w:spacing w:lineRule="exact" w:line="240"/>
      <w:jc w:val="both"/>
    </w:pPr>
    <w:rPr>
      <w:rFonts w:ascii="Verdana" w:hAnsi="Verdana" w:eastAsia="Times New Roman" w:cs="Verdana"/>
      <w:lang w:val="en-US"/>
    </w:rPr>
  </w:style>
  <w:style w:type="paragraph" w:styleId="NoSpacing">
    <w:name w:val="No Spacing"/>
    <w:basedOn w:val="Normal"/>
    <w:uiPriority w:val="1"/>
    <w:qFormat/>
    <w:rsid w:val="00f62e73"/>
    <w:pPr>
      <w:spacing w:lineRule="auto" w:line="360" w:before="0" w:after="0"/>
    </w:pPr>
    <w:rPr>
      <w:rFonts w:ascii="Times New Roman" w:hAnsi="Times New Roman" w:eastAsia="Calibri" w:cs="Times New Roman"/>
      <w:sz w:val="24"/>
      <w:szCs w:val="24"/>
      <w:lang w:eastAsia="ru-RU"/>
    </w:rPr>
  </w:style>
  <w:style w:type="paragraph" w:styleId="Subtitle">
    <w:name w:val="Subtitle"/>
    <w:basedOn w:val="Normal"/>
    <w:next w:val="Normal"/>
    <w:link w:val="Style10"/>
    <w:uiPriority w:val="11"/>
    <w:qFormat/>
    <w:rsid w:val="00f62e73"/>
    <w:pPr>
      <w:spacing w:lineRule="auto" w:line="240" w:before="0" w:after="0"/>
      <w:ind w:firstLine="709" w:left="1066"/>
    </w:pPr>
    <w:rPr>
      <w:rFonts w:ascii="Cambria" w:hAnsi="Cambria" w:eastAsia="Times New Roman" w:cs="Times New Roman"/>
      <w:i/>
      <w:iCs/>
      <w:color w:val="4F81BD"/>
      <w:spacing w:val="15"/>
      <w:sz w:val="24"/>
      <w:szCs w:val="24"/>
      <w:lang w:val="x-none" w:eastAsia="x-none"/>
    </w:rPr>
  </w:style>
  <w:style w:type="paragraph" w:styleId="ListParagraph">
    <w:name w:val="List Paragraph"/>
    <w:basedOn w:val="Normal"/>
    <w:link w:val="Style13"/>
    <w:uiPriority w:val="99"/>
    <w:qFormat/>
    <w:rsid w:val="00f62e73"/>
    <w:pPr>
      <w:spacing w:lineRule="auto" w:line="240" w:before="0" w:after="0"/>
      <w:ind w:left="720"/>
      <w:contextualSpacing/>
    </w:pPr>
    <w:rPr>
      <w:rFonts w:ascii="Times New Roman" w:hAnsi="Times New Roman" w:eastAsia="Calibri" w:cs="Times New Roman"/>
      <w:sz w:val="24"/>
      <w:szCs w:val="24"/>
      <w:lang w:eastAsia="ru-RU"/>
    </w:rPr>
  </w:style>
  <w:style w:type="paragraph" w:styleId="Quote">
    <w:name w:val="Quote"/>
    <w:basedOn w:val="Normal"/>
    <w:next w:val="Normal"/>
    <w:link w:val="23"/>
    <w:uiPriority w:val="29"/>
    <w:qFormat/>
    <w:rsid w:val="00f62e73"/>
    <w:pPr>
      <w:spacing w:lineRule="auto" w:line="240" w:before="0" w:after="0"/>
    </w:pPr>
    <w:rPr>
      <w:rFonts w:ascii="Calibri" w:hAnsi="Calibri" w:eastAsia="Calibri" w:cs="Times New Roman"/>
      <w:i/>
      <w:iCs/>
      <w:color w:val="000000"/>
      <w:sz w:val="20"/>
      <w:szCs w:val="20"/>
      <w:lang w:val="x-none" w:eastAsia="x-none"/>
    </w:rPr>
  </w:style>
  <w:style w:type="paragraph" w:styleId="IntenseQuote">
    <w:name w:val="Intense Quote"/>
    <w:basedOn w:val="Normal"/>
    <w:next w:val="Normal"/>
    <w:link w:val="Style11"/>
    <w:uiPriority w:val="30"/>
    <w:qFormat/>
    <w:rsid w:val="00f62e73"/>
    <w:pPr>
      <w:pBdr>
        <w:bottom w:val="single" w:sz="4" w:space="4" w:color="4F81BD"/>
      </w:pBdr>
      <w:spacing w:lineRule="auto" w:line="240" w:before="200" w:after="280"/>
      <w:ind w:left="936" w:right="936"/>
    </w:pPr>
    <w:rPr>
      <w:rFonts w:ascii="Calibri" w:hAnsi="Calibri" w:eastAsia="Calibri" w:cs="Times New Roman"/>
      <w:b/>
      <w:bCs/>
      <w:i/>
      <w:iCs/>
      <w:color w:val="4F81BD"/>
      <w:sz w:val="20"/>
      <w:szCs w:val="20"/>
      <w:lang w:val="x-none" w:eastAsia="x-none"/>
    </w:rPr>
  </w:style>
  <w:style w:type="paragraph" w:styleId="IndexHeading">
    <w:name w:val="Index Heading"/>
    <w:basedOn w:val="Style19"/>
    <w:pPr/>
    <w:rPr/>
  </w:style>
  <w:style w:type="paragraph" w:styleId="TOCHeading">
    <w:name w:val="TOC Heading"/>
    <w:basedOn w:val="Heading1"/>
    <w:next w:val="Normal"/>
    <w:uiPriority w:val="39"/>
    <w:qFormat/>
    <w:rsid w:val="00f62e73"/>
    <w:pPr>
      <w:keepLines/>
      <w:spacing w:before="480" w:after="60"/>
      <w:outlineLvl w:val="9"/>
    </w:pPr>
    <w:rPr>
      <w:rFonts w:ascii="Cambria" w:hAnsi="Cambria"/>
      <w:bCs/>
      <w:color w:val="365F91"/>
    </w:rPr>
  </w:style>
  <w:style w:type="paragraph" w:styleId="E-mailSignature">
    <w:name w:val="E-mail Signature"/>
    <w:basedOn w:val="Normal"/>
    <w:link w:val="Style12"/>
    <w:uiPriority w:val="99"/>
    <w:unhideWhenUsed/>
    <w:qFormat/>
    <w:rsid w:val="00f62e73"/>
    <w:pPr>
      <w:spacing w:lineRule="auto" w:line="240" w:before="0" w:after="0"/>
    </w:pPr>
    <w:rPr>
      <w:rFonts w:ascii="Times New Roman" w:hAnsi="Times New Roman" w:eastAsia="Calibri" w:cs="Times New Roman"/>
      <w:sz w:val="24"/>
      <w:szCs w:val="24"/>
      <w:lang w:val="x-none" w:eastAsia="x-none"/>
    </w:rPr>
  </w:style>
  <w:style w:type="paragraph" w:styleId="Style29" w:customStyle="1">
    <w:name w:val="Знак"/>
    <w:basedOn w:val="Normal"/>
    <w:qFormat/>
    <w:rsid w:val="00f62e73"/>
    <w:pPr>
      <w:spacing w:lineRule="exact" w:line="240"/>
    </w:pPr>
    <w:rPr>
      <w:rFonts w:ascii="Verdana" w:hAnsi="Verdana" w:eastAsia="Times New Roman" w:cs="Verdana"/>
      <w:sz w:val="20"/>
      <w:szCs w:val="20"/>
      <w:lang w:val="en-US"/>
    </w:rPr>
  </w:style>
  <w:style w:type="paragraph" w:styleId="35" w:customStyle="1">
    <w:name w:val="Нумерованный список ур3"/>
    <w:basedOn w:val="Normal"/>
    <w:qFormat/>
    <w:rsid w:val="00f62e73"/>
    <w:pPr>
      <w:numPr>
        <w:ilvl w:val="2"/>
        <w:numId w:val="2"/>
      </w:numPr>
      <w:spacing w:lineRule="auto" w:line="240" w:before="0" w:after="0"/>
      <w:jc w:val="both"/>
    </w:pPr>
    <w:rPr>
      <w:rFonts w:ascii="Garamond" w:hAnsi="Garamond" w:eastAsia="Times New Roman" w:cs="Times New Roman"/>
      <w:sz w:val="24"/>
      <w:szCs w:val="20"/>
      <w:lang w:eastAsia="ru-RU"/>
    </w:rPr>
  </w:style>
  <w:style w:type="paragraph" w:styleId="312" w:customStyle="1">
    <w:name w:val="Список 31"/>
    <w:basedOn w:val="Normal"/>
    <w:qFormat/>
    <w:rsid w:val="00f62e73"/>
    <w:pPr>
      <w:numPr>
        <w:ilvl w:val="0"/>
        <w:numId w:val="2"/>
      </w:numPr>
      <w:spacing w:lineRule="auto" w:line="240" w:before="120" w:after="0"/>
      <w:jc w:val="both"/>
    </w:pPr>
    <w:rPr>
      <w:rFonts w:ascii="Garamond" w:hAnsi="Garamond" w:eastAsia="Times New Roman" w:cs="Times New Roman"/>
      <w:sz w:val="24"/>
      <w:szCs w:val="20"/>
      <w:lang w:eastAsia="ru-RU"/>
    </w:rPr>
  </w:style>
  <w:style w:type="paragraph" w:styleId="29" w:customStyle="1">
    <w:name w:val="Нумерованный список ур2"/>
    <w:basedOn w:val="Normal"/>
    <w:qFormat/>
    <w:rsid w:val="00f62e73"/>
    <w:pPr>
      <w:numPr>
        <w:ilvl w:val="1"/>
        <w:numId w:val="2"/>
      </w:numPr>
      <w:spacing w:lineRule="auto" w:line="240" w:before="120" w:after="0"/>
      <w:jc w:val="both"/>
    </w:pPr>
    <w:rPr>
      <w:rFonts w:ascii="Garamond" w:hAnsi="Garamond" w:eastAsia="Times New Roman" w:cs="Times New Roman"/>
      <w:sz w:val="24"/>
      <w:szCs w:val="20"/>
      <w:lang w:eastAsia="ru-RU"/>
    </w:rPr>
  </w:style>
  <w:style w:type="paragraph" w:styleId="Revision">
    <w:name w:val="Revision"/>
    <w:uiPriority w:val="99"/>
    <w:semiHidden/>
    <w:qFormat/>
    <w:rsid w:val="00f62e73"/>
    <w:pPr>
      <w:widowControl/>
      <w:suppressAutoHyphens w:val="true"/>
      <w:bidi w:val="0"/>
      <w:spacing w:before="0" w:after="0"/>
      <w:jc w:val="left"/>
    </w:pPr>
    <w:rPr>
      <w:rFonts w:ascii="Times New Roman" w:hAnsi="Times New Roman" w:eastAsia="Calibri" w:cs="Times New Roman" w:eastAsiaTheme="minorHAnsi"/>
      <w:color w:val="auto"/>
      <w:kern w:val="0"/>
      <w:sz w:val="24"/>
      <w:szCs w:val="24"/>
      <w:lang w:val="ru-RU" w:eastAsia="ru-RU" w:bidi="ar-SA"/>
    </w:rPr>
  </w:style>
  <w:style w:type="paragraph" w:styleId="ConsPlusNormal" w:customStyle="1">
    <w:name w:val="ConsPlusNormal"/>
    <w:qFormat/>
    <w:rsid w:val="00f62e73"/>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6" w:customStyle="1">
    <w:name w:val="Знак Знак3 Знак Знак"/>
    <w:basedOn w:val="Normal"/>
    <w:qFormat/>
    <w:rsid w:val="00f62e73"/>
    <w:pPr>
      <w:spacing w:lineRule="exact" w:line="240"/>
      <w:jc w:val="both"/>
    </w:pPr>
    <w:rPr>
      <w:rFonts w:ascii="Verdana" w:hAnsi="Verdana" w:eastAsia="Times New Roman" w:cs="Verdana"/>
      <w:lang w:val="en-US"/>
    </w:rPr>
  </w:style>
  <w:style w:type="paragraph" w:styleId="Style30" w:customStyle="1">
    <w:name w:val="Пункт"/>
    <w:basedOn w:val="Normal"/>
    <w:qFormat/>
    <w:rsid w:val="00f62e73"/>
    <w:pPr>
      <w:widowControl w:val="false"/>
      <w:tabs>
        <w:tab w:val="clear" w:pos="708"/>
        <w:tab w:val="left" w:pos="1134" w:leader="none"/>
      </w:tabs>
      <w:spacing w:lineRule="auto" w:line="360" w:before="120" w:after="0"/>
      <w:ind w:hanging="1134" w:left="1134" w:right="800"/>
      <w:jc w:val="both"/>
    </w:pPr>
    <w:rPr>
      <w:rFonts w:ascii="Arial" w:hAnsi="Arial" w:eastAsia="Times New Roman" w:cs="Times New Roman"/>
      <w:b/>
      <w:i/>
      <w:sz w:val="28"/>
      <w:szCs w:val="20"/>
      <w:lang w:eastAsia="ru-RU"/>
    </w:rPr>
  </w:style>
  <w:style w:type="paragraph" w:styleId="18" w:customStyle="1">
    <w:name w:val="Абзац списка1"/>
    <w:basedOn w:val="Normal"/>
    <w:qFormat/>
    <w:rsid w:val="00f62e73"/>
    <w:pPr>
      <w:spacing w:lineRule="auto" w:line="276" w:before="0" w:after="200"/>
      <w:ind w:left="720"/>
      <w:contextualSpacing/>
    </w:pPr>
    <w:rPr>
      <w:rFonts w:ascii="Calibri" w:hAnsi="Calibri" w:eastAsia="Times New Roman" w:cs="Times New Roman"/>
    </w:rPr>
  </w:style>
  <w:style w:type="paragraph" w:styleId="Style31" w:customStyle="1">
    <w:name w:val="Таблица"/>
    <w:basedOn w:val="Normal"/>
    <w:qFormat/>
    <w:rsid w:val="00f62e73"/>
    <w:pPr>
      <w:keepNext w:val="true"/>
      <w:spacing w:lineRule="auto" w:line="240" w:before="60" w:after="60"/>
      <w:jc w:val="center"/>
    </w:pPr>
    <w:rPr>
      <w:rFonts w:ascii="Times New Roman" w:hAnsi="Times New Roman" w:eastAsia="Calibri" w:cs="Times New Roman"/>
      <w:b/>
      <w:sz w:val="24"/>
      <w:szCs w:val="24"/>
      <w:lang w:val="x-none" w:eastAsia="x-none"/>
    </w:rPr>
  </w:style>
  <w:style w:type="paragraph" w:styleId="Style32" w:customStyle="1">
    <w:name w:val="Таблица шапка"/>
    <w:basedOn w:val="Normal"/>
    <w:qFormat/>
    <w:rsid w:val="00f62e73"/>
    <w:pPr>
      <w:keepNext w:val="true"/>
      <w:spacing w:lineRule="auto" w:line="240" w:before="40" w:after="40"/>
      <w:ind w:left="57" w:right="57"/>
    </w:pPr>
    <w:rPr>
      <w:rFonts w:ascii="Times New Roman" w:hAnsi="Times New Roman" w:eastAsia="Times New Roman" w:cs="Times New Roman"/>
      <w:szCs w:val="26"/>
      <w:lang w:eastAsia="ru-RU"/>
    </w:rPr>
  </w:style>
  <w:style w:type="paragraph" w:styleId="Style33" w:customStyle="1">
    <w:name w:val="Подподпункт"/>
    <w:basedOn w:val="Style25"/>
    <w:link w:val="Style15"/>
    <w:qFormat/>
    <w:rsid w:val="00f62e73"/>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4" w:customStyle="1">
    <w:name w:val="УРОВЕНЬ_(а)"/>
    <w:basedOn w:val="ListParagraph"/>
    <w:qFormat/>
    <w:rsid w:val="00f62e73"/>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f62e73"/>
    <w:pPr>
      <w:numPr>
        <w:ilvl w:val="4"/>
        <w:numId w:val="4"/>
      </w:numPr>
      <w:spacing w:lineRule="exact" w:line="360" w:before="120" w:after="0"/>
      <w:contextualSpacing w:val="false"/>
      <w:jc w:val="both"/>
      <w:outlineLvl w:val="4"/>
    </w:pPr>
    <w:rPr>
      <w:sz w:val="26"/>
      <w:szCs w:val="28"/>
      <w:lang w:eastAsia="en-US"/>
    </w:rPr>
  </w:style>
  <w:style w:type="paragraph" w:styleId="210" w:customStyle="1">
    <w:name w:val="УРОВЕНЬ_Абзац_тип2"/>
    <w:basedOn w:val="ListParagraph"/>
    <w:qFormat/>
    <w:rsid w:val="00f62e73"/>
    <w:pPr>
      <w:numPr>
        <w:ilvl w:val="6"/>
        <w:numId w:val="4"/>
      </w:numPr>
      <w:spacing w:lineRule="exact" w:line="360" w:before="120" w:after="0"/>
      <w:contextualSpacing w:val="false"/>
      <w:jc w:val="both"/>
    </w:pPr>
    <w:rPr>
      <w:sz w:val="26"/>
      <w:szCs w:val="28"/>
      <w:lang w:eastAsia="en-US"/>
    </w:rPr>
  </w:style>
  <w:style w:type="paragraph" w:styleId="37" w:customStyle="1">
    <w:name w:val="УРОВЕНЬ_Абзац_тип3"/>
    <w:basedOn w:val="ListParagraph"/>
    <w:link w:val="33"/>
    <w:qFormat/>
    <w:rsid w:val="00f62e73"/>
    <w:pPr>
      <w:numPr>
        <w:ilvl w:val="7"/>
        <w:numId w:val="4"/>
      </w:numPr>
      <w:spacing w:lineRule="exact" w:line="360" w:before="120" w:after="0"/>
      <w:contextualSpacing w:val="false"/>
      <w:jc w:val="both"/>
    </w:pPr>
    <w:rPr>
      <w:sz w:val="26"/>
      <w:szCs w:val="28"/>
      <w:lang w:eastAsia="en-US"/>
    </w:rPr>
  </w:style>
  <w:style w:type="paragraph" w:styleId="Style35" w:customStyle="1">
    <w:name w:val="УРОВЕНЬ_Подпись"/>
    <w:basedOn w:val="ListParagraph"/>
    <w:qFormat/>
    <w:rsid w:val="00f62e73"/>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f62e73"/>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6"/>
    <w:rsid w:val="00f62e73"/>
    <w:pPr>
      <w:spacing w:lineRule="auto" w:line="240" w:before="0" w:after="0"/>
    </w:pPr>
    <w:rPr>
      <w:rFonts w:ascii="Times New Roman" w:hAnsi="Times New Roman" w:eastAsia="Times New Roman" w:cs="Times New Roman"/>
      <w:sz w:val="20"/>
      <w:szCs w:val="20"/>
      <w:lang w:eastAsia="ru-RU"/>
    </w:rPr>
  </w:style>
  <w:style w:type="paragraph" w:styleId="212" w:customStyle="1">
    <w:name w:val="Заголовок 2 КВВ"/>
    <w:basedOn w:val="Normal"/>
    <w:qFormat/>
    <w:rsid w:val="00f62e73"/>
    <w:pPr>
      <w:keepNext w:val="true"/>
      <w:numPr>
        <w:ilvl w:val="0"/>
        <w:numId w:val="5"/>
      </w:numPr>
      <w:spacing w:lineRule="auto" w:line="240" w:before="120" w:after="120"/>
      <w:jc w:val="both"/>
      <w:outlineLvl w:val="0"/>
    </w:pPr>
    <w:rPr>
      <w:rFonts w:ascii="Times New Roman" w:hAnsi="Times New Roman" w:eastAsia="Times New Roman" w:cs="Times New Roman"/>
      <w:b/>
      <w:kern w:val="2"/>
      <w:sz w:val="24"/>
      <w:szCs w:val="20"/>
      <w:lang w:eastAsia="x-none"/>
    </w:rPr>
  </w:style>
  <w:style w:type="paragraph" w:styleId="Style36" w:customStyle="1">
    <w:name w:val="Таблица текст"/>
    <w:basedOn w:val="Normal"/>
    <w:qFormat/>
    <w:rsid w:val="00f62e73"/>
    <w:pPr>
      <w:spacing w:lineRule="auto" w:line="240" w:before="40" w:after="40"/>
      <w:ind w:left="57" w:right="57"/>
    </w:pPr>
    <w:rPr>
      <w:rFonts w:ascii="Times New Roman" w:hAnsi="Times New Roman" w:eastAsia="Times New Roman" w:cs="Times New Roman"/>
      <w:sz w:val="24"/>
      <w:szCs w:val="26"/>
      <w:lang w:eastAsia="ru-RU"/>
    </w:rPr>
  </w:style>
  <w:style w:type="paragraph" w:styleId="NormalWeb">
    <w:name w:val="Normal (Web)"/>
    <w:basedOn w:val="Normal"/>
    <w:uiPriority w:val="99"/>
    <w:unhideWhenUsed/>
    <w:qFormat/>
    <w:rsid w:val="00f62e73"/>
    <w:pPr>
      <w:spacing w:lineRule="auto" w:line="240" w:beforeAutospacing="1" w:afterAutospacing="1"/>
    </w:pPr>
    <w:rPr>
      <w:rFonts w:ascii="Times New Roman" w:hAnsi="Times New Roman" w:eastAsia="Times New Roman" w:cs="Times New Roman"/>
      <w:sz w:val="24"/>
      <w:szCs w:val="24"/>
      <w:lang w:eastAsia="ru-RU"/>
    </w:rPr>
  </w:style>
  <w:style w:type="paragraph" w:styleId="110" w:customStyle="1">
    <w:name w:val="УРОВЕНЬ_1."/>
    <w:basedOn w:val="ListParagraph"/>
    <w:link w:val="12"/>
    <w:qFormat/>
    <w:rsid w:val="00f62e73"/>
    <w:pPr>
      <w:keepNext w:val="true"/>
      <w:keepLines/>
      <w:spacing w:lineRule="auto" w:line="276" w:before="240" w:after="120"/>
      <w:ind w:left="0"/>
      <w:contextualSpacing w:val="false"/>
      <w:jc w:val="both"/>
      <w:outlineLvl w:val="0"/>
    </w:pPr>
    <w:rPr>
      <w:caps/>
      <w:sz w:val="28"/>
      <w:szCs w:val="28"/>
      <w:lang w:eastAsia="en-US"/>
    </w:rPr>
  </w:style>
  <w:style w:type="paragraph" w:styleId="61" w:customStyle="1">
    <w:name w:val="Оглавление 61"/>
    <w:basedOn w:val="Normal"/>
    <w:next w:val="Normal"/>
    <w:autoRedefine/>
    <w:unhideWhenUsed/>
    <w:qFormat/>
    <w:rsid w:val="00f62e73"/>
    <w:pPr>
      <w:spacing w:lineRule="auto" w:line="240" w:before="0" w:after="0"/>
      <w:ind w:left="1120"/>
    </w:pPr>
    <w:rPr>
      <w:rFonts w:eastAsia="Times New Roman" w:cs="Calibri"/>
      <w:sz w:val="20"/>
      <w:szCs w:val="20"/>
      <w:lang w:eastAsia="ru-RU"/>
    </w:rPr>
  </w:style>
  <w:style w:type="paragraph" w:styleId="71" w:customStyle="1">
    <w:name w:val="Оглавление 71"/>
    <w:basedOn w:val="Normal"/>
    <w:next w:val="Normal"/>
    <w:autoRedefine/>
    <w:unhideWhenUsed/>
    <w:qFormat/>
    <w:rsid w:val="00f62e73"/>
    <w:pPr>
      <w:spacing w:lineRule="auto" w:line="240" w:before="0" w:after="0"/>
      <w:ind w:left="1400"/>
    </w:pPr>
    <w:rPr>
      <w:rFonts w:eastAsia="Times New Roman" w:cs="Calibri"/>
      <w:sz w:val="20"/>
      <w:szCs w:val="20"/>
      <w:lang w:eastAsia="ru-RU"/>
    </w:rPr>
  </w:style>
  <w:style w:type="paragraph" w:styleId="81" w:customStyle="1">
    <w:name w:val="Оглавление 81"/>
    <w:basedOn w:val="Normal"/>
    <w:next w:val="Normal"/>
    <w:autoRedefine/>
    <w:unhideWhenUsed/>
    <w:qFormat/>
    <w:rsid w:val="00f62e73"/>
    <w:pPr>
      <w:spacing w:lineRule="auto" w:line="240" w:before="0" w:after="0"/>
      <w:ind w:left="1680"/>
    </w:pPr>
    <w:rPr>
      <w:rFonts w:eastAsia="Times New Roman" w:cs="Calibri"/>
      <w:sz w:val="20"/>
      <w:szCs w:val="20"/>
      <w:lang w:eastAsia="ru-RU"/>
    </w:rPr>
  </w:style>
  <w:style w:type="paragraph" w:styleId="TOC3">
    <w:name w:val="TOC 3"/>
    <w:basedOn w:val="Normal"/>
    <w:next w:val="Normal"/>
    <w:autoRedefine/>
    <w:uiPriority w:val="39"/>
    <w:unhideWhenUsed/>
    <w:rsid w:val="00f62e73"/>
    <w:pPr>
      <w:spacing w:before="0" w:after="100"/>
      <w:ind w:left="440"/>
    </w:pPr>
    <w:rPr/>
  </w:style>
  <w:style w:type="paragraph" w:styleId="TOC4">
    <w:name w:val="TOC 4"/>
    <w:basedOn w:val="Normal"/>
    <w:next w:val="Normal"/>
    <w:autoRedefine/>
    <w:uiPriority w:val="39"/>
    <w:unhideWhenUsed/>
    <w:rsid w:val="00c2183b"/>
    <w:pPr>
      <w:tabs>
        <w:tab w:val="clear" w:pos="708"/>
        <w:tab w:val="left" w:pos="1320" w:leader="none"/>
        <w:tab w:val="right" w:pos="10194" w:leader="dot"/>
      </w:tabs>
      <w:spacing w:before="0" w:after="100"/>
      <w:ind w:left="660"/>
    </w:pPr>
    <w:rPr>
      <w:rFonts w:ascii="Times New Roman" w:hAnsi="Times New Roman" w:cs="Times New Roman"/>
      <w:iCs/>
    </w:rPr>
  </w:style>
  <w:style w:type="paragraph" w:styleId="Style37" w:customStyle="1">
    <w:name w:val="Содержимое врезки"/>
    <w:basedOn w:val="Normal"/>
    <w:qFormat/>
    <w:pPr/>
    <w:rPr/>
  </w:style>
  <w:style w:type="paragraph" w:styleId="Style38" w:customStyle="1">
    <w:name w:val="Содержимое таблицы"/>
    <w:basedOn w:val="Normal"/>
    <w:qFormat/>
    <w:pPr>
      <w:widowControl w:val="false"/>
      <w:suppressLineNumbers/>
    </w:pPr>
    <w:rPr/>
  </w:style>
  <w:style w:type="paragraph" w:styleId="Style39" w:customStyle="1">
    <w:name w:val="Заголовок таблицы"/>
    <w:basedOn w:val="Style38"/>
    <w:qFormat/>
    <w:pPr>
      <w:jc w:val="center"/>
    </w:pPr>
    <w:rPr>
      <w:b/>
      <w:bCs/>
    </w:rPr>
  </w:style>
  <w:style w:type="paragraph" w:styleId="213" w:customStyle="1">
    <w:name w:val="Стиль2"/>
    <w:basedOn w:val="Normal"/>
    <w:qFormat/>
    <w:pPr>
      <w:tabs>
        <w:tab w:val="clear" w:pos="708"/>
        <w:tab w:val="left" w:pos="360" w:leader="none"/>
        <w:tab w:val="left" w:pos="900" w:leader="none"/>
      </w:tabs>
      <w:jc w:val="both"/>
    </w:pPr>
    <w:rPr>
      <w:rFonts w:ascii="Calibri" w:hAnsi="Calibri" w:eastAsia="Calibri"/>
      <w:sz w:val="24"/>
      <w:szCs w:val="24"/>
    </w:rPr>
  </w:style>
  <w:style w:type="paragraph" w:styleId="214" w:customStyle="1">
    <w:name w:val="Маркированный 2"/>
    <w:basedOn w:val="Normal"/>
    <w:link w:val="25"/>
    <w:qFormat/>
    <w:rsid w:val="007c1a3b"/>
    <w:pPr>
      <w:numPr>
        <w:ilvl w:val="0"/>
        <w:numId w:val="13"/>
      </w:numPr>
      <w:tabs>
        <w:tab w:val="clear" w:pos="708"/>
        <w:tab w:val="left" w:pos="993" w:leader="none"/>
      </w:tabs>
      <w:suppressAutoHyphens w:val="false"/>
      <w:spacing w:lineRule="auto" w:line="276" w:before="120" w:after="0"/>
      <w:jc w:val="both"/>
    </w:pPr>
    <w:rPr>
      <w:sz w:val="24"/>
      <w:szCs w:val="24"/>
    </w:rPr>
  </w:style>
  <w:style w:type="paragraph" w:styleId="Body1" w:customStyle="1">
    <w:name w:val="Body"/>
    <w:basedOn w:val="Normal"/>
    <w:link w:val="Body"/>
    <w:qFormat/>
    <w:rsid w:val="00d34949"/>
    <w:pPr>
      <w:suppressAutoHyphens w:val="false"/>
      <w:spacing w:lineRule="atLeast" w:line="360" w:before="120" w:after="0"/>
      <w:ind w:firstLine="851" w:left="284"/>
      <w:jc w:val="both"/>
    </w:pPr>
    <w:rPr>
      <w:rFonts w:ascii="Pragmatica" w:hAnsi="Pragmatica"/>
      <w:sz w:val="28"/>
    </w:rPr>
  </w:style>
  <w:style w:type="paragraph" w:styleId="Standard" w:customStyle="1">
    <w:name w:val="Standard"/>
    <w:qFormat/>
    <w:rsid w:val="00c63ffa"/>
    <w:pPr>
      <w:widowControl w:val="false"/>
      <w:suppressAutoHyphens w:val="true"/>
      <w:bidi w:val="0"/>
      <w:spacing w:before="0" w:after="0"/>
      <w:jc w:val="left"/>
      <w:textAlignment w:val="baseline"/>
    </w:pPr>
    <w:rPr>
      <w:rFonts w:ascii="Times New Roman" w:hAnsi="Times New Roman" w:eastAsia="SimSun" w:cs="Mangal"/>
      <w:color w:val="auto"/>
      <w:kern w:val="2"/>
      <w:sz w:val="24"/>
      <w:szCs w:val="24"/>
      <w:lang w:val="ru-RU" w:eastAsia="zh-CN" w:bidi="hi-IN"/>
    </w:rPr>
  </w:style>
  <w:style w:type="paragraph" w:styleId="TOC2">
    <w:name w:val="TOC 2"/>
    <w:basedOn w:val="Normal"/>
    <w:next w:val="Normal"/>
    <w:autoRedefine/>
    <w:uiPriority w:val="39"/>
    <w:unhideWhenUsed/>
    <w:rsid w:val="00781090"/>
    <w:pPr>
      <w:spacing w:before="0" w:after="100"/>
      <w:ind w:left="220"/>
    </w:pPr>
    <w:rPr/>
  </w:style>
  <w:style w:type="paragraph" w:styleId="Default" w:customStyle="1">
    <w:name w:val="Default"/>
    <w:qFormat/>
    <w:rsid w:val="00e63f61"/>
    <w:pPr>
      <w:widowControl/>
      <w:suppressAutoHyphens w:val="false"/>
      <w:bidi w:val="0"/>
      <w:spacing w:before="0" w:after="0"/>
      <w:jc w:val="left"/>
    </w:pPr>
    <w:rPr>
      <w:rFonts w:ascii="Times New Roman" w:hAnsi="Times New Roman" w:eastAsia="Calibri" w:cs="Times New Roman"/>
      <w:color w:val="000000"/>
      <w:kern w:val="0"/>
      <w:sz w:val="24"/>
      <w:szCs w:val="24"/>
      <w:lang w:val="ru-RU" w:eastAsia="en-US" w:bidi="ar-SA"/>
    </w:rPr>
  </w:style>
  <w:style w:type="numbering" w:styleId="NoList" w:default="1">
    <w:name w:val="No List"/>
    <w:uiPriority w:val="99"/>
    <w:semiHidden/>
    <w:unhideWhenUsed/>
    <w:qFormat/>
  </w:style>
  <w:style w:type="numbering" w:styleId="111" w:customStyle="1">
    <w:name w:val="Нет списка1"/>
    <w:uiPriority w:val="99"/>
    <w:semiHidden/>
    <w:unhideWhenUsed/>
    <w:qFormat/>
    <w:rsid w:val="00f62e73"/>
  </w:style>
  <w:style w:type="numbering" w:styleId="112" w:customStyle="1">
    <w:name w:val="Стиль1"/>
    <w:uiPriority w:val="99"/>
    <w:qFormat/>
    <w:rsid w:val="00f62e73"/>
  </w:style>
  <w:style w:type="numbering" w:styleId="215" w:customStyle="1">
    <w:name w:val="Стиль21"/>
    <w:uiPriority w:val="99"/>
    <w:qFormat/>
    <w:rsid w:val="00f62e73"/>
  </w:style>
  <w:style w:type="table" w:default="1" w:styleId="a5">
    <w:name w:val="Normal Table"/>
    <w:uiPriority w:val="99"/>
    <w:semiHidden/>
    <w:unhideWhenUsed/>
    <w:tblPr>
      <w:tblCellMar>
        <w:top w:w="0" w:type="dxa"/>
        <w:left w:w="108" w:type="dxa"/>
        <w:bottom w:w="0" w:type="dxa"/>
        <w:right w:w="108" w:type="dxa"/>
      </w:tblCellMar>
    </w:tblPr>
  </w:style>
  <w:style w:type="table" w:styleId="affffd">
    <w:name w:val="Table Grid"/>
    <w:basedOn w:val="a5"/>
    <w:uiPriority w:val="39"/>
    <w:rsid w:val="00f62e73"/>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f62e73"/>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2">
    <w:name w:val="Сетка таблицы2"/>
    <w:basedOn w:val="a5"/>
    <w:uiPriority w:val="39"/>
    <w:rsid w:val="00926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c">
    <w:name w:val="Сетка таблицы3"/>
    <w:basedOn w:val="a5"/>
    <w:uiPriority w:val="39"/>
    <w:rsid w:val="00bf48f2"/>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Сетка таблицы4"/>
    <w:basedOn w:val="a5"/>
    <w:uiPriority w:val="39"/>
    <w:rsid w:val="001f2d84"/>
    <w:pPr>
      <w:spacing w:before="120" w:after="12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5"/>
    <w:uiPriority w:val="39"/>
    <w:rsid w:val="008e1b9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0">
    <w:name w:val="Сетка таблицы52"/>
    <w:basedOn w:val="a5"/>
    <w:uiPriority w:val="39"/>
    <w:rsid w:val="00ee33b8"/>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package" Target="embeddings/oleObject1.docx"/><Relationship Id="rId6" Type="http://schemas.openxmlformats.org/officeDocument/2006/relationships/image" Target="media/image1.wmf"/><Relationship Id="rId7" Type="http://schemas.openxmlformats.org/officeDocument/2006/relationships/package" Target="embeddings/oleObject2.docx"/><Relationship Id="rId8" Type="http://schemas.openxmlformats.org/officeDocument/2006/relationships/image" Target="media/image2.wmf"/><Relationship Id="rId9" Type="http://schemas.openxmlformats.org/officeDocument/2006/relationships/package" Target="embeddings/oleObject3.docx"/><Relationship Id="rId10" Type="http://schemas.openxmlformats.org/officeDocument/2006/relationships/image" Target="media/image3.wmf"/><Relationship Id="rId11" Type="http://schemas.openxmlformats.org/officeDocument/2006/relationships/package" Target="embeddings/oleObject4.docx"/><Relationship Id="rId12" Type="http://schemas.openxmlformats.org/officeDocument/2006/relationships/image" Target="media/image4.wmf"/><Relationship Id="rId13" Type="http://schemas.openxmlformats.org/officeDocument/2006/relationships/package" Target="embeddings/oleObject5.docx"/><Relationship Id="rId14" Type="http://schemas.openxmlformats.org/officeDocument/2006/relationships/image" Target="media/image5.wmf"/><Relationship Id="rId15" Type="http://schemas.openxmlformats.org/officeDocument/2006/relationships/package" Target="embeddings/oleObject6.docx"/><Relationship Id="rId16" Type="http://schemas.openxmlformats.org/officeDocument/2006/relationships/image" Target="media/image6.wmf"/><Relationship Id="rId17" Type="http://schemas.openxmlformats.org/officeDocument/2006/relationships/package" Target="embeddings/oleObject7.docx"/><Relationship Id="rId18" Type="http://schemas.openxmlformats.org/officeDocument/2006/relationships/image" Target="media/image7.wmf"/><Relationship Id="rId19" Type="http://schemas.openxmlformats.org/officeDocument/2006/relationships/header" Target="header1.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68D75-F03B-44DD-BAED-E6066491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AlterOffice/2026.2.0.0$Linux_X86_64 LibreOffice_project/bc4ef1adf80b36c7a6365f8ed6cbf29021361edd</Application>
  <AppVersion>15.0000</AppVersion>
  <Pages>46</Pages>
  <Words>9973</Words>
  <Characters>72038</Characters>
  <CharactersWithSpaces>80805</CharactersWithSpaces>
  <Paragraphs>1046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2026-09-16T08:15:00Z</dcterms:created>
  <dc:creator>Муратова Светлана Витальевна</dc:creator>
  <dc:description/>
  <dc:language>ru-RU</dc:language>
  <cp:lastModifiedBy>borodaika@corp.gidroogk.com</cp:lastModifiedBy>
  <cp:lastPrinted>2026-03-02T11:23:00Z</cp:lastPrinted>
  <dcterms:modified xsi:type="dcterms:W3CDTF">2026-09-17T10:13:17Z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