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/>
        <w:ind w:firstLine="851" w:left="0" w:right="0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Heading1"/>
        <w:widowControl w:val="false"/>
        <w:numPr>
          <w:ilvl w:val="0"/>
        </w:numPr>
        <w:spacing w:lineRule="auto" w:line="264"/>
        <w:ind w:hanging="0" w:left="0"/>
        <w:jc w:val="center"/>
        <w:rPr>
          <w:sz w:val="28"/>
          <w:szCs w:val="28"/>
        </w:rPr>
      </w:pP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eastAsia="ru-RU"/>
        </w:rPr>
        <w:t>ОКПД 2: 26.51.66.124</w:t>
      </w:r>
      <w:r>
        <w:rPr>
          <w:rFonts w:eastAsia="Calibri" w:cs="Times New Roman"/>
          <w:b w:val="false"/>
          <w:bCs w:val="false"/>
          <w:sz w:val="28"/>
          <w:szCs w:val="28"/>
          <w:shd w:fill="auto" w:val="clear"/>
          <w:lang w:eastAsia="ru-RU"/>
        </w:rPr>
        <w:t xml:space="preserve"> Поставка тепловизоров</w:t>
      </w:r>
      <w:r>
        <w:rPr>
          <w:rFonts w:eastAsia="Calibri" w:cs="Times New Roman"/>
          <w:b w:val="false"/>
          <w:bCs w:val="false"/>
          <w:color w:val="000000"/>
          <w:sz w:val="28"/>
          <w:szCs w:val="28"/>
          <w:shd w:fill="auto" w:val="clear"/>
          <w:lang w:eastAsia="ru-RU"/>
        </w:rPr>
        <w:t xml:space="preserve"> </w:t>
      </w:r>
      <w:r>
        <w:rPr>
          <w:rFonts w:eastAsia="Calibri" w:cs="Times New Roman"/>
          <w:b w:val="false"/>
          <w:bCs w:val="false"/>
          <w:color w:val="000000"/>
          <w:sz w:val="28"/>
          <w:szCs w:val="28"/>
          <w:u w:val="none"/>
          <w:shd w:fill="auto" w:val="clear"/>
          <w:lang w:eastAsia="ru-RU"/>
        </w:rPr>
        <w:t>для нужд Кубанского филиала.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jc w:val="center"/>
        <w:outlineLvl w:val="1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spacing w:lineRule="auto" w:line="264"/>
        <w:ind w:firstLine="851" w:left="0" w:right="0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2"/>
            <w:shd w:fill="FFFFFF" w:val="clear"/>
            <w:rPr>
              <w:rFonts w:ascii="Times New Roman" w:hAnsi="Times New Roman" w:cs="Times New Roman"/>
              <w:b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instrText xml:space="preserve"> TOC \o "1-3" \h</w:instrText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fldChar w:fldCharType="separate"/>
          </w:r>
          <w:r>
            <w:rPr>
              <w:rFonts w:cs="Times New Roman" w:ascii="Times New Roman" w:hAnsi="Times New Roman"/>
              <w:b/>
              <w:sz w:val="24"/>
              <w:szCs w:val="24"/>
              <w:lang w:eastAsia="ru-RU"/>
            </w:rPr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1.Общие сведения</w:t>
            <w:tab/>
            <w:t>3</w:t>
          </w:r>
        </w:p>
        <w:p>
          <w:pPr>
            <w:pStyle w:val="TOC2"/>
            <w:shd w:val="clear" w:fill="FFFFFF"/>
            <w:spacing w:lineRule="auto" w:line="276"/>
            <w:rPr>
              <w:b w:val="false"/>
              <w:bCs w:val="false"/>
            </w:rPr>
          </w:pP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>1.1.</w:t>
            <w:tab/>
            <w:t>Наименование закупаемой продукции.</w:t>
            <w:tab/>
            <w:t>3</w:t>
          </w:r>
        </w:p>
        <w:p>
          <w:pPr>
            <w:pStyle w:val="TOC2"/>
            <w:shd w:val="clear" w:fill="FFFFFF"/>
            <w:spacing w:lineRule="auto" w:line="276"/>
            <w:rPr>
              <w:b w:val="false"/>
              <w:bCs w:val="false"/>
            </w:rPr>
          </w:pP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>1.2.</w:t>
            <w:tab/>
            <w:t>Цель использования закупаемой продукции.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2.Требования к продукции.</w:t>
            <w:tab/>
            <w:t>3</w:t>
          </w:r>
        </w:p>
        <w:p>
          <w:pPr>
            <w:pStyle w:val="TOC3"/>
            <w:shd w:val="clear" w:fill="FFFFFF"/>
            <w:spacing w:lineRule="auto" w:line="276"/>
            <w:rPr>
              <w:b w:val="false"/>
              <w:bCs w:val="false"/>
            </w:rPr>
          </w:pP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>2.1.1</w:t>
            <w:tab/>
            <w:t>Перечень и объем закупаемой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Таблица 1.1 Перечень и объем закупаемой продукции</w:t>
            <w:tab/>
            <w:t>3</w:t>
          </w:r>
        </w:p>
        <w:p>
          <w:pPr>
            <w:pStyle w:val="TOC3"/>
            <w:shd w:val="clear" w:fill="FFFFFF"/>
            <w:spacing w:lineRule="auto" w:line="276"/>
            <w:rPr>
              <w:b w:val="false"/>
              <w:bCs w:val="false"/>
            </w:rPr>
          </w:pP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>2.1.2</w:t>
            <w:tab/>
            <w:t>Требования к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Таблица 2.1 Требования по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2.2 Требование к качеству продукции………………………………………………...………………...4</w:t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Таблица 3. Требования к продукции</w:t>
            <w:tab/>
            <w:t>4</w:t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3.Требования к документации по ценообразованию на этапе закупки.</w:t>
            <w:tab/>
            <w:t>5</w:t>
          </w:r>
          <w:r>
            <w:rPr>
              <w:sz w:val="24"/>
              <w:b w:val="false"/>
              <w:shd w:fill="FFFFFF" w:val="clear"/>
              <w:szCs w:val="24"/>
              <w:bCs w:val="false"/>
              <w:color w:val="000000"/>
            </w:rPr>
            <w:fldChar w:fldCharType="end"/>
          </w:r>
        </w:p>
      </w:sdtContent>
    </w:sdt>
    <w:p>
      <w:pPr>
        <w:pStyle w:val="TOC1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OC1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hanging="0" w:left="0" w:right="0"/>
        <w:outlineLvl w:val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Heading1"/>
        <w:keepLines/>
        <w:numPr>
          <w:ilvl w:val="0"/>
          <w:numId w:val="6"/>
        </w:numPr>
        <w:jc w:val="center"/>
        <w:rPr>
          <w:rFonts w:ascii="Times New Roman" w:hAnsi="Times New Roman"/>
          <w:sz w:val="24"/>
          <w:szCs w:val="24"/>
        </w:rPr>
      </w:pPr>
      <w:bookmarkStart w:id="1" w:name="_Toc75446566"/>
      <w:bookmarkStart w:id="2" w:name="_Toc51339692"/>
      <w:bookmarkStart w:id="3" w:name="_Toc125473240"/>
      <w:bookmarkStart w:id="4" w:name="_Toc125476050"/>
      <w:r>
        <w:rPr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ListParagraph"/>
        <w:widowControl w:val="false"/>
        <w:numPr>
          <w:ilvl w:val="1"/>
          <w:numId w:val="1"/>
        </w:numPr>
        <w:spacing w:before="0" w:after="0"/>
        <w:ind w:hanging="480" w:left="480" w:right="0"/>
        <w:contextualSpacing/>
        <w:outlineLvl w:val="1"/>
        <w:rPr>
          <w:sz w:val="24"/>
          <w:szCs w:val="24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Heading1"/>
        <w:numPr>
          <w:ilvl w:val="0"/>
        </w:numPr>
        <w:ind w:hanging="0" w:left="0"/>
        <w:rPr>
          <w:sz w:val="24"/>
          <w:szCs w:val="24"/>
        </w:rPr>
      </w:pP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ru-RU"/>
        </w:rPr>
        <w:t>ОКПД 2: 26.51.66.124</w:t>
      </w: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ru-RU"/>
        </w:rPr>
        <w:t xml:space="preserve"> Поставка тепловизоров для нужд Кубанского филиала.</w:t>
      </w:r>
      <w:r>
        <w:rPr>
          <w:rFonts w:eastAsia="Calibri" w:cs="Times New Roman"/>
          <w:b w:val="false"/>
          <w:bCs w:val="false"/>
          <w:sz w:val="24"/>
          <w:szCs w:val="24"/>
        </w:rPr>
        <w:t>(далее продукция).</w:t>
      </w:r>
    </w:p>
    <w:p>
      <w:pPr>
        <w:pStyle w:val="ListParagraph"/>
        <w:widowControl w:val="false"/>
        <w:numPr>
          <w:ilvl w:val="1"/>
          <w:numId w:val="1"/>
        </w:numPr>
        <w:spacing w:before="0" w:after="0"/>
        <w:ind w:hanging="480" w:left="480" w:right="0"/>
        <w:contextualSpacing/>
        <w:outlineLvl w:val="1"/>
        <w:rPr>
          <w:sz w:val="24"/>
          <w:szCs w:val="24"/>
        </w:rPr>
      </w:pPr>
      <w:bookmarkStart w:id="7" w:name="_Toc125473242"/>
      <w:bookmarkStart w:id="8" w:name="_Toc12547605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both"/>
        <w:rPr/>
      </w:pPr>
      <w:r>
        <w:rPr>
          <w:rFonts w:eastAsia="Times New Roman" w:cs="Times New Roman" w:ascii="Times New Roman" w:hAnsi="Times New Roman"/>
          <w:b w:val="false"/>
          <w:bCs/>
          <w:i w:val="false"/>
          <w:iCs/>
          <w:color w:val="000000"/>
          <w:kern w:val="0"/>
          <w:sz w:val="24"/>
          <w:szCs w:val="24"/>
          <w:shd w:fill="FFFFFF" w:val="clear"/>
          <w:lang w:val="ru-RU" w:eastAsia="ru-RU" w:bidi="ar-SA"/>
        </w:rPr>
        <w:t>Исполнение обязательств по договору подряда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  <w:bookmarkStart w:id="9" w:name="_Toc125473249"/>
      <w:bookmarkStart w:id="10" w:name="_Toc125476056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left"/>
        <w:rPr>
          <w:rFonts w:ascii="Times New Roman" w:hAnsi="Times New Roman" w:eastAsia="Times New Roman" w:cs="Times New Roman"/>
          <w:bCs/>
          <w:i w:val="false"/>
          <w:i w:val="false"/>
          <w:iCs w:val="false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sz w:val="24"/>
          <w:szCs w:val="24"/>
          <w:shd w:fill="FFFFFF" w:val="clear"/>
          <w:lang w:eastAsia="ru-RU"/>
        </w:rPr>
      </w:r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11" w:name="_Toc75446573"/>
      <w:bookmarkStart w:id="12" w:name="_Toc51339693"/>
      <w:r>
        <w:rPr>
          <w:rFonts w:eastAsia="Calibri"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eastAsia="Calibri"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Heading4"/>
        <w:numPr>
          <w:ilvl w:val="1"/>
          <w:numId w:val="4"/>
        </w:numPr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bookmarkStart w:id="13" w:name="_Toc75446574"/>
      <w:r>
        <w:rPr>
          <w:b w:val="false"/>
          <w:bCs w:val="false"/>
          <w:sz w:val="24"/>
          <w:szCs w:val="24"/>
        </w:rPr>
        <w:t xml:space="preserve"> </w:t>
      </w:r>
      <w:r>
        <w:rPr>
          <w:bCs w:val="false"/>
          <w:sz w:val="24"/>
          <w:szCs w:val="24"/>
        </w:rPr>
        <w:t>Требования к объемам и срокам постав</w:t>
      </w:r>
      <w:r>
        <w:rPr>
          <w:sz w:val="24"/>
          <w:szCs w:val="24"/>
        </w:rPr>
        <w:t>ки</w:t>
      </w:r>
      <w:bookmarkEnd w:id="13"/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 w:right="0"/>
        <w:outlineLvl w:val="2"/>
        <w:rPr>
          <w:rFonts w:ascii="Times New Roman" w:hAnsi="Times New Roman"/>
          <w:sz w:val="24"/>
          <w:szCs w:val="24"/>
        </w:rPr>
      </w:pPr>
      <w:bookmarkStart w:id="14" w:name="_Toc75446575"/>
      <w:bookmarkStart w:id="15" w:name="_Toc125473250"/>
      <w:bookmarkStart w:id="16" w:name="_Toc125476057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17" w:name="_Toc125476058"/>
      <w:bookmarkStart w:id="18" w:name="_Toc125473251"/>
      <w:bookmarkStart w:id="19" w:name="_Toc75446576"/>
      <w:bookmarkStart w:id="20" w:name="_Toc5133969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9925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6433"/>
        <w:gridCol w:w="1373"/>
        <w:gridCol w:w="1457"/>
      </w:tblGrid>
      <w:tr>
        <w:trPr/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jc w:val="left"/>
              <w:rPr>
                <w:rFonts w:ascii="Times New Roman" w:hAnsi="Times New Roman" w:eastAsia="Calibri" w:cs="Tahoma"/>
                <w:b w:val="false"/>
                <w:bCs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  <w:t>Тепловизор фиксированный, STX-IP52K/S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67" w:leader="none"/>
        </w:tabs>
        <w:spacing w:before="120" w:after="0"/>
        <w:ind w:hanging="0" w:left="0" w:right="0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 w:right="0"/>
        <w:outlineLvl w:val="2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21" w:name="_Toc125476060"/>
      <w:bookmarkStart w:id="22" w:name="_Toc125473253"/>
      <w:bookmarkStart w:id="23" w:name="_Toc75446579"/>
      <w:bookmarkStart w:id="24" w:name="_Toc51339697"/>
      <w:bookmarkStart w:id="25" w:name="_Toc50125127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889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974"/>
        <w:gridCol w:w="2835"/>
        <w:gridCol w:w="3545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партии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1348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 xml:space="preserve">ОКПД 2: 26.51.66.124 Поставка тепловизоров для нужд Кубанского филиала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shd w:fill="FFFFFF" w:val="clear"/>
                <w:lang w:eastAsia="ru-RU"/>
              </w:rPr>
              <w:t>(в соответствии с Таблица 1.1 Перечень объемов закупаемой продукции)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60 календарных дней с даты подписания договора</w:t>
            </w:r>
          </w:p>
        </w:tc>
      </w:tr>
    </w:tbl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Heading4"/>
        <w:numPr>
          <w:ilvl w:val="1"/>
          <w:numId w:val="4"/>
        </w:numPr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7" w:name="_Toc125476061"/>
      <w:bookmarkStart w:id="28" w:name="_Toc125473255"/>
      <w:r>
        <w:rPr>
          <w:sz w:val="24"/>
          <w:szCs w:val="24"/>
        </w:rPr>
        <w:t>Требования к качеству продукции</w:t>
      </w:r>
      <w:bookmarkEnd w:id="27"/>
      <w:bookmarkEnd w:id="28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29" w:name="_Toc125476062"/>
      <w:bookmarkStart w:id="30" w:name="_Toc125473256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29"/>
      <w:bookmarkEnd w:id="30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bookmarkStart w:id="31" w:name="_Toc125473257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 xml:space="preserve">согласно Таблицы 1.1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z w:val="24"/>
          <w:szCs w:val="24"/>
          <w:lang w:eastAsia="ar-SA"/>
        </w:rPr>
        <w:t>«</w:t>
      </w:r>
      <w:r>
        <w:rPr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x-none"/>
        </w:rPr>
        <w:t>Перечень и объем закупаемой продукции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z w:val="24"/>
          <w:szCs w:val="24"/>
          <w:lang w:eastAsia="ar-SA"/>
        </w:rPr>
        <w:t>»</w:t>
      </w:r>
      <w:bookmarkEnd w:id="31"/>
    </w:p>
    <w:tbl>
      <w:tblPr>
        <w:tblW w:w="10050" w:type="dxa"/>
        <w:jc w:val="left"/>
        <w:tblInd w:w="1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2794"/>
        <w:gridCol w:w="3"/>
        <w:gridCol w:w="2938"/>
        <w:gridCol w:w="1825"/>
        <w:gridCol w:w="1725"/>
      </w:tblGrid>
      <w:tr>
        <w:trPr/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п/п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Наименование параметра</w:t>
            </w:r>
          </w:p>
        </w:tc>
        <w:tc>
          <w:tcPr>
            <w:tcW w:w="29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Требование заказчика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6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94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200"/>
              <w:ind w:hanging="0" w:left="-57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200"/>
              <w:ind w:hanging="0" w:left="-57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2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1.1</w:t>
            </w:r>
          </w:p>
        </w:tc>
        <w:tc>
          <w:tcPr>
            <w:tcW w:w="57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jc w:val="left"/>
              <w:rPr>
                <w:rFonts w:ascii="Times New Roman" w:hAnsi="Times New Roman" w:eastAsia="Calibri" w:cs="Tahoma"/>
                <w:b w:val="false"/>
                <w:bCs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en-US" w:bidi="ar-SA"/>
              </w:rPr>
              <w:t>Тепловизор фиксированный, STX-IP52K/S</w:t>
            </w:r>
          </w:p>
        </w:tc>
        <w:tc>
          <w:tcPr>
            <w:tcW w:w="18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200"/>
              <w:jc w:val="left"/>
              <w:rPr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требованиям.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eastAsia="Calibri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u w:val="none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u w:val="none"/>
                <w:shd w:fill="auto" w:val="clear"/>
                <w:lang w:val="ru-RU" w:eastAsia="ru-RU" w:bidi="ar-SA"/>
              </w:rPr>
            </w:r>
          </w:p>
        </w:tc>
        <w:tc>
          <w:tcPr>
            <w:tcW w:w="17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1.1.1</w:t>
            </w:r>
          </w:p>
        </w:tc>
        <w:tc>
          <w:tcPr>
            <w:tcW w:w="2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Чувствительность, мК</w:t>
            </w:r>
          </w:p>
        </w:tc>
        <w:tc>
          <w:tcPr>
            <w:tcW w:w="2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40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1.1.2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Видеовыход</w:t>
            </w:r>
          </w:p>
        </w:tc>
        <w:tc>
          <w:tcPr>
            <w:tcW w:w="2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Ethernet, RJ45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1.1.3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Напряжение питания, В</w:t>
            </w:r>
          </w:p>
        </w:tc>
        <w:tc>
          <w:tcPr>
            <w:tcW w:w="2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12/PoE (IEEE802.3af)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1.1.4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Разрешение, пикселей</w:t>
            </w:r>
          </w:p>
        </w:tc>
        <w:tc>
          <w:tcPr>
            <w:tcW w:w="2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640x512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1.1.5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Объектив, мм</w:t>
            </w:r>
          </w:p>
        </w:tc>
        <w:tc>
          <w:tcPr>
            <w:tcW w:w="2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15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1.1.6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Размер пикселя, мкм</w:t>
            </w:r>
          </w:p>
        </w:tc>
        <w:tc>
          <w:tcPr>
            <w:tcW w:w="2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17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6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1.1.7</w:t>
            </w:r>
          </w:p>
        </w:tc>
        <w:tc>
          <w:tcPr>
            <w:tcW w:w="279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Диапазон рабочих температур, ⁰С</w:t>
            </w:r>
          </w:p>
        </w:tc>
        <w:tc>
          <w:tcPr>
            <w:tcW w:w="2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Не менее -45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6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720"/>
              <w:jc w:val="left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9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Не более+60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lang w:val="ru-RU" w:eastAsia="en-US" w:bidi="ar-SA"/>
              </w:rPr>
              <w:t>1.1.8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Монтажная коробка</w:t>
            </w:r>
            <w:r>
              <w:rPr>
                <w:rFonts w:eastAsia="Calibri" w:cs="Tahoma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/>
              </w:rPr>
              <w:t xml:space="preserve"> </w:t>
            </w:r>
            <w:hyperlink r:id="rId2" w:tgtFrame="_blank">
              <w:r>
                <w:rPr>
                  <w:rStyle w:val="Hyperlink"/>
                  <w:rFonts w:eastAsia="Calibri" w:cs="Tahoma" w:ascii="Times New Roman" w:hAnsi="Times New Roman"/>
                  <w:b w:val="false"/>
                  <w:bCs w:val="false"/>
                  <w:color w:val="000000"/>
                  <w:kern w:val="0"/>
                  <w:sz w:val="24"/>
                  <w:szCs w:val="24"/>
                  <w:u w:val="none"/>
                  <w:lang w:val="ru-RU" w:eastAsia="zh-CN" w:bidi="hi-IN"/>
                </w:rPr>
                <w:t>STB-К</w:t>
              </w:r>
            </w:hyperlink>
            <w:r>
              <w:rPr>
                <w:rFonts w:eastAsia="Calibri" w:cs="Tahoma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zh-CN" w:bidi="hi-IN"/>
              </w:rPr>
              <w:t>645G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в комплекте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</w:t>
            </w:r>
          </w:p>
        </w:tc>
        <w:tc>
          <w:tcPr>
            <w:tcW w:w="573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2.1</w:t>
            </w:r>
          </w:p>
        </w:tc>
        <w:tc>
          <w:tcPr>
            <w:tcW w:w="2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Гарантия, не менее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36 (тридцать шесть) месяцев, исчисляемый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2.2</w:t>
            </w:r>
          </w:p>
        </w:tc>
        <w:tc>
          <w:tcPr>
            <w:tcW w:w="5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</w:t>
            </w:r>
          </w:p>
        </w:tc>
        <w:tc>
          <w:tcPr>
            <w:tcW w:w="5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422" w:hRule="atLeast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3.1</w:t>
            </w:r>
          </w:p>
        </w:tc>
        <w:tc>
          <w:tcPr>
            <w:tcW w:w="2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Технический паспорт на русском языке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 экземпляра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3.2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Сертификат страны происхождения (РФ)</w:t>
            </w:r>
          </w:p>
        </w:tc>
        <w:tc>
          <w:tcPr>
            <w:tcW w:w="2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 экземпляра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3.3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true"/>
              <w:overflowPunct w:val="true"/>
              <w:bidi w:val="0"/>
              <w:spacing w:lineRule="auto" w:line="252" w:before="0" w:after="12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Упаковочный лист на продукцию</w:t>
            </w:r>
          </w:p>
        </w:tc>
        <w:tc>
          <w:tcPr>
            <w:tcW w:w="2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 экземпляра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92" w:hRule="atLeast"/>
        </w:trPr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3.4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иные документы предусмотренные п 3.3 договора</w:t>
            </w:r>
          </w:p>
        </w:tc>
        <w:tc>
          <w:tcPr>
            <w:tcW w:w="2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2 шт.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43" w:hRule="atLeast"/>
        </w:trPr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</w:t>
            </w:r>
          </w:p>
        </w:tc>
        <w:tc>
          <w:tcPr>
            <w:tcW w:w="57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4.1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Место поставки</w:t>
            </w:r>
          </w:p>
        </w:tc>
        <w:tc>
          <w:tcPr>
            <w:tcW w:w="2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ListParagraph"/>
              <w:widowControl w:val="false"/>
              <w:numPr>
                <w:ilvl w:val="1"/>
              </w:numPr>
              <w:shd w:val="clear" w:fill="FFFFFF"/>
              <w:tabs>
                <w:tab w:val="clear" w:pos="708"/>
                <w:tab w:val="left" w:pos="142" w:leader="none"/>
                <w:tab w:val="left" w:pos="540" w:leader="none"/>
              </w:tabs>
              <w:spacing w:before="0" w:after="0"/>
              <w:ind w:hanging="0" w:left="0" w:right="0"/>
              <w:contextualSpacing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357007, Ставропольский край, Кочубеевский р-н, с. Кочубеевское, АВТОДОРОГА «КАВКАЗ» 246КМ+1200М(СПРАВА)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4.2</w:t>
            </w:r>
          </w:p>
        </w:tc>
        <w:tc>
          <w:tcPr>
            <w:tcW w:w="57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Условия поставки за счет средств Поставщика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4.3</w:t>
            </w:r>
          </w:p>
        </w:tc>
        <w:tc>
          <w:tcPr>
            <w:tcW w:w="57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>Продукция должна быть новой, не бывшей в употреблении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4.4</w:t>
            </w:r>
          </w:p>
        </w:tc>
        <w:tc>
          <w:tcPr>
            <w:tcW w:w="5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Доставка оборудования должна соответствовать установленным требованиям.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</w:tbl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120" w:after="0"/>
        <w:ind w:hanging="0" w:left="360" w:right="0"/>
        <w:contextualSpacing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erReference w:type="default" r:id="rId3"/>
      <w:type w:val="nextPage"/>
      <w:pgSz w:w="11906" w:h="16838"/>
      <w:pgMar w:left="1134" w:right="624" w:gutter="0" w:header="0" w:top="454" w:footer="0" w:bottom="454"/>
      <w:pgNumType w:fmt="decimal"/>
      <w:formProt w:val="false"/>
      <w:textDirection w:val="lrTb"/>
      <w:docGrid w:type="default" w:linePitch="360" w:charSpace="2048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numPr>
        <w:ilvl w:val="0"/>
        <w:numId w:val="0"/>
      </w:num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1"/>
    </w:pPr>
    <w:rPr>
      <w:rFonts w:ascii="Cambria" w:hAnsi="Cambria" w:eastAsia="Calibri" w:cs="Tahom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0"/>
        <w:numId w:val="0"/>
      </w:numPr>
      <w:spacing w:before="120" w:after="60"/>
      <w:outlineLvl w:val="2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outlineLvl w:val="3"/>
    </w:pPr>
    <w:rPr>
      <w:bCs/>
    </w:rPr>
  </w:style>
  <w:style w:type="character" w:styleId="DefaultParagraphFont">
    <w:name w:val="Default Paragraph Font"/>
    <w:qFormat/>
    <w:rPr/>
  </w:style>
  <w:style w:type="character" w:styleId="Style5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>
    <w:name w:val="Верхний колонтитул Знак"/>
    <w:basedOn w:val="DefaultParagraphFont"/>
    <w:qFormat/>
    <w:rPr/>
  </w:style>
  <w:style w:type="character" w:styleId="Style7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>
    <w:name w:val="apple-converted-space"/>
    <w:basedOn w:val="DefaultParagraphFont"/>
    <w:qFormat/>
    <w:rPr/>
  </w:style>
  <w:style w:type="character" w:styleId="Bodytext2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>
    <w:name w:val="Абзац списка Знак"/>
    <w:link w:val="ListParagraph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>
    <w:name w:val="Гиперссылка1"/>
    <w:basedOn w:val="DefaultParagraphFont"/>
    <w:qFormat/>
    <w:rPr>
      <w:color w:val="0000FF"/>
      <w:u w:val="single"/>
    </w:rPr>
  </w:style>
  <w:style w:type="character" w:styleId="2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>
    <w:name w:val="Символ сноски"/>
    <w:qFormat/>
    <w:rPr/>
  </w:style>
  <w:style w:type="character" w:styleId="Style13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12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>
    <w:name w:val="index heading11"/>
    <w:basedOn w:val="12"/>
    <w:qFormat/>
    <w:pPr/>
    <w:rPr/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>
    <w:name w:val="index heading111"/>
    <w:basedOn w:val="12"/>
    <w:qFormat/>
    <w:pPr/>
    <w:rPr/>
  </w:style>
  <w:style w:type="paragraph" w:styleId="Style18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hanging="0" w:left="720" w:right="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rFonts w:ascii="Calibri" w:hAnsi="Calibri"/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eastAsia="Calibri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shd w:val="clear" w:fill="FFFFFF"/>
      <w:tabs>
        <w:tab w:val="clear" w:pos="708"/>
        <w:tab w:val="right" w:pos="10138" w:leader="dot"/>
      </w:tabs>
      <w:spacing w:before="0" w:after="100"/>
    </w:pPr>
    <w:rPr>
      <w:rFonts w:ascii="Times New Roman" w:hAnsi="Times New Roman" w:eastAsia="Calibri" w:cs="Times New Roman"/>
      <w:b/>
      <w:lang w:eastAsia="ru-RU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numbering" w:styleId="26903232511">
    <w:name w:val="26903232511"/>
    <w:qFormat/>
  </w:style>
  <w:style w:type="numbering" w:styleId="41329559151">
    <w:name w:val="4132955915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ecurtv.ru/catalogue/sistemy-videonabludenia/aksessuary-dla-videonabludenia/kronstejny-i-adaptery/catalogue_STB-C43.html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Application>AlterOffice/2026.2.1.0$Linux_X86_64 LibreOffice_project/f008988ffacaa0b2bf57911c2759d08ca79831df</Application>
  <AppVersion>15.0000</AppVersion>
  <Pages>5</Pages>
  <Words>560</Words>
  <Characters>3850</Characters>
  <CharactersWithSpaces>4288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2024-05-02T12:37:00Z</dcterms:created>
  <dc:creator>Катков Олег Валерьевич</dc:creator>
  <dc:description/>
  <dc:language>ru-RU</dc:language>
  <cp:lastModifiedBy>velikosvyatnn@corp.gidroogk.com</cp:lastModifiedBy>
  <cp:lastPrinted>2023-12-12T08:29:00Z</cp:lastPrinted>
  <dcterms:modified xsi:type="dcterms:W3CDTF">2026-09-17T08:23:43Z</dcterms:modified>
  <cp:revision>100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