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ind w:firstLine="851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Heading1"/>
        <w:widowControl w:val="false"/>
        <w:numPr>
          <w:ilvl w:val="0"/>
        </w:numPr>
        <w:spacing w:lineRule="auto" w:line="264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eastAsia="ru-RU"/>
        </w:rPr>
        <w:t>ОКПД 2: 26.51.44.000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shd w:fill="auto" w:val="clear"/>
          <w:lang w:eastAsia="ru-RU"/>
        </w:rPr>
        <w:t xml:space="preserve"> Поставка коммуникационного оборудования 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u w:val="none"/>
          <w:shd w:fill="auto" w:val="clear"/>
          <w:lang w:eastAsia="ru-RU"/>
        </w:rPr>
        <w:t>для нужд Кубанского филиала.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/>
      </w:r>
      <w:r>
        <w:br w:type="page"/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spacing w:lineRule="auto" w:line="264"/>
        <w:ind w:firstLine="851" w:left="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2"/>
            <w:shd w:fill="FFFFFF" w:val="clear"/>
            <w:rPr>
              <w:rFonts w:ascii="Times New Roman" w:hAnsi="Times New Roman" w:cs="Times New Roman"/>
              <w:b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instrText xml:space="preserve"> TOC \o "1-3" \h</w:instrText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fldChar w:fldCharType="separate"/>
          </w:r>
          <w:r>
            <w:rPr>
              <w:rFonts w:cs="Times New Roman" w:ascii="Times New Roman" w:hAnsi="Times New Roman"/>
              <w:b/>
              <w:sz w:val="24"/>
              <w:szCs w:val="24"/>
              <w:lang w:eastAsia="ru-RU"/>
            </w:rPr>
          </w:r>
        </w:p>
        <w:p>
          <w:pPr>
            <w:pStyle w:val="Normal"/>
            <w:widowControl w:val="false"/>
            <w:numPr>
              <w:ilvl w:val="0"/>
              <w:numId w:val="0"/>
            </w:numPr>
            <w:shd w:val="clear" w:color="auto" w:fill="FFFFFF"/>
            <w:spacing w:lineRule="auto" w:line="264"/>
            <w:ind w:firstLine="851" w:left="0"/>
            <w:jc w:val="center"/>
            <w:outlineLvl w:val="1"/>
            <w:rPr>
              <w:rFonts w:ascii="Times New Roman" w:hAnsi="Times New Roman"/>
              <w:sz w:val="24"/>
              <w:szCs w:val="24"/>
            </w:rPr>
          </w:pPr>
          <w:bookmarkStart w:id="0" w:name="_Toc125476049"/>
          <w:r>
            <w:rPr>
              <w:rFonts w:eastAsia="Times New Roman" w:ascii="Times New Roman" w:hAnsi="Times New Roman"/>
              <w:b/>
              <w:bCs/>
              <w:sz w:val="24"/>
              <w:szCs w:val="24"/>
              <w:lang w:eastAsia="ar-SA"/>
            </w:rPr>
            <w:t>СОДЕРЖАНИЕ</w:t>
          </w:r>
          <w:bookmarkEnd w:id="0"/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1.Общие сведения</w:t>
            <w:tab/>
            <w:t>3</w:t>
          </w:r>
        </w:p>
        <w:p>
          <w:pPr>
            <w:pStyle w:val="TOC2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1.1.</w:t>
            <w:tab/>
            <w:t>Наименование закупаемой продукции.</w:t>
            <w:tab/>
            <w:t>3</w:t>
          </w:r>
        </w:p>
        <w:p>
          <w:pPr>
            <w:pStyle w:val="TOC2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1.2.</w:t>
            <w:tab/>
            <w:t>Цель использования закупаемой продукции.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2.Требования к продукции.</w:t>
            <w:tab/>
            <w:t>3</w:t>
          </w:r>
        </w:p>
        <w:p>
          <w:pPr>
            <w:pStyle w:val="TOC3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2.1.1</w:t>
            <w:tab/>
            <w:t>Перечень и объем закупаемой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1.1 Перечень и объем закупаемой продукции</w:t>
            <w:tab/>
            <w:t>3</w:t>
          </w:r>
        </w:p>
        <w:p>
          <w:pPr>
            <w:pStyle w:val="TOC3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2.1.2</w:t>
            <w:tab/>
            <w:t>Требования к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2.1 Требования по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2.2 Требование к качеству продукции…………………………………………………………..………3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3. Требования к продукции</w:t>
            <w:tab/>
            <w:t>4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3.Требования к документации по ценообразованию на этапе закупки.</w:t>
            <w:tab/>
            <w:t>6</w:t>
          </w:r>
          <w:r>
            <w:rPr>
              <w:sz w:val="24"/>
              <w:b w:val="false"/>
              <w:shd w:fill="FFFFFF" w:val="clear"/>
              <w:szCs w:val="24"/>
              <w:color w:val="000000"/>
            </w:rPr>
            <w:fldChar w:fldCharType="end"/>
          </w:r>
        </w:p>
      </w:sdtContent>
    </w:sdt>
    <w:p>
      <w:pPr>
        <w:pStyle w:val="TOC1"/>
        <w:rPr>
          <w:lang w:eastAsia="ar-SA"/>
        </w:rPr>
      </w:pPr>
      <w:r>
        <w:rPr>
          <w:lang w:eastAsia="ar-SA"/>
        </w:rPr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jc w:val="center"/>
        <w:rPr>
          <w:sz w:val="24"/>
          <w:szCs w:val="24"/>
        </w:rPr>
      </w:pPr>
      <w:bookmarkStart w:id="1" w:name="_Toc125476050"/>
      <w:bookmarkStart w:id="2" w:name="_Toc125473240"/>
      <w:bookmarkStart w:id="3" w:name="_Toc51339692"/>
      <w:bookmarkStart w:id="4" w:name="_Toc75446566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5" w:name="_Toc125476051"/>
      <w:bookmarkStart w:id="6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FFFFFF" w:val="clear"/>
          <w:lang w:val="ru-RU" w:eastAsia="ru-RU" w:bidi="ar-SA"/>
        </w:rPr>
        <w:t>ОКПД 2: 26.51.44.000 Поставка коммуникационного оборудования для нужд Кубанского филиала (д</w:t>
      </w:r>
      <w:r>
        <w:rPr>
          <w:rFonts w:cs="Times New Roman" w:ascii="Times New Roman" w:hAnsi="Times New Roman"/>
          <w:sz w:val="24"/>
          <w:szCs w:val="24"/>
        </w:rPr>
        <w:t>алее продукция).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Исполнение обязательств по договору подряда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  <w:bookmarkStart w:id="9" w:name="_Toc125476056"/>
      <w:bookmarkStart w:id="10" w:name="_Toc125473249"/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1" w:name="_Toc51339693"/>
      <w:bookmarkStart w:id="12" w:name="_Toc7544657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bookmarkStart w:id="13" w:name="_Toc75446574"/>
      <w:r>
        <w:rPr>
          <w:b w:val="false"/>
          <w:bCs w:val="false"/>
        </w:rPr>
        <w:t xml:space="preserve"> </w:t>
      </w:r>
      <w:r>
        <w:rPr>
          <w:bCs w:val="false"/>
        </w:rPr>
        <w:t>Требования к объемам и срокам постав</w:t>
      </w:r>
      <w:r>
        <w:rPr/>
        <w:t>ки</w:t>
      </w:r>
      <w:bookmarkEnd w:id="13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bookmarkStart w:id="14" w:name="_Toc125476057"/>
      <w:bookmarkStart w:id="15" w:name="_Toc125473250"/>
      <w:bookmarkStart w:id="16" w:name="_Toc75446575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17" w:name="_Toc125476058"/>
      <w:bookmarkStart w:id="18" w:name="_Toc125473251"/>
      <w:bookmarkStart w:id="19" w:name="_Toc75446576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107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27"/>
        <w:gridCol w:w="6472"/>
        <w:gridCol w:w="1350"/>
        <w:gridCol w:w="1557"/>
      </w:tblGrid>
      <w:tr>
        <w:trPr/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suppressLineNumbers/>
              <w:suppressAutoHyphens w:val="true"/>
              <w:overflowPunct w:val="false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Ethernet-коммутатор MES3508P, 8 портов, в комплекте: Продление гарантийного обслуживания ,MES3710P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overflowPunct w:val="false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Модуль SM 2 волокна 2км, LC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</w:tr>
      <w:tr>
        <w:trPr/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00" w:val="clear"/>
              </w:rPr>
            </w:r>
          </w:p>
        </w:tc>
        <w:tc>
          <w:tcPr>
            <w:tcW w:w="6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Ethernet-коммутатор MES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2324P</w:t>
            </w:r>
            <w:r>
              <w:rPr>
                <w:rFonts w:ascii="Times New Roman" w:hAnsi="Times New Roman"/>
                <w:sz w:val="24"/>
                <w:szCs w:val="24"/>
              </w:rPr>
              <w:t>, 24 порт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а, в комплекте: Продление гарантийного обслуживания, MES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2324P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FH-SP551TCDL40, 40 км SFP+ 10G модуль, 2 волокна,1310 nm, LC, DDM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Ethernet-коммутатор MES3710P, 8 портов, в комплекте: Продление гарантийного обслуживания ,MES3710P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21" w:name="_Toc75446579"/>
      <w:bookmarkStart w:id="22" w:name="_Toc125473253"/>
      <w:bookmarkStart w:id="23" w:name="_Toc125476060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140" w:type="dxa"/>
        <w:jc w:val="left"/>
        <w:tblInd w:w="9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 w:noVBand="0" w:noHBand="0" w:lastColumn="0" w:firstColumn="0" w:lastRow="0" w:firstRow="0"/>
      </w:tblPr>
      <w:tblGrid>
        <w:gridCol w:w="765"/>
        <w:gridCol w:w="3195"/>
        <w:gridCol w:w="3001"/>
        <w:gridCol w:w="3178"/>
      </w:tblGrid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1348" w:hRule="atLeast"/>
        </w:trPr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9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ОКПД 2: 26.51.44.000 Поставка коммуникационного оборудования для нужд Кубанского филиала</w:t>
            </w:r>
          </w:p>
        </w:tc>
        <w:tc>
          <w:tcPr>
            <w:tcW w:w="30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календарных дней с даты подписания договора</w:t>
            </w:r>
          </w:p>
        </w:tc>
      </w:tr>
    </w:tbl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r>
        <w:rPr/>
        <w:t xml:space="preserve"> </w:t>
      </w:r>
      <w:bookmarkStart w:id="27" w:name="_Toc125476061"/>
      <w:bookmarkStart w:id="28" w:name="_Toc125473255"/>
      <w:r>
        <w:rPr/>
        <w:t>Требования к качеству продукции</w:t>
      </w:r>
      <w:bookmarkEnd w:id="27"/>
      <w:bookmarkEnd w:id="28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29" w:name="_Toc125473256"/>
      <w:bookmarkStart w:id="30" w:name="_Toc125476062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31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 xml:space="preserve">согласно Таблицы 1.1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«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eastAsia="x-none"/>
        </w:rPr>
        <w:t>Перечень и объем закупаемой продукции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»</w:t>
      </w:r>
      <w:bookmarkEnd w:id="31"/>
    </w:p>
    <w:tbl>
      <w:tblPr>
        <w:tblW w:w="10092" w:type="dxa"/>
        <w:jc w:val="left"/>
        <w:tblInd w:w="4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val="0000" w:noVBand="0" w:noHBand="0" w:lastColumn="0" w:firstColumn="0" w:lastRow="0" w:firstRow="0"/>
      </w:tblPr>
      <w:tblGrid>
        <w:gridCol w:w="710"/>
        <w:gridCol w:w="3213"/>
        <w:gridCol w:w="2522"/>
        <w:gridCol w:w="1980"/>
        <w:gridCol w:w="1667"/>
      </w:tblGrid>
      <w:tr>
        <w:trPr/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 продукции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1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>
        <w:trPr>
          <w:trHeight w:val="658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ind w:hanging="0" w:left="-11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</w:tc>
        <w:tc>
          <w:tcPr>
            <w:tcW w:w="16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Ethernet-коммутатор  </w:t>
            </w:r>
            <w:r>
              <w:rPr>
                <w:rFonts w:eastAsia="Calibri" w:cs="Tahoma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MES3508P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портов,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Пропускная способность, Гбит/с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Объём буферной памяти, МБ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10/100/1000BASE-T PoE/PoE+ (RJ-45),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10/100/1000BASE-T/1000BASE-X,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Консольный порт RS-232 (RJ-45),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321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Рабочая температура окружающей среды, °С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-40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1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2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+70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1.1.8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Продление гарантийного обслуживания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EW-</w:t>
            </w: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MES3508P</w:t>
            </w: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-3Y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51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SFP 1.25 GE модуль 20 км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spacing w:before="120" w:after="60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FH-S3112CDL2S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 разъемов,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Расстояние передачи данных, м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1.2.4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Рабочая длина волны, </w:t>
            </w:r>
            <w:hyperlink r:id="rId2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нм</w:t>
              </w:r>
            </w:hyperlink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1310</w:t>
              </w:r>
            </w:hyperlink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1.2.5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волокна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/>
            </w:pPr>
            <w:r>
              <w:rPr>
                <w:rStyle w:val="Hyperlink"/>
                <w:rFonts w:ascii="Times New Roman" w:hAnsi="Times New Roman"/>
                <w:color w:val="000000"/>
                <w:sz w:val="24"/>
                <w:szCs w:val="24"/>
                <w:u w:val="none"/>
              </w:rPr>
              <w:t>9/125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3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Ethernet-коммутатор </w:t>
            </w: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MES2324P</w:t>
            </w:r>
          </w:p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портов,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Пропускная способность, Гбит/с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Объём буферной памяти, МБ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10/100/1000BASE-T PoE/PoE+ (RJ-45),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1.3.5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 1000BASE-X (SFP) / 10GBASE-R (SFP+),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1.3.6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Консольный порт RS-232 (RJ-45),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89" w:hRule="atLeast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1.3.7</w:t>
            </w:r>
          </w:p>
        </w:tc>
        <w:tc>
          <w:tcPr>
            <w:tcW w:w="321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Рабочая температура окружающей среды, °С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-00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24" w:hRule="atLeast"/>
        </w:trPr>
        <w:tc>
          <w:tcPr>
            <w:tcW w:w="71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2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+50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24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1.3.8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Продление гарантийного обслуживания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EW-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MES2324P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-3Y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FH-SP551TCDL40, 40 км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модуль SFP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 разъемов,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Расстояние передачи данных, м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40000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Рабочая длина волны, </w:t>
            </w:r>
            <w:hyperlink r:id="rId4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нм</w:t>
              </w:r>
            </w:hyperlink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/>
            </w:pPr>
            <w:hyperlink r:id="rId5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1310</w:t>
              </w:r>
            </w:hyperlink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волокна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/>
            </w:pPr>
            <w:hyperlink r:id="rId6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одномодовое</w:t>
              </w:r>
            </w:hyperlink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Ethernet-коммутатор MES3710P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Количество портов,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Пропускная способность, Гбит/с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 w:before="0" w:after="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24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1.5.3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Объём буферной памяти, МБ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 w:before="0" w:after="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1.5.4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Интерфейс 10/100/1000BASE-T PoE/PoE+ (RJ-45),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1.5.5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Интерфейс 1000BASE-X/100BASE-FX (SFP),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Консольный порт RS-232 (RJ-45), шт.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28" w:hRule="atLeast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1.5.7</w:t>
            </w:r>
          </w:p>
        </w:tc>
        <w:tc>
          <w:tcPr>
            <w:tcW w:w="321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Рабочая температура окружающей среды, °С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Не менее -40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28" w:hRule="atLeast"/>
        </w:trPr>
        <w:tc>
          <w:tcPr>
            <w:tcW w:w="71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32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Не более +70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1.5.8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 w:eastAsia="Calibri" w:cs="Tahoma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Продление гарантийного обслуживания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EW-MES3710P-3Y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Гарантия, не менее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 (тридцать шесть) месяцев, исчисляемый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422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Технический паспорт на русском языке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экземпляра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страны происхождения (РФ)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экземпляра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lineRule="auto" w:line="252" w:before="0" w:after="12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Упаковочный лист на продукцию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экземпляра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92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иные документы предусмотренные п 3.3 договора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 экземпляра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43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ListParagraph"/>
              <w:widowControl w:val="false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</w:tabs>
              <w:spacing w:before="0" w:after="0"/>
              <w:ind w:hanging="0" w:left="0" w:right="0"/>
              <w:contextualSpacing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 за счет средств Поставщика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5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ListParagraph"/>
              <w:widowControl w:val="false"/>
              <w:spacing w:lineRule="auto" w:line="259" w:before="0" w:after="200"/>
              <w:ind w:hanging="0" w:lef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19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120" w:after="0"/>
        <w:ind w:hanging="0" w:left="360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7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uiPriority w:val="9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uiPriority w:val="9"/>
    <w:unhideWhenUsed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 w:customStyle="1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12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2"/>
    <w:qFormat/>
    <w:pPr/>
    <w:rPr/>
  </w:style>
  <w:style w:type="paragraph" w:styleId="Style18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shd w:val="clear" w:color="auto" w:fill="FFFFFF"/>
      <w:tabs>
        <w:tab w:val="clear" w:pos="708"/>
        <w:tab w:val="right" w:pos="10138" w:leader="dot"/>
      </w:tabs>
      <w:spacing w:before="0" w:after="100"/>
    </w:pPr>
    <w:rPr>
      <w:rFonts w:ascii="Times New Roman" w:hAnsi="Times New Roman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26903232511" w:customStyle="1">
    <w:name w:val="26903232511"/>
    <w:qFormat/>
  </w:style>
  <w:style w:type="numbering" w:styleId="41329559151" w:customStyle="1">
    <w:name w:val="41329559151"/>
    <w:qFormat/>
  </w:style>
  <w:style w:type="numbering" w:styleId="31324246261" w:customStyle="1">
    <w:name w:val="31324246261"/>
    <w:qFormat/>
  </w:style>
  <w:style w:type="numbering" w:styleId="12336706201" w:customStyle="1">
    <w:name w:val="12336706201"/>
    <w:qFormat/>
  </w:style>
  <w:style w:type="numbering" w:styleId="32447707911" w:customStyle="1">
    <w:name w:val="32447707911"/>
    <w:qFormat/>
  </w:style>
  <w:style w:type="numbering" w:styleId="1249537341" w:customStyle="1">
    <w:name w:val="124953734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vseinstrumenti.ru/tag-page/sfp-moduli-1310-nm-1689085/" TargetMode="External"/><Relationship Id="rId3" Type="http://schemas.openxmlformats.org/officeDocument/2006/relationships/hyperlink" Target="https://www.vseinstrumenti.ru/tag-page/sfp-moduli-1310-nm-1689085/" TargetMode="External"/><Relationship Id="rId4" Type="http://schemas.openxmlformats.org/officeDocument/2006/relationships/hyperlink" Target="https://www.vseinstrumenti.ru/tag-page/sfp-moduli-1310-nm-1689085/" TargetMode="External"/><Relationship Id="rId5" Type="http://schemas.openxmlformats.org/officeDocument/2006/relationships/hyperlink" Target="https://www.vseinstrumenti.ru/tag-page/sfp-moduli-1310-nm-1689085/" TargetMode="External"/><Relationship Id="rId6" Type="http://schemas.openxmlformats.org/officeDocument/2006/relationships/hyperlink" Target="https://www.vseinstrumenti.ru/tag-page/sfp-moduli-tip-volokna-odnomodovoe-1689109/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923B0-26DE-4481-8CBB-028F7448E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1288</TotalTime>
  <Application>AlterOffice/2026.2.1.0$Linux_X86_64 LibreOffice_project/f008988ffacaa0b2bf57911c2759d08ca79831df</Application>
  <AppVersion>15.0000</AppVersion>
  <Pages>6</Pages>
  <Words>795</Words>
  <Characters>5302</Characters>
  <CharactersWithSpaces>5874</CharactersWithSpaces>
  <Paragraphs>224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2024-05-02T12:37:00Z</dcterms:created>
  <dc:creator>Катков Олег Валерьевич</dc:creator>
  <dc:description/>
  <dc:language>ru-RU</dc:language>
  <cp:lastModifiedBy>velikosvyatnn@corp.gidroogk.com</cp:lastModifiedBy>
  <cp:lastPrinted>2023-12-12T08:29:00Z</cp:lastPrinted>
  <dcterms:modified xsi:type="dcterms:W3CDTF">2026-09-17T08:43:28Z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