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sz w:val="24"/>
          <w:szCs w:val="24"/>
        </w:rPr>
      </w:pPr>
      <w:r>
        <w:rPr/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bookmarkStart w:id="0" w:name="_Toc137554584"/>
      <w:bookmarkStart w:id="1" w:name="_Toc141696704"/>
      <w:bookmarkStart w:id="2" w:name="_Toc139856287"/>
      <w:r>
        <w:rPr>
          <w:rFonts w:eastAsia="Calibri"/>
          <w:b/>
          <w:sz w:val="24"/>
          <w:szCs w:val="24"/>
        </w:rPr>
        <w:t xml:space="preserve">ТЕХНИЧЕСКИЕ ТРЕБОВАНИЯ </w:t>
      </w:r>
      <w:bookmarkEnd w:id="0"/>
      <w:bookmarkEnd w:id="1"/>
      <w:bookmarkEnd w:id="2"/>
    </w:p>
    <w:p>
      <w:pPr>
        <w:pStyle w:val="Normal"/>
        <w:jc w:val="center"/>
        <w:rPr/>
      </w:pPr>
      <w:r>
        <w:rPr>
          <w:rFonts w:eastAsia="Calibri"/>
          <w:b/>
          <w:sz w:val="24"/>
          <w:szCs w:val="24"/>
        </w:rPr>
        <w:t>ОКПД2 33.12.19 Оказание услуг по шеф-сопровождению монтажа, пуско-наладке элегазового бакового выключателя 220 кВ марки AREVA HGF-1014 на Бурейской ГЭС</w:t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>
          <w:color w:val="000000"/>
          <w:sz w:val="24"/>
          <w:szCs w:val="24"/>
        </w:rPr>
        <w:t>п. Талакан, 2026 г.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sz w:val="24"/>
          <w:szCs w:val="24"/>
          <w:u w:val="dotted"/>
        </w:rPr>
      </w:pPr>
      <w:r>
        <w:rPr>
          <w:sz w:val="24"/>
          <w:szCs w:val="24"/>
        </w:rPr>
        <w:t>Титульный лист</w:t>
      </w:r>
      <w:r>
        <w:rPr>
          <w:sz w:val="24"/>
          <w:szCs w:val="24"/>
          <w:u w:val="dotted"/>
        </w:rPr>
        <w:tab/>
        <w:tab/>
        <w:tab/>
        <w:tab/>
        <w:tab/>
        <w:tab/>
        <w:tab/>
        <w:tab/>
        <w:tab/>
        <w:tab/>
        <w:t>1</w:t>
      </w:r>
    </w:p>
    <w:p>
      <w:pPr>
        <w:pStyle w:val="Normal"/>
        <w:rPr>
          <w:sz w:val="24"/>
          <w:szCs w:val="24"/>
          <w:u w:val="dotted"/>
        </w:rPr>
      </w:pPr>
      <w:r>
        <w:rPr>
          <w:sz w:val="24"/>
          <w:szCs w:val="24"/>
        </w:rPr>
        <w:t>Содержание</w:t>
      </w:r>
      <w:r>
        <w:rPr>
          <w:sz w:val="24"/>
          <w:szCs w:val="24"/>
          <w:u w:val="dotted"/>
        </w:rPr>
        <w:tab/>
        <w:tab/>
        <w:tab/>
        <w:tab/>
        <w:tab/>
        <w:tab/>
        <w:tab/>
        <w:tab/>
        <w:tab/>
        <w:tab/>
        <w:t xml:space="preserve">             2</w:t>
      </w:r>
    </w:p>
    <w:p>
      <w:pPr>
        <w:pStyle w:val="Normal"/>
        <w:rPr>
          <w:sz w:val="24"/>
          <w:szCs w:val="24"/>
          <w:u w:val="dotted"/>
        </w:rPr>
      </w:pPr>
      <w:r>
        <w:rPr>
          <w:sz w:val="24"/>
          <w:szCs w:val="24"/>
        </w:rPr>
        <w:t xml:space="preserve">Наименование закупаемых Услуг </w:t>
      </w:r>
      <w:r>
        <w:rPr>
          <w:sz w:val="24"/>
          <w:szCs w:val="24"/>
          <w:u w:val="dotted"/>
        </w:rPr>
        <w:tab/>
        <w:tab/>
        <w:tab/>
        <w:tab/>
        <w:tab/>
        <w:tab/>
        <w:tab/>
        <w:t xml:space="preserve">             3</w:t>
      </w:r>
    </w:p>
    <w:p>
      <w:pPr>
        <w:pStyle w:val="Normal"/>
        <w:rPr>
          <w:sz w:val="24"/>
          <w:szCs w:val="24"/>
          <w:u w:val="dotted"/>
        </w:rPr>
      </w:pPr>
      <w:r>
        <w:rPr>
          <w:sz w:val="24"/>
          <w:szCs w:val="24"/>
        </w:rPr>
        <w:t>Заказчик (подразделение Заказчика)</w:t>
      </w:r>
      <w:r>
        <w:rPr>
          <w:sz w:val="24"/>
          <w:szCs w:val="24"/>
          <w:u w:val="dotted"/>
        </w:rPr>
        <w:t xml:space="preserve"> </w:t>
        <w:tab/>
        <w:tab/>
        <w:tab/>
        <w:tab/>
        <w:tab/>
        <w:tab/>
        <w:t xml:space="preserve">             3</w:t>
      </w:r>
    </w:p>
    <w:p>
      <w:pPr>
        <w:pStyle w:val="Normal"/>
        <w:rPr>
          <w:sz w:val="24"/>
          <w:szCs w:val="24"/>
          <w:u w:val="dotted"/>
        </w:rPr>
      </w:pPr>
      <w:r>
        <w:rPr>
          <w:sz w:val="24"/>
          <w:szCs w:val="24"/>
        </w:rPr>
        <w:t>Цели и задачи. Существующее положение</w:t>
      </w:r>
      <w:r>
        <w:rPr>
          <w:sz w:val="24"/>
          <w:szCs w:val="24"/>
          <w:u w:val="dotted"/>
        </w:rPr>
        <w:tab/>
        <w:tab/>
        <w:tab/>
        <w:tab/>
        <w:tab/>
        <w:tab/>
        <w:t xml:space="preserve"> 3</w:t>
      </w:r>
    </w:p>
    <w:p>
      <w:pPr>
        <w:pStyle w:val="Normal"/>
        <w:rPr>
          <w:sz w:val="24"/>
          <w:szCs w:val="24"/>
          <w:u w:val="dotted"/>
        </w:rPr>
      </w:pPr>
      <w:r>
        <w:rPr>
          <w:sz w:val="24"/>
          <w:szCs w:val="24"/>
        </w:rPr>
        <w:t>Требования к закупаемым услугам (технические и иные характеристики)</w:t>
      </w:r>
      <w:r>
        <w:rPr>
          <w:sz w:val="24"/>
          <w:szCs w:val="24"/>
          <w:u w:val="dotted"/>
        </w:rPr>
        <w:t xml:space="preserve"> </w:t>
        <w:tab/>
        <w:t xml:space="preserve">             4</w:t>
      </w:r>
    </w:p>
    <w:p>
      <w:pPr>
        <w:pStyle w:val="Normal"/>
        <w:rPr>
          <w:sz w:val="24"/>
          <w:szCs w:val="24"/>
          <w:u w:val="dotted"/>
        </w:rPr>
      </w:pPr>
      <w:r>
        <w:rPr>
          <w:sz w:val="24"/>
          <w:szCs w:val="24"/>
        </w:rPr>
        <w:t xml:space="preserve">Сроки, оказания Услуг </w:t>
      </w:r>
      <w:r>
        <w:rPr>
          <w:sz w:val="24"/>
          <w:szCs w:val="24"/>
          <w:u w:val="dotted"/>
        </w:rPr>
        <w:tab/>
        <w:tab/>
        <w:tab/>
        <w:tab/>
        <w:tab/>
        <w:t xml:space="preserve">                                                 6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2"/>
        </w:numPr>
        <w:spacing w:before="0" w:after="120"/>
        <w:ind w:firstLine="709" w:left="0"/>
        <w:jc w:val="both"/>
        <w:rPr>
          <w:b/>
          <w:bCs/>
        </w:rPr>
      </w:pPr>
      <w:r>
        <w:rPr>
          <w:b/>
          <w:bCs/>
          <w:sz w:val="24"/>
          <w:szCs w:val="24"/>
        </w:rPr>
        <w:t>Наименование закупаемых Услуг</w:t>
      </w:r>
    </w:p>
    <w:p>
      <w:pPr>
        <w:pStyle w:val="Normal"/>
        <w:ind w:firstLine="709"/>
        <w:jc w:val="both"/>
        <w:rPr>
          <w:b w:val="false"/>
          <w:bCs w:val="false"/>
        </w:rPr>
      </w:pPr>
      <w:r>
        <w:rPr>
          <w:rFonts w:eastAsia="Calibri" w:cs="Calibri"/>
          <w:b w:val="false"/>
          <w:bCs w:val="false"/>
          <w:sz w:val="24"/>
          <w:szCs w:val="24"/>
        </w:rPr>
        <w:t>ОКПД2 33.12.19 Оказание услуг по шеф-сопровождению монтажа, пуско-наладке элегазового бакового выключателя 220 кВ марки AREVA HGF-1014 на Бурейской ГЭС.</w:t>
      </w:r>
    </w:p>
    <w:p>
      <w:pPr>
        <w:pStyle w:val="Normal"/>
        <w:ind w:firstLine="709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numPr>
          <w:ilvl w:val="0"/>
          <w:numId w:val="2"/>
        </w:numPr>
        <w:ind w:firstLine="709" w:left="0"/>
        <w:jc w:val="both"/>
        <w:rPr>
          <w:b w:val="false"/>
          <w:bCs w:val="false"/>
        </w:rPr>
      </w:pPr>
      <w:r>
        <w:rPr>
          <w:b/>
          <w:bCs/>
          <w:sz w:val="24"/>
          <w:szCs w:val="24"/>
        </w:rPr>
        <w:t>Заказчик (подразделение Заказчика)</w:t>
      </w:r>
      <w:r>
        <w:rPr>
          <w:b w:val="false"/>
          <w:bCs w:val="false"/>
          <w:sz w:val="24"/>
          <w:szCs w:val="24"/>
        </w:rPr>
        <w:t xml:space="preserve"> </w:t>
      </w:r>
    </w:p>
    <w:p>
      <w:pPr>
        <w:pStyle w:val="Normal"/>
        <w:ind w:firstLine="709" w:right="-2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Заказчик: ПАО «РусГидро».</w:t>
      </w:r>
    </w:p>
    <w:p>
      <w:pPr>
        <w:pStyle w:val="Normal"/>
        <w:ind w:firstLine="709" w:right="-2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Наименование филиала: Филиал ПАО «РусГидро» - «Бурейская ГЭС».</w:t>
      </w:r>
    </w:p>
    <w:p>
      <w:pPr>
        <w:pStyle w:val="Normal"/>
        <w:ind w:firstLine="709" w:right="-2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Адрес филиала: 676731, Амурская область, Бурейский район, п. Талакан.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Подразделение-куратор: Производственно-техническая служба Филиала ПАО «РусГидро» - «Бурейская ГЭС».</w:t>
      </w:r>
    </w:p>
    <w:p>
      <w:pPr>
        <w:pStyle w:val="Normal"/>
        <w:ind w:firstLine="709" w:right="-2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numPr>
          <w:ilvl w:val="0"/>
          <w:numId w:val="2"/>
        </w:numPr>
        <w:ind w:firstLine="709" w:left="0"/>
        <w:jc w:val="both"/>
        <w:rPr>
          <w:b/>
          <w:bCs/>
        </w:rPr>
      </w:pPr>
      <w:r>
        <w:rPr>
          <w:b/>
          <w:bCs/>
          <w:sz w:val="24"/>
          <w:szCs w:val="24"/>
        </w:rPr>
        <w:t xml:space="preserve">Цели и задачи. Существующее положение </w:t>
      </w:r>
    </w:p>
    <w:p>
      <w:pPr>
        <w:pStyle w:val="Normal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3.1. Цель: Ввод в работу нового, ранее не использованного, высоковольтного элегазового бакового выключателя 220 кВ (марка AREVA, тип HGF-1014, серийный номер 13310-HG14) взамен существующего ВГБМ-220II-40/2000 (диспетчерское наименование В-Завитя1), установленного на ОРУ 220 кВ Бурейской ГЭС.</w:t>
      </w:r>
    </w:p>
    <w:p>
      <w:pPr>
        <w:pStyle w:val="Normal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3.2. Задача: Оказание услуг шеф-инженера по техническому сопровождению работ по монтажу, пуско-наладке элегазового бакового выключателя 220 кВ AREVA HGF-1014.</w:t>
      </w:r>
    </w:p>
    <w:p>
      <w:pPr>
        <w:pStyle w:val="Normal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ListParagraph"/>
        <w:ind w:firstLine="709" w:left="0"/>
        <w:jc w:val="both"/>
        <w:rPr/>
      </w:pPr>
      <w:r>
        <w:rPr>
          <w:b w:val="false"/>
          <w:bCs w:val="false"/>
          <w:color w:val="000000"/>
        </w:rPr>
        <w:t>3.3.   Основные характеристики оборудования.</w:t>
      </w:r>
    </w:p>
    <w:tbl>
      <w:tblPr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37"/>
        <w:gridCol w:w="2501"/>
      </w:tblGrid>
      <w:tr>
        <w:trPr>
          <w:tblHeader w:val="true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Значение</w:t>
            </w:r>
          </w:p>
        </w:tc>
      </w:tr>
      <w:tr>
        <w:trPr/>
        <w:tc>
          <w:tcPr>
            <w:tcW w:w="7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/>
            </w:pPr>
            <w:r>
              <w:rPr>
                <w:sz w:val="24"/>
              </w:rPr>
              <w:t>Номинальное напряжение, кВ</w:t>
            </w: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245</w:t>
            </w:r>
          </w:p>
        </w:tc>
      </w:tr>
      <w:tr>
        <w:trPr/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>Номинальный ток, А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2000</w:t>
            </w:r>
          </w:p>
        </w:tc>
      </w:tr>
      <w:tr>
        <w:trPr/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>Номинальная частота, Гц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50</w:t>
            </w:r>
          </w:p>
        </w:tc>
      </w:tr>
      <w:tr>
        <w:trPr/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>Номинальный ток отключения, кА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40</w:t>
            </w:r>
          </w:p>
        </w:tc>
      </w:tr>
      <w:tr>
        <w:trPr/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>Механизм привода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пружинный</w:t>
            </w:r>
          </w:p>
        </w:tc>
      </w:tr>
      <w:tr>
        <w:trPr/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>Масса газа (элегаз), кг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93</w:t>
            </w:r>
          </w:p>
        </w:tc>
      </w:tr>
      <w:tr>
        <w:trPr/>
        <w:tc>
          <w:tcPr>
            <w:tcW w:w="7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>Давление элегаза при t 20</w:t>
            </w:r>
            <w:r>
              <w:rPr>
                <w:vertAlign w:val="superscript"/>
              </w:rPr>
              <w:t xml:space="preserve">0 </w:t>
            </w:r>
            <w:r>
              <w:rPr>
                <w:position w:val="0"/>
                <w:sz w:val="24"/>
                <w:sz w:val="24"/>
                <w:vertAlign w:val="baseline"/>
              </w:rPr>
              <w:t>С, бар:</w:t>
            </w:r>
          </w:p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 xml:space="preserve">- рабочее давление </w:t>
            </w:r>
          </w:p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 xml:space="preserve">- низкое давление (сигнализация) </w:t>
            </w:r>
          </w:p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 xml:space="preserve">- минимальное давление </w:t>
            </w: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</w:r>
          </w:p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6,8</w:t>
            </w:r>
          </w:p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5,8</w:t>
            </w:r>
          </w:p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5,5</w:t>
            </w:r>
          </w:p>
        </w:tc>
      </w:tr>
      <w:tr>
        <w:trPr/>
        <w:tc>
          <w:tcPr>
            <w:tcW w:w="7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>Номинальный цикл операций</w:t>
            </w: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0-03-ВО-15s-ВО</w:t>
            </w:r>
          </w:p>
        </w:tc>
      </w:tr>
      <w:tr>
        <w:trPr/>
        <w:tc>
          <w:tcPr>
            <w:tcW w:w="7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>Напряжение грозовых импульсов, кВ</w:t>
            </w: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1050</w:t>
            </w:r>
          </w:p>
        </w:tc>
      </w:tr>
      <w:tr>
        <w:trPr/>
        <w:tc>
          <w:tcPr>
            <w:tcW w:w="7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>Ёмкостной ток коммутации:</w:t>
            </w:r>
          </w:p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>- ном. коэффициент перенапряжения</w:t>
            </w:r>
          </w:p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>- ном. ток заряда открытой линии, А</w:t>
            </w:r>
          </w:p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>- ном. ток изолирующей шунтирующей емкости, А</w:t>
            </w:r>
          </w:p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>- ном. ток группы последовательных шунтирующих емкостей, А</w:t>
            </w:r>
          </w:p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>- ном. переходной кратковременный ток. пик, кА</w:t>
            </w:r>
          </w:p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>- ном. переходная частота кратковременного тока, Гц</w:t>
            </w: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</w:r>
          </w:p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20</w:t>
            </w:r>
          </w:p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200</w:t>
            </w:r>
          </w:p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400</w:t>
            </w:r>
          </w:p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400</w:t>
            </w:r>
          </w:p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20</w:t>
            </w:r>
          </w:p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4250</w:t>
            </w:r>
          </w:p>
        </w:tc>
      </w:tr>
      <w:tr>
        <w:trPr/>
        <w:tc>
          <w:tcPr>
            <w:tcW w:w="7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/>
              <w:t>Нормальный ток отключения в условиях рассогласования фаз, кА</w:t>
            </w: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10</w:t>
            </w:r>
          </w:p>
        </w:tc>
      </w:tr>
      <w:tr>
        <w:trPr/>
        <w:tc>
          <w:tcPr>
            <w:tcW w:w="7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 xml:space="preserve">Эксплуатационный диапазон температуры, </w:t>
            </w:r>
            <w:r>
              <w:rPr>
                <w:vertAlign w:val="superscript"/>
              </w:rPr>
              <w:t xml:space="preserve">0 </w:t>
            </w:r>
            <w:r>
              <w:rPr>
                <w:position w:val="0"/>
                <w:sz w:val="24"/>
                <w:sz w:val="24"/>
                <w:vertAlign w:val="baseline"/>
              </w:rPr>
              <w:t>С</w:t>
            </w: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-55...</w:t>
            </w:r>
            <w:r>
              <w:rPr>
                <w:position w:val="0"/>
                <w:sz w:val="24"/>
                <w:sz w:val="24"/>
                <w:vertAlign w:val="baseline"/>
              </w:rPr>
              <w:t>+45</w:t>
            </w:r>
          </w:p>
        </w:tc>
      </w:tr>
      <w:tr>
        <w:trPr/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both"/>
              <w:rPr/>
            </w:pPr>
            <w:r>
              <w:rPr/>
              <w:t>Полный вес выключателя, кг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0" w:left="0"/>
              <w:jc w:val="center"/>
              <w:rPr/>
            </w:pPr>
            <w:r>
              <w:rPr/>
              <w:t>4405</w:t>
            </w:r>
          </w:p>
        </w:tc>
      </w:tr>
    </w:tbl>
    <w:p>
      <w:pPr>
        <w:pStyle w:val="ListParagraph"/>
        <w:ind w:firstLine="709" w:left="0"/>
        <w:jc w:val="both"/>
        <w:rPr>
          <w:color w:val="000000"/>
        </w:rPr>
      </w:pPr>
      <w:r>
        <w:rPr>
          <w:color w:val="000000"/>
        </w:rPr>
      </w:r>
    </w:p>
    <w:p>
      <w:pPr>
        <w:pStyle w:val="ListParagraph"/>
        <w:ind w:firstLine="709" w:left="0"/>
        <w:jc w:val="both"/>
        <w:rPr>
          <w:b/>
          <w:bCs/>
        </w:rPr>
      </w:pPr>
      <w:bookmarkStart w:id="3" w:name="_GoBack"/>
      <w:bookmarkEnd w:id="3"/>
      <w:r>
        <w:rPr>
          <w:b/>
          <w:bCs/>
        </w:rPr>
        <w:t>4. Требования Услугам.</w:t>
        <w:tab/>
      </w:r>
    </w:p>
    <w:p>
      <w:pPr>
        <w:pStyle w:val="Normal"/>
        <w:spacing w:before="0" w:after="120"/>
        <w:ind w:hanging="0" w:left="284"/>
        <w:jc w:val="lef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ab/>
        <w:tab/>
        <w:tab/>
        <w:tab/>
        <w:t xml:space="preserve">          </w:t>
        <w:tab/>
        <w:tab/>
        <w:tab/>
        <w:tab/>
        <w:tab/>
        <w:tab/>
        <w:t xml:space="preserve">                   Таблица 1.</w:t>
      </w:r>
    </w:p>
    <w:tbl>
      <w:tblPr>
        <w:tblW w:w="9350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0"/>
        <w:gridCol w:w="2216"/>
        <w:gridCol w:w="6574"/>
      </w:tblGrid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Требование заказчика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>
        <w:trPr>
          <w:trHeight w:val="416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ind w:hanging="0" w:left="0"/>
              <w:jc w:val="left"/>
              <w:rPr>
                <w:b w:val="false"/>
                <w:bCs/>
                <w:szCs w:val="24"/>
                <w:lang w:val="ru-RU" w:eastAsia="ru-RU"/>
              </w:rPr>
            </w:pPr>
            <w:r>
              <w:rPr>
                <w:b w:val="false"/>
                <w:bCs/>
                <w:szCs w:val="24"/>
                <w:lang w:val="ru-RU" w:eastAsia="ru-RU"/>
              </w:rPr>
              <w:t>Основание для оказания услуг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Аварийно-восстановительные работы выключателя В-Завитая1 с заменой действующего ВГБМ-220 II-40/2000 на вновь вводимый AREVA HGF-1014.</w:t>
            </w:r>
          </w:p>
        </w:tc>
      </w:tr>
      <w:tr>
        <w:trPr>
          <w:trHeight w:val="629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ind w:hanging="0" w:left="0"/>
              <w:jc w:val="left"/>
              <w:rPr>
                <w:szCs w:val="24"/>
                <w:lang w:val="ru-RU"/>
              </w:rPr>
            </w:pPr>
            <w:r>
              <w:rPr>
                <w:b w:val="false"/>
                <w:bCs/>
                <w:szCs w:val="24"/>
                <w:lang w:val="ru-RU"/>
              </w:rPr>
              <w:t>Объём услуг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113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1. Шеф-сопровождение работ по монтажу выключателя AREVA HGF-1014: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113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транспортировка выключателя от ТМХ ЩБ до места установки (ОРУ 220 кВ, яч.13);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113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монтаж выключателя на его месте установки (ОРУ 220 кВ, яч.13);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113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контроль усилий по затяжке болтов и гаек;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113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заправка выкл</w:t>
            </w:r>
            <w:r>
              <w:rPr>
                <w:rFonts w:cs="Calibri"/>
                <w:color w:val="auto"/>
                <w:sz w:val="24"/>
                <w:szCs w:val="24"/>
              </w:rPr>
              <w:t>ючателя элегазом до рабочего давления;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113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монтаж кабельной разводки в пределах выключателя, привода выключателя;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113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монтаж привода выключателя, подсоединение внешних кабельных связей к приводу выключателя.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113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2. Шеф-сопровождение работ по пуско-наладке выключателя: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113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проверка гидравлического амортизатора отключения;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113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опробование (включение, отключение) выключателя;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113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прове</w:t>
            </w:r>
            <w:r>
              <w:rPr>
                <w:rFonts w:cs="Calibri"/>
                <w:color w:val="auto"/>
                <w:sz w:val="24"/>
                <w:szCs w:val="24"/>
              </w:rPr>
              <w:t>рка уставок плотномера (денсиметр);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113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проверка омического сопротивления главных контактов;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113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проверка временных характеристик выключателя;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113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проверка измерительных трансформаторов тока.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113"/>
              <w:jc w:val="lef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3. Участие в рассмотрении и расследовании обнаруженных дефектов, повреждений, отказов в работе выключателя с составлением соответствующих актов и мероприятий.</w:t>
            </w:r>
          </w:p>
        </w:tc>
      </w:tr>
      <w:tr>
        <w:trPr>
          <w:trHeight w:val="141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оказания услуг</w:t>
            </w:r>
          </w:p>
          <w:p>
            <w:pPr>
              <w:pStyle w:val="Heading1"/>
              <w:widowControl w:val="false"/>
              <w:numPr>
                <w:ilvl w:val="0"/>
                <w:numId w:val="0"/>
              </w:numPr>
              <w:ind w:hanging="0" w:left="360"/>
              <w:jc w:val="left"/>
              <w:rPr>
                <w:b w:val="false"/>
                <w:szCs w:val="24"/>
                <w:lang w:val="ru-RU"/>
              </w:rPr>
            </w:pPr>
            <w:r>
              <w:rPr>
                <w:b w:val="false"/>
                <w:szCs w:val="24"/>
                <w:lang w:val="ru-RU"/>
              </w:rPr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0"/>
              <w:jc w:val="both"/>
              <w:rPr/>
            </w:pPr>
            <w:r>
              <w:rPr/>
              <w:t>1. Исполнителю услуг представить сопроводительное письмо с указанием работников, которым предоставлено право выдачи наряда, которые могут быть назначены ответственными руководителями, производителями работ, членами бригады, привлекаемые к выполнению услуг в объёме настоящих технических требований, после заключения договора до начала оказания услуг.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2. При оказании услуг соблюдать требования охраны труда, пожарной безопасности, промышленной безопасности, установленные в соответствующих документах.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227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3. Допуск персонала Исполнителя для оказания услуг осуществляется в соответствии с регламентом процесса допуска персонала подрядных организаций к выполнению работ на объектах ПАО «РусГидро», утвержденных приказом ПАО «РусГидро» от 28.04.2023 №300, с обязательным оформлением необходимых нарядов-допусков.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4. Подготовку рабочих мест и допуск к оказанию услуг выполняет персонал Заказчика.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34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5. Заказчик вправе в любое время проверять ход и качество услуг, оказываемых Исполнителем, контроль осуществляется путем непосредственного осмотра и проверки оказания услуг.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34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6. Исполнитель представляет Заказчику по его запросу письменный отчет о текущем исполнении своих обязательств.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34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7. Исполнитель обязан незамедлительно сообщать Заказчику обо всех случаях нарушения природоохранного законодательства, имеющих место при выполнении работ, оказании услуг.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57" w:right="113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>8. Исполнитель обязан осуществлять производственный контроль всех вредных воздействий.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34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9. Соблюдать санитарно–эпидемиологические требования, требования экологической безопасности, установленные законодательно-правовыми актами РФ и локальными актами ПАО «РусГидро» и Филиала ПАО «РусГидро» – «Бурейская ГЭС».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ind w:hanging="0" w:left="0"/>
              <w:jc w:val="left"/>
              <w:rPr>
                <w:b w:val="false"/>
                <w:bCs/>
                <w:szCs w:val="24"/>
                <w:lang w:val="ru-RU" w:eastAsia="ru-RU"/>
              </w:rPr>
            </w:pPr>
            <w:r>
              <w:rPr>
                <w:b w:val="false"/>
                <w:bCs/>
                <w:szCs w:val="24"/>
                <w:lang w:val="ru-RU" w:eastAsia="ru-RU"/>
              </w:rPr>
              <w:t>Требования к качеству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color w:val="000000"/>
              </w:rPr>
            </w:pPr>
            <w:r>
              <w:rPr>
                <w:color w:val="000000"/>
              </w:rPr>
              <w:t>Услуги должны быть оказаны в объёме и в качестве согласно требований основных НТД, указанных в пп.2 п.6 таблицы 1.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ind w:hanging="0" w:left="0"/>
              <w:jc w:val="left"/>
              <w:rPr>
                <w:b w:val="false"/>
                <w:bCs/>
                <w:szCs w:val="24"/>
                <w:lang w:val="ru-RU" w:eastAsia="ru-RU"/>
              </w:rPr>
            </w:pPr>
            <w:r>
              <w:rPr>
                <w:b w:val="false"/>
                <w:szCs w:val="24"/>
                <w:lang w:val="ru-RU"/>
              </w:rPr>
              <w:t>Оформление документации</w:t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color w:val="000000"/>
              </w:rPr>
            </w:pPr>
            <w:r>
              <w:rPr>
                <w:color w:val="000000"/>
              </w:rPr>
              <w:t>Исполнитель должен обеспечить контроль качества выполненных работ и предоставит документы (технический отчет, формуляры, протоколы, акты), содержащие сведения по результатам выполненных работ.</w:t>
            </w:r>
          </w:p>
          <w:p>
            <w:pPr>
              <w:pStyle w:val="ListParagraph"/>
              <w:widowControl w:val="false"/>
              <w:ind w:hanging="0" w:left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Документы о проведенной работе представлять на бумажном носителе (в 2-х экземплярах) и на электронном носителе в форматах *.ods, *.odt, </w:t>
            </w:r>
            <w:r>
              <w:rPr>
                <w:color w:val="000000"/>
                <w:lang w:val="ru-RU"/>
              </w:rPr>
              <w:t>*.</w:t>
            </w:r>
            <w:r>
              <w:rPr>
                <w:color w:val="000000"/>
              </w:rPr>
              <w:t>dwg</w:t>
            </w:r>
            <w:r>
              <w:rPr>
                <w:color w:val="000000"/>
                <w:lang w:val="ru-RU"/>
              </w:rPr>
              <w:t>, *.</w:t>
            </w:r>
            <w:r>
              <w:rPr>
                <w:color w:val="000000"/>
              </w:rPr>
              <w:t>vsd</w:t>
            </w:r>
            <w:r>
              <w:rPr>
                <w:color w:val="000000"/>
                <w:lang w:val="ru-RU"/>
              </w:rPr>
              <w:t>, *.</w:t>
            </w:r>
            <w:r>
              <w:rPr>
                <w:color w:val="000000"/>
              </w:rPr>
              <w:t>d</w:t>
            </w:r>
            <w:r>
              <w:rPr>
                <w:color w:val="000000"/>
                <w:lang w:val="ru-RU"/>
              </w:rPr>
              <w:t>ос, *.х</w:t>
            </w:r>
            <w:r>
              <w:rPr>
                <w:color w:val="000000"/>
              </w:rPr>
              <w:t>ls</w:t>
            </w:r>
            <w:r>
              <w:rPr>
                <w:color w:val="000000"/>
                <w:lang w:val="ru-RU"/>
              </w:rPr>
              <w:t>., *.pdf.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ind w:hanging="0" w:left="0"/>
              <w:jc w:val="left"/>
              <w:rPr>
                <w:b w:val="false"/>
                <w:bCs/>
                <w:szCs w:val="24"/>
                <w:lang w:val="ru-RU" w:eastAsia="ru-RU"/>
              </w:rPr>
            </w:pPr>
            <w:r>
              <w:rPr>
                <w:b w:val="false"/>
                <w:bCs/>
                <w:szCs w:val="24"/>
              </w:rPr>
              <w:t>Общие требования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34"/>
              <w:jc w:val="both"/>
              <w:rPr>
                <w:bCs/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1. Если в процессе исполнения договорных обязательств возникает необходимость оказания дополнительных услуг или их исключение, то на данные услуги по согласованию с Заказчиком заключается соответствующие дополнительное соглашение.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 Основные нормативно-технические документы (далее - НТД) и</w:t>
            </w:r>
            <w:r>
              <w:rPr>
                <w:color w:val="000000"/>
                <w:sz w:val="24"/>
                <w:szCs w:val="24"/>
              </w:rPr>
              <w:t xml:space="preserve"> заводские инструкции по эксплуатации оборудования</w:t>
            </w:r>
            <w:r>
              <w:rPr>
                <w:bCs/>
                <w:color w:val="000000"/>
                <w:sz w:val="24"/>
                <w:szCs w:val="24"/>
              </w:rPr>
              <w:t xml:space="preserve">, определяющие требования к </w:t>
            </w:r>
            <w:r>
              <w:rPr>
                <w:color w:val="000000"/>
                <w:sz w:val="24"/>
                <w:szCs w:val="24"/>
              </w:rPr>
              <w:t>оказываемым услугам: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3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Правила технической эксплуатации электрических станций и сетей РФ утверждена приказом МЭ РФ от 04.10.2022 №1070;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34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- Правила по охране труда при работе с инструментом и приспособлениями. Утвержденные Министерством труда и Социальной защиты РФ </w:t>
            </w:r>
            <w:r>
              <w:rPr>
                <w:color w:val="000000"/>
                <w:sz w:val="24"/>
                <w:szCs w:val="24"/>
              </w:rPr>
              <w:t>№ 835н от 27.11. 2020;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34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- Заводское руководство по эксплуатации выключателя марки AREVA HG12W-IМ-EXP «HGF1000 Техническое описание (РЭ и ИМ);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Правила пожарной безопасности для энергетических предприятий РД 153-34.0-03.301-00;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3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Правила по охране труда при эксплуатации электроустановок. </w:t>
            </w:r>
            <w:r>
              <w:rPr>
                <w:bCs/>
                <w:color w:val="000000"/>
                <w:sz w:val="24"/>
                <w:szCs w:val="24"/>
              </w:rPr>
              <w:t>Утвержденные Министерством труда и Социальной защиты РФ</w:t>
            </w:r>
            <w:r>
              <w:rPr>
                <w:color w:val="000000"/>
                <w:sz w:val="24"/>
                <w:szCs w:val="24"/>
              </w:rPr>
              <w:t xml:space="preserve"> № 903н от 15.12.2020;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3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Инструкция по безопасному обращению с отходами</w:t>
            </w:r>
            <w:r>
              <w:rPr>
                <w:sz w:val="24"/>
                <w:szCs w:val="24"/>
              </w:rPr>
              <w:t xml:space="preserve"> Филиала ПАО «РусГидро» – «Бурейская ГЭС».</w:t>
            </w:r>
          </w:p>
        </w:tc>
      </w:tr>
    </w:tbl>
    <w:p>
      <w:pPr>
        <w:pStyle w:val="Normal"/>
        <w:numPr>
          <w:ilvl w:val="0"/>
          <w:numId w:val="0"/>
        </w:numPr>
        <w:spacing w:before="120" w:after="0"/>
        <w:ind w:hanging="0" w:left="0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         </w:t>
      </w:r>
    </w:p>
    <w:p>
      <w:pPr>
        <w:pStyle w:val="Normal"/>
        <w:numPr>
          <w:ilvl w:val="0"/>
          <w:numId w:val="0"/>
        </w:numPr>
        <w:spacing w:before="120" w:after="0"/>
        <w:ind w:hanging="0" w:left="0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            </w:t>
      </w:r>
      <w:r>
        <w:rPr>
          <w:b/>
          <w:bCs/>
          <w:sz w:val="24"/>
          <w:szCs w:val="24"/>
        </w:rPr>
        <w:t xml:space="preserve">5. Сроки оказания Услуг.      </w:t>
      </w:r>
      <w:r>
        <w:rPr>
          <w:b w:val="false"/>
          <w:bCs w:val="false"/>
          <w:sz w:val="24"/>
          <w:szCs w:val="24"/>
        </w:rPr>
        <w:t xml:space="preserve">                                                                                       </w:t>
      </w:r>
    </w:p>
    <w:p>
      <w:pPr>
        <w:pStyle w:val="Normal"/>
        <w:spacing w:before="0" w:after="120"/>
        <w:ind w:hanging="0" w:left="284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                                                                                                                                    </w:t>
      </w:r>
      <w:r>
        <w:rPr>
          <w:b w:val="false"/>
          <w:bCs w:val="false"/>
          <w:sz w:val="24"/>
          <w:szCs w:val="24"/>
        </w:rPr>
        <w:t>Таблица 2</w:t>
      </w:r>
      <w:r>
        <w:rPr>
          <w:b w:val="false"/>
          <w:bCs w:val="false"/>
        </w:rPr>
        <w:t>.</w:t>
      </w:r>
    </w:p>
    <w:tbl>
      <w:tblPr>
        <w:tblW w:w="9350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03"/>
        <w:gridCol w:w="3900"/>
        <w:gridCol w:w="4647"/>
      </w:tblGrid>
      <w:tr>
        <w:trPr>
          <w:trHeight w:val="540" w:hRule="atLeast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Требование заказчика</w:t>
            </w:r>
          </w:p>
        </w:tc>
      </w:tr>
      <w:tr>
        <w:trPr>
          <w:trHeight w:val="270" w:hRule="atLeast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>
        <w:trPr>
          <w:trHeight w:val="570" w:hRule="atLeast"/>
          <w:cantSplit w:val="true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37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срок оказания Услуг</w:t>
            </w: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оказания Услуг: 21.09.2026.</w:t>
            </w:r>
          </w:p>
          <w:p>
            <w:pPr>
              <w:pStyle w:val="Normal"/>
              <w:widowControl w:val="false"/>
              <w:jc w:val="both"/>
              <w:rPr>
                <w:rFonts w:eastAsia="Calibri"/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Окончание оказания Усл</w:t>
            </w:r>
            <w:r>
              <w:rPr>
                <w:color w:val="auto"/>
                <w:sz w:val="24"/>
                <w:szCs w:val="24"/>
              </w:rPr>
              <w:t>уг: 19.10.2026.</w:t>
            </w:r>
          </w:p>
        </w:tc>
      </w:tr>
    </w:tbl>
    <w:p>
      <w:pPr>
        <w:pStyle w:val="BodyText"/>
        <w:spacing w:before="0" w:after="0"/>
        <w:ind w:firstLine="360"/>
        <w:jc w:val="both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</w:r>
    </w:p>
    <w:p>
      <w:pPr>
        <w:pStyle w:val="BodyText"/>
        <w:spacing w:before="0" w:after="0"/>
        <w:ind w:firstLine="709"/>
        <w:rPr>
          <w:bCs/>
        </w:rPr>
      </w:pPr>
      <w:r>
        <w:rPr>
          <w:b/>
          <w:bCs/>
          <w:sz w:val="24"/>
          <w:szCs w:val="24"/>
        </w:rPr>
        <w:t>6. Приложения к ТТ:</w:t>
      </w:r>
    </w:p>
    <w:p>
      <w:pPr>
        <w:pStyle w:val="BodyText"/>
        <w:numPr>
          <w:ilvl w:val="0"/>
          <w:numId w:val="4"/>
        </w:numPr>
        <w:spacing w:before="0" w:after="0"/>
        <w:ind w:firstLine="426" w:lef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shd w:fill="auto" w:val="clear"/>
          <w:lang w:val="x-none" w:eastAsia="x-none" w:bidi="ar-SA"/>
        </w:rPr>
        <w:t>Методика допуска персонала подрядных организаций к выполнению работ на объектах Общества.</w:t>
      </w:r>
    </w:p>
    <w:p>
      <w:pPr>
        <w:pStyle w:val="BodyText"/>
        <w:numPr>
          <w:ilvl w:val="0"/>
          <w:numId w:val="4"/>
        </w:numPr>
        <w:spacing w:before="0" w:after="0"/>
        <w:ind w:firstLine="426" w:left="0"/>
        <w:jc w:val="both"/>
        <w:rPr>
          <w:highlight w:val="none"/>
          <w:shd w:fill="auto" w:val="clear"/>
        </w:rPr>
      </w:pPr>
      <w:r>
        <w:rPr>
          <w:rFonts w:eastAsia="Times New Roman" w:cs="Times New Roman"/>
          <w:color w:val="000000"/>
          <w:sz w:val="24"/>
          <w:szCs w:val="24"/>
          <w:shd w:fill="auto" w:val="clear"/>
          <w:lang w:val="x-none" w:eastAsia="x-none" w:bidi="ar-SA"/>
        </w:rPr>
        <w:t>З</w:t>
      </w:r>
      <w:r>
        <w:rPr>
          <w:rFonts w:eastAsia="Times New Roman" w:cs="Times New Roman"/>
          <w:color w:val="000000"/>
          <w:sz w:val="28"/>
          <w:szCs w:val="28"/>
          <w:shd w:fill="auto" w:val="clear"/>
          <w:lang w:val="x-none" w:eastAsia="x-none" w:bidi="ar-SA"/>
        </w:rPr>
        <w:t>аводское руководство по эксплуатации выключателя марки AREVA HG12W-IМ-EXP «HGF1000 Техническое описание (РЭ и ИМ)».</w:t>
      </w:r>
    </w:p>
    <w:p>
      <w:pPr>
        <w:pStyle w:val="BodyText"/>
        <w:spacing w:before="0" w:after="0"/>
        <w:ind w:firstLine="426" w:left="0"/>
        <w:jc w:val="both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BodyText"/>
        <w:spacing w:before="0" w:after="0"/>
        <w:ind w:firstLine="426" w:left="0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BodyText"/>
        <w:spacing w:before="0" w:after="0"/>
        <w:jc w:val="both"/>
        <w:rPr>
          <w:b w:val="false"/>
          <w:bCs w:val="false"/>
        </w:rPr>
      </w:pPr>
      <w:r>
        <w:rPr/>
      </w:r>
    </w:p>
    <w:sectPr>
      <w:type w:val="nextPage"/>
      <w:pgSz w:w="11906" w:h="16838"/>
      <w:pgMar w:left="1417" w:right="850" w:gutter="0" w:header="0" w:top="850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b0f2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2b0f2c"/>
    <w:pPr>
      <w:keepNext w:val="true"/>
      <w:numPr>
        <w:ilvl w:val="0"/>
        <w:numId w:val="3"/>
      </w:numPr>
      <w:jc w:val="center"/>
      <w:outlineLvl w:val="0"/>
    </w:pPr>
    <w:rPr>
      <w:b/>
      <w:sz w:val="24"/>
      <w:szCs w:val="20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2b0f2c"/>
    <w:rPr>
      <w:rFonts w:ascii="Times New Roman" w:hAnsi="Times New Roman" w:eastAsia="Times New Roman" w:cs="Times New Roman"/>
      <w:b/>
      <w:sz w:val="24"/>
      <w:szCs w:val="20"/>
      <w:lang w:val="x-none" w:eastAsia="x-none"/>
    </w:rPr>
  </w:style>
  <w:style w:type="character" w:styleId="Style8" w:customStyle="1">
    <w:name w:val="Основной текст Знак"/>
    <w:basedOn w:val="DefaultParagraphFont"/>
    <w:qFormat/>
    <w:rsid w:val="002b0f2c"/>
    <w:rPr>
      <w:rFonts w:ascii="Times New Roman" w:hAnsi="Times New Roman" w:eastAsia="Times New Roman" w:cs="Times New Roman"/>
      <w:sz w:val="28"/>
      <w:szCs w:val="28"/>
      <w:lang w:val="x-none" w:eastAsia="x-none"/>
    </w:rPr>
  </w:style>
  <w:style w:type="character" w:styleId="Style9" w:customStyle="1">
    <w:name w:val="Абзац списка Знак"/>
    <w:link w:val="ListParagraph"/>
    <w:uiPriority w:val="34"/>
    <w:qFormat/>
    <w:locked/>
    <w:rsid w:val="002b0f2c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0">
    <w:name w:val="Маркеры"/>
    <w:qFormat/>
    <w:rPr>
      <w:rFonts w:ascii="OpenSymbol" w:hAnsi="OpenSymbol" w:eastAsia="OpenSymbol" w:cs="OpenSymbol"/>
    </w:rPr>
  </w:style>
  <w:style w:type="character" w:styleId="LineNumber">
    <w:name w:val="Line Number"/>
    <w:rPr/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8"/>
    <w:rsid w:val="002b0f2c"/>
    <w:pPr>
      <w:spacing w:before="0" w:after="120"/>
    </w:pPr>
    <w:rPr>
      <w:lang w:val="x-none" w:eastAsia="x-none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NoSpacing">
    <w:name w:val="No Spacing"/>
    <w:basedOn w:val="Normal"/>
    <w:uiPriority w:val="1"/>
    <w:qFormat/>
    <w:rsid w:val="002b0f2c"/>
    <w:pPr>
      <w:spacing w:lineRule="auto" w:line="360"/>
    </w:pPr>
    <w:rPr>
      <w:rFonts w:eastAsia="Calibri"/>
      <w:sz w:val="24"/>
      <w:szCs w:val="24"/>
    </w:rPr>
  </w:style>
  <w:style w:type="paragraph" w:styleId="ListParagraph">
    <w:name w:val="List Paragraph"/>
    <w:basedOn w:val="Normal"/>
    <w:link w:val="Style9"/>
    <w:uiPriority w:val="34"/>
    <w:qFormat/>
    <w:rsid w:val="002b0f2c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4458255201">
    <w:name w:val="4458255201"/>
    <w:qFormat/>
  </w:style>
  <w:style w:type="numbering" w:styleId="34617667381">
    <w:name w:val="34617667381"/>
    <w:qFormat/>
  </w:style>
  <w:style w:type="numbering" w:styleId="35575058371">
    <w:name w:val="3557505837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rsid w:val="002b0f2c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3867</TotalTime>
  <Application>AlterOffice/2026.2.0.0$Linux_X86_64 LibreOffice_project/bc4ef1adf80b36c7a6365f8ed6cbf29021361edd</Application>
  <AppVersion>15.0000</AppVersion>
  <Pages>5</Pages>
  <Words>929</Words>
  <Characters>6401</Characters>
  <CharactersWithSpaces>7625</CharactersWithSpaces>
  <Paragraphs>140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2021-10-28T02:22:00Z</dcterms:created>
  <dc:creator>Пономаренко Андрей Александрович</dc:creator>
  <dc:description/>
  <dc:language>ru-RU</dc:language>
  <cp:lastModifiedBy>osadchayaem@corp.gidroogk.com</cp:lastModifiedBy>
  <dcterms:modified xsi:type="dcterms:W3CDTF">2026-09-17T15:34:51Z</dcterms:modified>
  <cp:revision>90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