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hanging="0" w:left="5245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/>
      </w:pPr>
      <w:r>
        <w:rPr>
          <w:rFonts w:eastAsia="Calibri" w:ascii="Times New Roman" w:hAnsi="Times New Roman"/>
          <w:sz w:val="26"/>
          <w:szCs w:val="26"/>
        </w:rPr>
        <w:t xml:space="preserve">«ОКПД2  43.12.11.140 </w:t>
      </w:r>
      <w:r>
        <w:rPr>
          <w:rFonts w:eastAsia="Calibri" w:ascii="Times New Roman" w:hAnsi="Times New Roman"/>
          <w:color w:val="000000"/>
          <w:sz w:val="28"/>
          <w:szCs w:val="28"/>
        </w:rPr>
        <w:t xml:space="preserve">. </w:t>
      </w:r>
      <w:r>
        <w:rPr>
          <w:rStyle w:val="Strong"/>
          <w:rFonts w:eastAsia="Calibri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«Работы по расчистке территории, удалению растительности на Дамбе №49</w:t>
      </w:r>
      <w:r>
        <w:rPr>
          <w:rFonts w:eastAsia="Calibri" w:ascii="Times New Roman" w:hAnsi="Times New Roman"/>
          <w:color w:val="000000"/>
          <w:sz w:val="28"/>
          <w:szCs w:val="28"/>
        </w:rPr>
        <w:t xml:space="preserve"> филиала ПАО «РусГидро»-«Жигулевская ГЭС» </w:t>
      </w:r>
    </w:p>
    <w:p>
      <w:pPr>
        <w:pStyle w:val="Normal"/>
        <w:tabs>
          <w:tab w:val="clear" w:pos="708"/>
          <w:tab w:val="left" w:pos="426" w:leader="none"/>
        </w:tabs>
        <w:spacing w:before="120" w:after="120"/>
        <w:jc w:val="center"/>
        <w:rPr>
          <w:rFonts w:ascii="Times New Roman" w:hAnsi="Times New Roman" w:eastAsia="Calibri"/>
          <w:color w:val="000000"/>
          <w:sz w:val="28"/>
          <w:szCs w:val="28"/>
        </w:rPr>
      </w:pPr>
      <w:r>
        <w:rPr>
          <w:rFonts w:eastAsia="Calibri" w:ascii="Times New Roman" w:hAnsi="Times New Roman"/>
          <w:color w:val="000000"/>
          <w:sz w:val="28"/>
          <w:szCs w:val="28"/>
        </w:rPr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center"/>
        <w:rPr>
          <w:rFonts w:eastAsia="Calibri"/>
          <w:sz w:val="26"/>
        </w:rPr>
      </w:pPr>
      <w:r>
        <w:rPr>
          <w:rFonts w:eastAsia="Calibri"/>
          <w:sz w:val="26"/>
        </w:rPr>
      </w:r>
    </w:p>
    <w:p>
      <w:pPr>
        <w:pStyle w:val="Normal"/>
        <w:jc w:val="center"/>
        <w:rPr>
          <w:rFonts w:eastAsia="Calibri"/>
          <w:sz w:val="26"/>
        </w:rPr>
      </w:pPr>
      <w:r>
        <w:rPr>
          <w:rFonts w:eastAsia="Calibri"/>
          <w:sz w:val="26"/>
        </w:rPr>
      </w:r>
    </w:p>
    <w:p>
      <w:pPr>
        <w:pStyle w:val="Normal"/>
        <w:jc w:val="center"/>
        <w:rPr>
          <w:rFonts w:eastAsia="Calibri"/>
          <w:sz w:val="26"/>
        </w:rPr>
      </w:pPr>
      <w:r>
        <w:rPr>
          <w:rFonts w:eastAsia="Calibri"/>
          <w:sz w:val="26"/>
        </w:rPr>
      </w:r>
    </w:p>
    <w:p>
      <w:pPr>
        <w:pStyle w:val="Normal"/>
        <w:jc w:val="center"/>
        <w:rPr>
          <w:rFonts w:eastAsia="Calibri"/>
          <w:sz w:val="26"/>
        </w:rPr>
      </w:pPr>
      <w:r>
        <w:rPr>
          <w:rFonts w:eastAsia="Calibri"/>
          <w:sz w:val="26"/>
        </w:rPr>
      </w:r>
    </w:p>
    <w:p>
      <w:pPr>
        <w:pStyle w:val="Normal"/>
        <w:jc w:val="center"/>
        <w:rPr>
          <w:rFonts w:eastAsia="Calibri"/>
          <w:sz w:val="26"/>
        </w:rPr>
      </w:pPr>
      <w:r>
        <w:rPr>
          <w:rFonts w:eastAsia="Calibri"/>
          <w:sz w:val="26"/>
        </w:rPr>
      </w:r>
    </w:p>
    <w:p>
      <w:pPr>
        <w:pStyle w:val="Normal"/>
        <w:jc w:val="center"/>
        <w:rPr>
          <w:rFonts w:eastAsia="Calibri"/>
          <w:sz w:val="26"/>
        </w:rPr>
      </w:pPr>
      <w:r>
        <w:rPr>
          <w:rFonts w:eastAsia="Calibri"/>
          <w:sz w:val="26"/>
        </w:rPr>
      </w:r>
    </w:p>
    <w:p>
      <w:pPr>
        <w:pStyle w:val="Normal"/>
        <w:jc w:val="center"/>
        <w:rPr>
          <w:rFonts w:eastAsia="Calibri"/>
          <w:sz w:val="26"/>
        </w:rPr>
      </w:pPr>
      <w:r>
        <w:rPr>
          <w:rFonts w:eastAsia="Calibri"/>
          <w:sz w:val="26"/>
        </w:rPr>
      </w:r>
    </w:p>
    <w:p>
      <w:pPr>
        <w:pStyle w:val="Normal"/>
        <w:jc w:val="center"/>
        <w:rPr>
          <w:rFonts w:eastAsia="Calibri"/>
          <w:sz w:val="26"/>
        </w:rPr>
      </w:pPr>
      <w:r>
        <w:rPr>
          <w:rFonts w:eastAsia="Calibri"/>
          <w:sz w:val="26"/>
        </w:rPr>
      </w:r>
    </w:p>
    <w:p>
      <w:pPr>
        <w:pStyle w:val="Normal"/>
        <w:jc w:val="center"/>
        <w:rPr>
          <w:rFonts w:eastAsia="Calibri"/>
          <w:sz w:val="26"/>
        </w:rPr>
      </w:pPr>
      <w:r>
        <w:rPr>
          <w:rFonts w:eastAsia="Calibri"/>
          <w:sz w:val="26"/>
        </w:rPr>
      </w:r>
    </w:p>
    <w:p>
      <w:pPr>
        <w:pStyle w:val="Normal"/>
        <w:jc w:val="center"/>
        <w:rPr>
          <w:rFonts w:eastAsia="Calibri"/>
          <w:sz w:val="26"/>
        </w:rPr>
      </w:pPr>
      <w:r>
        <w:rPr>
          <w:rFonts w:eastAsia="Calibri"/>
          <w:sz w:val="26"/>
        </w:rPr>
      </w:r>
    </w:p>
    <w:p>
      <w:pPr>
        <w:pStyle w:val="Normal"/>
        <w:jc w:val="center"/>
        <w:rPr>
          <w:rFonts w:eastAsia="Calibri"/>
          <w:sz w:val="26"/>
        </w:rPr>
      </w:pPr>
      <w:r>
        <w:rPr>
          <w:rFonts w:eastAsia="Calibri"/>
          <w:sz w:val="26"/>
        </w:rPr>
      </w:r>
    </w:p>
    <w:p>
      <w:pPr>
        <w:pStyle w:val="Normal"/>
        <w:jc w:val="center"/>
        <w:rPr>
          <w:rFonts w:eastAsia="Calibri"/>
          <w:sz w:val="26"/>
        </w:rPr>
      </w:pPr>
      <w:r>
        <w:rPr>
          <w:rFonts w:eastAsia="Calibri"/>
          <w:sz w:val="26"/>
        </w:rPr>
      </w:r>
    </w:p>
    <w:p>
      <w:pPr>
        <w:pStyle w:val="Normal"/>
        <w:jc w:val="center"/>
        <w:rPr>
          <w:rFonts w:eastAsia="Calibri"/>
          <w:sz w:val="26"/>
        </w:rPr>
      </w:pPr>
      <w:r>
        <w:rPr>
          <w:rFonts w:eastAsia="Calibri"/>
          <w:sz w:val="26"/>
        </w:rPr>
      </w:r>
    </w:p>
    <w:p>
      <w:pPr>
        <w:pStyle w:val="Normal"/>
        <w:jc w:val="center"/>
        <w:rPr>
          <w:rFonts w:eastAsia="Calibri"/>
          <w:sz w:val="26"/>
        </w:rPr>
      </w:pPr>
      <w:r>
        <w:rPr>
          <w:rFonts w:eastAsia="Calibri"/>
          <w:sz w:val="26"/>
        </w:rPr>
      </w:r>
    </w:p>
    <w:p>
      <w:pPr>
        <w:pStyle w:val="Normal"/>
        <w:jc w:val="center"/>
        <w:rPr>
          <w:rFonts w:eastAsia="Calibri"/>
          <w:sz w:val="26"/>
        </w:rPr>
      </w:pPr>
      <w:r>
        <w:rPr>
          <w:rFonts w:eastAsia="Calibri"/>
          <w:sz w:val="26"/>
        </w:rPr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</w:r>
    </w:p>
    <w:p>
      <w:pPr>
        <w:pStyle w:val="Normal"/>
        <w:keepNext w:val="true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</w:r>
    </w:p>
    <w:p>
      <w:pPr>
        <w:sectPr>
          <w:headerReference w:type="default" r:id="rId2"/>
          <w:type w:val="nextPage"/>
          <w:pgSz w:w="11906" w:h="16838"/>
          <w:pgMar w:left="1134" w:right="707" w:gutter="0" w:header="680" w:top="1134" w:footer="0" w:bottom="720"/>
          <w:pgNumType w:fmt="decimal"/>
          <w:formProt w:val="false"/>
          <w:textDirection w:val="lrTb"/>
          <w:docGrid w:type="default" w:linePitch="600" w:charSpace="32768"/>
        </w:sectPr>
        <w:pStyle w:val="Normal"/>
        <w:jc w:val="center"/>
        <w:rPr>
          <w:b/>
        </w:rPr>
      </w:pPr>
      <w:r>
        <w:rPr>
          <w:b/>
        </w:rPr>
        <w:t>г. Жигулёвск</w:t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left" w:pos="708" w:leader="none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3"/>
            </w:rPr>
            <w:instrText xml:space="preserve"> TOC \o "1-4" \h</w:instrText>
          </w:r>
          <w:r>
            <w:rPr>
              <w:rStyle w:val="Style13"/>
            </w:rPr>
            <w:fldChar w:fldCharType="separate"/>
          </w:r>
          <w:hyperlink w:anchor="__RefHeading___Toc992_977031535">
            <w:r>
              <w:rPr>
                <w:rStyle w:val="Style13"/>
              </w:rPr>
              <w:t>1.</w:t>
              <w:tab/>
              <w:t>Общие сведения</w:t>
              <w:tab/>
              <w:t>3</w:t>
            </w:r>
          </w:hyperlink>
        </w:p>
        <w:p>
          <w:pPr>
            <w:pStyle w:val="TOC2"/>
            <w:tabs>
              <w:tab w:val="left" w:pos="708" w:leader="none"/>
              <w:tab w:val="right" w:pos="9921" w:leader="dot"/>
            </w:tabs>
            <w:rPr/>
          </w:pPr>
          <w:hyperlink w:anchor="__RefHeading___Toc994_977031535">
            <w:r>
              <w:rPr>
                <w:rStyle w:val="Style13"/>
              </w:rPr>
              <w:t>1.1.</w:t>
              <w:tab/>
              <w:t>Обозначения и сокращения</w:t>
              <w:tab/>
              <w:t>3</w:t>
            </w:r>
          </w:hyperlink>
        </w:p>
        <w:p>
          <w:pPr>
            <w:pStyle w:val="TOC2"/>
            <w:tabs>
              <w:tab w:val="left" w:pos="708" w:leader="none"/>
              <w:tab w:val="right" w:pos="9921" w:leader="dot"/>
            </w:tabs>
            <w:rPr/>
          </w:pPr>
          <w:hyperlink w:anchor="__RefHeading___Toc996_977031535">
            <w:r>
              <w:rPr>
                <w:rStyle w:val="Style13"/>
              </w:rPr>
              <w:t>1.2.</w:t>
              <w:tab/>
              <w:t>Наименование закупаемой продукции</w:t>
              <w:tab/>
              <w:t>4</w:t>
            </w:r>
          </w:hyperlink>
        </w:p>
        <w:p>
          <w:pPr>
            <w:pStyle w:val="TOC2"/>
            <w:tabs>
              <w:tab w:val="left" w:pos="708" w:leader="none"/>
              <w:tab w:val="right" w:pos="9921" w:leader="dot"/>
            </w:tabs>
            <w:rPr/>
          </w:pPr>
          <w:hyperlink w:anchor="__RefHeading___Toc998_977031535">
            <w:r>
              <w:rPr>
                <w:rStyle w:val="Style13"/>
              </w:rPr>
              <w:t>1.3.</w:t>
              <w:tab/>
              <w:t>Цель выполнения работ</w:t>
              <w:tab/>
              <w:t>4</w:t>
            </w:r>
          </w:hyperlink>
        </w:p>
        <w:p>
          <w:pPr>
            <w:pStyle w:val="TOC2"/>
            <w:tabs>
              <w:tab w:val="left" w:pos="708" w:leader="none"/>
              <w:tab w:val="right" w:pos="9921" w:leader="dot"/>
            </w:tabs>
            <w:rPr/>
          </w:pPr>
          <w:hyperlink w:anchor="__RefHeading___Toc1000_977031535">
            <w:r>
              <w:rPr>
                <w:rStyle w:val="Style13"/>
              </w:rPr>
              <w:t>1.4.</w:t>
              <w:tab/>
              <w:t>Существующее положение</w:t>
              <w:tab/>
              <w:t>4</w:t>
            </w:r>
          </w:hyperlink>
        </w:p>
        <w:p>
          <w:pPr>
            <w:pStyle w:val="TOC1"/>
            <w:tabs>
              <w:tab w:val="left" w:pos="708" w:leader="none"/>
              <w:tab w:val="right" w:pos="9921" w:leader="dot"/>
            </w:tabs>
            <w:rPr/>
          </w:pPr>
          <w:hyperlink w:anchor="__RefHeading___Toc1034_977031535">
            <w:r>
              <w:rPr>
                <w:rStyle w:val="Style13"/>
              </w:rPr>
              <w:tab/>
              <w:t>1. Таблица 1. Перечень объектов заказчика</w:t>
              <w:tab/>
              <w:t>4</w:t>
            </w:r>
          </w:hyperlink>
        </w:p>
        <w:p>
          <w:pPr>
            <w:pStyle w:val="TOC2"/>
            <w:tabs>
              <w:tab w:val="left" w:pos="708" w:leader="none"/>
              <w:tab w:val="right" w:pos="9921" w:leader="dot"/>
            </w:tabs>
            <w:rPr/>
          </w:pPr>
          <w:hyperlink w:anchor="__RefHeading___Toc1002_977031535">
            <w:r>
              <w:rPr>
                <w:rStyle w:val="Style13"/>
              </w:rPr>
              <w:t>1.5.</w:t>
              <w:tab/>
              <w:t xml:space="preserve">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4</w:t>
            </w:r>
          </w:hyperlink>
        </w:p>
        <w:p>
          <w:pPr>
            <w:pStyle w:val="TOC1"/>
            <w:tabs>
              <w:tab w:val="left" w:pos="708" w:leader="none"/>
              <w:tab w:val="right" w:pos="9921" w:leader="dot"/>
            </w:tabs>
            <w:rPr/>
          </w:pPr>
          <w:hyperlink w:anchor="__RefHeading___Toc1004_977031535">
            <w:r>
              <w:rPr>
                <w:rStyle w:val="Style13"/>
              </w:rPr>
              <w:t>2.</w:t>
              <w:tab/>
              <w:t>Требования к объемам и срокам выполнения работ</w:t>
              <w:tab/>
              <w:t>5</w:t>
            </w:r>
          </w:hyperlink>
        </w:p>
        <w:p>
          <w:pPr>
            <w:pStyle w:val="TOC2"/>
            <w:tabs>
              <w:tab w:val="left" w:pos="708" w:leader="none"/>
              <w:tab w:val="right" w:pos="9921" w:leader="dot"/>
            </w:tabs>
            <w:rPr/>
          </w:pPr>
          <w:hyperlink w:anchor="__RefHeading___Toc1006_977031535">
            <w:r>
              <w:rPr>
                <w:rStyle w:val="Style13"/>
              </w:rPr>
              <w:t>2.1.</w:t>
              <w:tab/>
              <w:t>Требования к объёмам и срокам выполнения работ</w:t>
              <w:tab/>
              <w:t>5</w:t>
            </w:r>
          </w:hyperlink>
        </w:p>
        <w:p>
          <w:pPr>
            <w:pStyle w:val="TOC3"/>
            <w:tabs>
              <w:tab w:val="left" w:pos="708" w:leader="none"/>
              <w:tab w:val="right" w:pos="9921" w:leader="dot"/>
            </w:tabs>
            <w:rPr/>
          </w:pPr>
          <w:hyperlink w:anchor="__RefHeading___Toc1008_977031535">
            <w:r>
              <w:rPr>
                <w:rStyle w:val="Style13"/>
              </w:rPr>
              <w:t>2.1.1.</w:t>
              <w:tab/>
              <w:t>Требования к перечню и объему работ</w:t>
              <w:tab/>
              <w:t>5</w:t>
            </w:r>
          </w:hyperlink>
        </w:p>
        <w:p>
          <w:pPr>
            <w:pStyle w:val="TOC1"/>
            <w:tabs>
              <w:tab w:val="left" w:pos="708" w:leader="none"/>
              <w:tab w:val="right" w:pos="9921" w:leader="dot"/>
            </w:tabs>
            <w:rPr/>
          </w:pPr>
          <w:hyperlink w:anchor="__RefHeading___Toc1010_977031535">
            <w:r>
              <w:rPr>
                <w:rStyle w:val="Style13"/>
              </w:rPr>
              <w:tab/>
              <w:t>Таблица 2. Перечень и объем оказываемых работ</w:t>
              <w:tab/>
              <w:t>5</w:t>
            </w:r>
          </w:hyperlink>
        </w:p>
        <w:p>
          <w:pPr>
            <w:pStyle w:val="TOC3"/>
            <w:tabs>
              <w:tab w:val="left" w:pos="708" w:leader="none"/>
              <w:tab w:val="right" w:pos="9921" w:leader="dot"/>
            </w:tabs>
            <w:rPr/>
          </w:pPr>
          <w:hyperlink w:anchor="__RefHeading___Toc1012_977031535">
            <w:r>
              <w:rPr>
                <w:rStyle w:val="Style13"/>
              </w:rPr>
              <w:t>2.1.2.</w:t>
              <w:tab/>
              <w:t>Требования к срокам выполнения работ</w:t>
              <w:tab/>
              <w:t>5</w:t>
            </w:r>
          </w:hyperlink>
        </w:p>
        <w:p>
          <w:pPr>
            <w:pStyle w:val="TOC1"/>
            <w:tabs>
              <w:tab w:val="left" w:pos="708" w:leader="none"/>
              <w:tab w:val="right" w:pos="9921" w:leader="dot"/>
            </w:tabs>
            <w:rPr/>
          </w:pPr>
          <w:hyperlink w:anchor="__RefHeading___Toc1014_977031535">
            <w:r>
              <w:rPr>
                <w:rStyle w:val="Style13"/>
              </w:rPr>
              <w:tab/>
              <w:t>Таблица 3. Требования по срокам выполнения работ</w:t>
              <w:tab/>
              <w:t>5</w:t>
            </w:r>
          </w:hyperlink>
        </w:p>
        <w:p>
          <w:pPr>
            <w:pStyle w:val="TOC2"/>
            <w:tabs>
              <w:tab w:val="left" w:pos="708" w:leader="none"/>
              <w:tab w:val="right" w:pos="9921" w:leader="dot"/>
            </w:tabs>
            <w:rPr/>
          </w:pPr>
          <w:hyperlink w:anchor="__RefHeading___Toc1016_977031535">
            <w:r>
              <w:rPr>
                <w:rStyle w:val="Style13"/>
              </w:rPr>
              <w:t>2.2.</w:t>
              <w:tab/>
              <w:t>Требования к качеству работ</w:t>
              <w:tab/>
              <w:t>5</w:t>
            </w:r>
          </w:hyperlink>
          <w:r>
            <w:rPr>
              <w:rStyle w:val="Style13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color w:val="auto"/>
          <w:kern w:val="0"/>
          <w:sz w:val="22"/>
          <w:szCs w:val="22"/>
          <w:lang w:eastAsia="ru-RU" w:bidi="ar-SA"/>
        </w:rPr>
      </w:pPr>
      <w:r>
        <w:rPr>
          <w:rFonts w:eastAsia="" w:cs="" w:cstheme="minorBidi" w:eastAsiaTheme="minorEastAsia" w:ascii="Calibri" w:hAnsi="Calibri"/>
          <w:b w:val="false"/>
          <w:bCs w:val="false"/>
          <w:color w:val="auto"/>
          <w:kern w:val="0"/>
          <w:sz w:val="22"/>
          <w:szCs w:val="22"/>
          <w:lang w:eastAsia="ru-RU" w:bidi="ar-SA"/>
        </w:rPr>
      </w:r>
    </w:p>
    <w:p>
      <w:pPr>
        <w:pStyle w:val="TOC1"/>
        <w:tabs>
          <w:tab w:val="left" w:pos="708" w:leader="none"/>
          <w:tab w:val="right" w:pos="9921" w:leader="dot"/>
        </w:tabs>
        <w:rPr/>
      </w:pPr>
      <w:r>
        <w:rPr/>
      </w:r>
    </w:p>
    <w:p>
      <w:pPr>
        <w:pStyle w:val="TOC1"/>
        <w:tabs>
          <w:tab w:val="clear" w:pos="708"/>
          <w:tab w:val="right" w:pos="560" w:leader="dot"/>
          <w:tab w:val="right" w:pos="9911" w:leader="dot"/>
        </w:tabs>
        <w:rPr/>
      </w:pPr>
      <w:r>
        <w:rPr/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rPr/>
      </w:pPr>
      <w:r>
        <w:rPr/>
      </w:r>
      <w:r>
        <w:br w:type="page"/>
      </w:r>
    </w:p>
    <w:p>
      <w:pPr>
        <w:pStyle w:val="Normal"/>
        <w:keepNext w:val="true"/>
        <w:keepLines/>
        <w:jc w:val="center"/>
        <w:rPr>
          <w:rFonts w:ascii="Calibri" w:hAnsi="Calibri" w:eastAsia="Calibri" w:cs="Calibri"/>
          <w:b/>
          <w:i/>
          <w:i/>
          <w:sz w:val="22"/>
        </w:rPr>
      </w:pPr>
      <w:r>
        <w:rPr>
          <w:rFonts w:eastAsia="Calibri" w:cs="Calibri" w:ascii="Calibri" w:hAnsi="Calibri"/>
          <w:b/>
          <w:i/>
          <w:sz w:val="22"/>
        </w:rPr>
      </w:r>
    </w:p>
    <w:p>
      <w:pPr>
        <w:pStyle w:val="Heading1"/>
        <w:rPr/>
      </w:pPr>
      <w:bookmarkStart w:id="0" w:name="__RefHeading___Toc992_977031535"/>
      <w:bookmarkStart w:id="1" w:name="_Toc226037842"/>
      <w:bookmarkStart w:id="2" w:name="_Toc226035807"/>
      <w:bookmarkEnd w:id="0"/>
      <w:r>
        <w:rPr/>
        <w:t>Общие сведения</w:t>
      </w:r>
      <w:bookmarkEnd w:id="1"/>
      <w:bookmarkEnd w:id="2"/>
    </w:p>
    <w:p>
      <w:pPr>
        <w:pStyle w:val="Heading2"/>
        <w:rPr/>
      </w:pPr>
      <w:bookmarkStart w:id="3" w:name="__RefHeading___Toc994_977031535"/>
      <w:bookmarkStart w:id="4" w:name="_Toc226037843"/>
      <w:bookmarkStart w:id="5" w:name="_Toc226035808"/>
      <w:bookmarkEnd w:id="3"/>
      <w:r>
        <w:rPr/>
        <w:t>Обозначения и сокращения</w:t>
      </w:r>
      <w:bookmarkEnd w:id="4"/>
      <w:bookmarkEnd w:id="5"/>
    </w:p>
    <w:p>
      <w:pPr>
        <w:pStyle w:val="Normal"/>
        <w:rPr/>
      </w:pPr>
      <w:r>
        <w:rPr/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Филиал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/>
              <w:t>Филиал ПАО «РусГидро» - «Жигулевская ГЭС»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Cs w:val="27"/>
                <w:lang w:val="en-US"/>
              </w:rPr>
            </w:pPr>
            <w:r>
              <w:rPr>
                <w:szCs w:val="27"/>
                <w:lang w:val="en-US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СТО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Стандарт организации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Нормативно-технические документы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СМР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Строительно-монтажные работы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ППР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Проект производства работ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7"/>
                <w:b w:val="false"/>
                <w:bCs w:val="false"/>
                <w:i w:val="false"/>
                <w:sz w:val="24"/>
                <w:szCs w:val="24"/>
                <w:shd w:fill="FFFFFF" w:val="clear"/>
                <w:lang w:val="en-US"/>
              </w:rPr>
              <w:t>ГЭС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/>
              <w:t>ГТС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Гидротехнические сооружения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/>
              <w:t>ЗП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Землянная плотина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/>
              <w:t>ЛСР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Локальный сметный расчет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/>
              <w:t>НБ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Нижний бьеф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/>
              <w:t>ВБ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Верхний бьеф</w:t>
            </w:r>
          </w:p>
        </w:tc>
      </w:tr>
    </w:tbl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  <w:r>
        <w:br w:type="page"/>
      </w:r>
    </w:p>
    <w:p>
      <w:pPr>
        <w:pStyle w:val="Normal"/>
        <w:keepNext w:val="true"/>
        <w:keepLines/>
        <w:rPr/>
      </w:pPr>
      <w:r>
        <w:rPr/>
      </w:r>
    </w:p>
    <w:p>
      <w:pPr>
        <w:pStyle w:val="Heading2"/>
        <w:rPr/>
      </w:pPr>
      <w:bookmarkStart w:id="6" w:name="__RefHeading___Toc996_977031535"/>
      <w:bookmarkStart w:id="7" w:name="_Toc226037844"/>
      <w:bookmarkStart w:id="8" w:name="_Toc226035809"/>
      <w:bookmarkEnd w:id="6"/>
      <w:r>
        <w:rPr/>
        <w:t>Наименование закупаемой продукции</w:t>
      </w:r>
      <w:bookmarkEnd w:id="7"/>
      <w:bookmarkEnd w:id="8"/>
    </w:p>
    <w:p>
      <w:pPr>
        <w:pStyle w:val="Normal"/>
        <w:jc w:val="left"/>
        <w:rPr/>
      </w:pPr>
      <w:r>
        <w:rPr>
          <w:rFonts w:eastAsia="Calibri" w:ascii="Times New Roman" w:hAnsi="Times New Roman"/>
          <w:color w:val="000000"/>
          <w:sz w:val="26"/>
          <w:szCs w:val="26"/>
        </w:rPr>
        <w:t xml:space="preserve">«ОКПД2  43.12.11.140 . </w:t>
      </w:r>
      <w:r>
        <w:rPr>
          <w:rStyle w:val="Strong"/>
          <w:rFonts w:eastAsia="Calibri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6"/>
        </w:rPr>
        <w:t>«Работы по расчистке территории, удалению растительности на Дамбе №49</w:t>
      </w:r>
      <w:r>
        <w:rPr>
          <w:rFonts w:eastAsia="Calibri" w:ascii="Times New Roman" w:hAnsi="Times New Roman"/>
          <w:color w:val="000000"/>
          <w:sz w:val="26"/>
          <w:szCs w:val="26"/>
        </w:rPr>
        <w:t xml:space="preserve"> филиала ПАО «РусГидро»-«Жигулевская ГЭС» </w:t>
      </w:r>
    </w:p>
    <w:p>
      <w:pPr>
        <w:pStyle w:val="Normal"/>
        <w:tabs>
          <w:tab w:val="clear" w:pos="708"/>
          <w:tab w:val="left" w:pos="426" w:leader="none"/>
        </w:tabs>
        <w:spacing w:before="120" w:after="120"/>
        <w:jc w:val="center"/>
        <w:rPr>
          <w:rFonts w:ascii="Times New Roman" w:hAnsi="Times New Roman"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Heading2"/>
        <w:rPr/>
      </w:pPr>
      <w:bookmarkStart w:id="9" w:name="__RefHeading___Toc998_977031535"/>
      <w:bookmarkStart w:id="10" w:name="_Toc226037845"/>
      <w:bookmarkStart w:id="11" w:name="_Toc226035810"/>
      <w:bookmarkEnd w:id="9"/>
      <w:r>
        <w:rPr/>
        <w:t>Цель выполнения работ</w:t>
      </w:r>
      <w:bookmarkEnd w:id="10"/>
      <w:bookmarkEnd w:id="11"/>
    </w:p>
    <w:p>
      <w:pPr>
        <w:pStyle w:val="Normal"/>
        <w:jc w:val="both"/>
        <w:rPr/>
      </w:pPr>
      <w:r>
        <w:rPr>
          <w:shd w:fill="FFFFFF" w:val="clear"/>
        </w:rPr>
        <w:tab/>
        <w:t>Целью выполнения работ является вырубка высоких деревьев на Дамбе №49 со стороны верхнего и нижнего бьефа для обеспечения обзора средствам поражения воздушных целей, с последующим дроблением в щепу и вывозом</w:t>
        <w:t xml:space="preserve"> на полигон отходов.</w:t>
      </w:r>
    </w:p>
    <w:p>
      <w:pPr>
        <w:pStyle w:val="Normal"/>
        <w:rPr>
          <w:shd w:fill="FFFFFF" w:val="clear"/>
        </w:rPr>
      </w:pPr>
      <w:r>
        <w:rPr>
          <w:shd w:fill="FFFFFF" w:val="clear"/>
        </w:rPr>
      </w:r>
    </w:p>
    <w:p>
      <w:pPr>
        <w:pStyle w:val="Heading2"/>
        <w:rPr/>
      </w:pPr>
      <w:bookmarkStart w:id="12" w:name="__RefHeading___Toc1000_977031535"/>
      <w:bookmarkStart w:id="13" w:name="_Toc226035811"/>
      <w:bookmarkStart w:id="14" w:name="_Toc226037846"/>
      <w:bookmarkEnd w:id="12"/>
      <w:r>
        <w:rPr/>
        <w:t>Существующее положение</w:t>
      </w:r>
      <w:bookmarkEnd w:id="13"/>
      <w:bookmarkEnd w:id="14"/>
      <w:r>
        <w:rPr/>
        <w:t xml:space="preserve">        </w:t>
      </w:r>
    </w:p>
    <w:p>
      <w:pPr>
        <w:pStyle w:val="Normal"/>
        <w:tabs>
          <w:tab w:val="clear" w:pos="708"/>
          <w:tab w:val="left" w:pos="426" w:leader="none"/>
        </w:tabs>
        <w:spacing w:before="120" w:after="240"/>
        <w:rPr/>
      </w:pPr>
      <w:r>
        <w:rPr/>
        <w:t xml:space="preserve">Место нахождение объекта: </w:t>
      </w:r>
      <w:r>
        <w:rPr/>
        <w:t>Жигулёвская ГЭС расположена по адресу: Российская Федерация, 445350, Самарская область, город Жигулевск, Московское шоссе, дом 2.</w:t>
      </w:r>
    </w:p>
    <w:p>
      <w:pPr>
        <w:pStyle w:val="Normal"/>
        <w:tabs>
          <w:tab w:val="clear" w:pos="708"/>
          <w:tab w:val="left" w:pos="426" w:leader="none"/>
        </w:tabs>
        <w:spacing w:before="120" w:after="240"/>
        <w:rPr/>
      </w:pPr>
      <w:r>
        <w:rPr/>
        <w:t>Место производство работ: Филиал ПАО «РусГидро» - «Жигулевская ГЭС», Дамба №49 со стороны верхнего и нижнего бьефа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850" w:left="0" w:right="0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-6"/>
          <w:kern w:val="0"/>
          <w:sz w:val="24"/>
          <w:szCs w:val="24"/>
          <w:shd w:fill="auto" w:val="clear"/>
          <w:lang w:val="ru-RU" w:eastAsia="ru-RU" w:bidi="ar-SA"/>
        </w:rPr>
        <w:t>В целях исполнения приказа ПАО «РусГидро» от 30.06.2026 №474</w:t>
        <w:br/>
        <w:t>«О пассивной защите важнейших объектов Группы РусГидро», в</w:t>
      </w:r>
      <w:r>
        <w:rPr>
          <w:shd w:fill="auto" w:val="clear"/>
        </w:rPr>
        <w:t xml:space="preserve"> р</w:t>
      </w:r>
      <w:r>
        <w:rPr/>
        <w:t>амках Протокола совместного совещания о  выполнении мероприятий по повышению защищенности Жигулевской ГЭС, предлагаемых технических решениях и сроках их реализации от 13 августа 2026 г., необходимо выполнить вырубку деревьев для обеспечения обзора средствам поражения воздушных целей.</w:t>
      </w:r>
    </w:p>
    <w:p>
      <w:pPr>
        <w:pStyle w:val="Heading1"/>
        <w:keepNext w:val="true"/>
        <w:widowControl w:val="false"/>
        <w:numPr>
          <w:ilvl w:val="0"/>
          <w:numId w:val="0"/>
        </w:numPr>
        <w:suppressAutoHyphens w:val="true"/>
        <w:bidi w:val="0"/>
        <w:spacing w:before="120" w:after="60"/>
        <w:ind w:hanging="0" w:left="0" w:right="0"/>
        <w:jc w:val="left"/>
        <w:textAlignment w:val="baseline"/>
        <w:rPr>
          <w:sz w:val="24"/>
          <w:szCs w:val="28"/>
        </w:rPr>
      </w:pPr>
      <w:bookmarkStart w:id="15" w:name="__RefHeading___Toc1034_977031535"/>
      <w:bookmarkEnd w:id="15"/>
      <w:r>
        <w:rPr>
          <w:sz w:val="24"/>
          <w:szCs w:val="28"/>
        </w:rPr>
        <w:t xml:space="preserve">1. </w:t>
      </w:r>
      <w:bookmarkStart w:id="16" w:name="_Toc226037847"/>
      <w:bookmarkStart w:id="17" w:name="_Toc226035812"/>
      <w:r>
        <w:rPr>
          <w:sz w:val="24"/>
          <w:szCs w:val="28"/>
        </w:rPr>
        <w:t>Таблица 1. Перечень объектов заказчика</w:t>
      </w:r>
      <w:bookmarkEnd w:id="16"/>
      <w:bookmarkEnd w:id="17"/>
    </w:p>
    <w:tbl>
      <w:tblPr>
        <w:tblW w:w="9968" w:type="dxa"/>
        <w:jc w:val="left"/>
        <w:tblInd w:w="-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5"/>
        <w:gridCol w:w="2220"/>
        <w:gridCol w:w="1815"/>
        <w:gridCol w:w="2145"/>
        <w:gridCol w:w="3233"/>
      </w:tblGrid>
      <w:tr>
        <w:trPr/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№</w:t>
            </w:r>
          </w:p>
          <w:p>
            <w:pPr>
              <w:pStyle w:val="Normal"/>
              <w:widowControl w:val="false"/>
              <w:rPr/>
            </w:pPr>
            <w:r>
              <w:rPr/>
              <w:t>п/п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Расположение объекта </w:t>
              <w:br/>
            </w:r>
            <w:r>
              <w:rPr>
                <w:i/>
                <w:iCs/>
              </w:rPr>
              <w:t>(место производства работ)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Примечания</w:t>
            </w:r>
          </w:p>
        </w:tc>
      </w:tr>
      <w:tr>
        <w:trPr/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>
        <w:trPr>
          <w:trHeight w:val="652" w:hRule="atLeast"/>
        </w:trPr>
        <w:tc>
          <w:tcPr>
            <w:tcW w:w="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</w:rPr>
              <w:t>Дамба №49 верхний и нижний бьеф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</w:rPr>
            </w:pPr>
            <w:r>
              <w:rPr>
                <w:i/>
                <w:iCs/>
              </w:rPr>
              <w:t>Филиал ПАО “РусГидро”-“Жигулевская ГЭС”, Российская Федерация, Самарская обл., г. Жигулевск, Московское шоссе д.2, 445350,</w:t>
            </w: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Дамба №49  (инв. №</w:t>
            </w:r>
            <w:r>
              <w:rPr>
                <w:i/>
                <w:iCs/>
              </w:rPr>
              <w:t>20006</w:t>
            </w:r>
            <w:r>
              <w:rPr>
                <w:i/>
                <w:iCs/>
              </w:rPr>
              <w:t>)</w:t>
            </w:r>
          </w:p>
        </w:tc>
        <w:tc>
          <w:tcPr>
            <w:tcW w:w="3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Эксплуатирующая организация: Филиал ПАО “РусГидро”-“Жигулевская ГЭС”</w:t>
            </w:r>
          </w:p>
        </w:tc>
      </w:tr>
    </w:tbl>
    <w:p>
      <w:pPr>
        <w:pStyle w:val="ListParagraph"/>
        <w:widowControl w:val="false"/>
        <w:suppressAutoHyphens w:val="true"/>
        <w:bidi w:val="0"/>
        <w:spacing w:before="0" w:after="0"/>
        <w:ind w:firstLine="737" w:left="0" w:right="0"/>
        <w:jc w:val="left"/>
        <w:textAlignment w:val="baseline"/>
        <w:rPr>
          <w:b/>
          <w:bCs/>
        </w:rPr>
      </w:pPr>
      <w:r>
        <w:rPr>
          <w:rFonts w:eastAsia="Calibri" w:cs="Arial Unicode MS"/>
          <w:b/>
          <w:bCs/>
          <w:iCs/>
          <w:color w:val="000000"/>
          <w:kern w:val="2"/>
          <w:sz w:val="24"/>
          <w:szCs w:val="24"/>
          <w:lang w:val="ru-RU" w:eastAsia="zh-CN" w:bidi="hi-IN"/>
        </w:rPr>
        <w:t>Условия производства работ</w:t>
      </w:r>
      <w:r>
        <w:rPr>
          <w:rStyle w:val="Style7"/>
          <w:rFonts w:eastAsia="Calibri" w:cs="Arial Unicode MS"/>
          <w:b/>
          <w:bCs/>
          <w:iCs/>
          <w:color w:val="000000"/>
          <w:kern w:val="2"/>
          <w:sz w:val="24"/>
          <w:szCs w:val="24"/>
          <w:lang w:val="ru-RU" w:eastAsia="zh-CN" w:bidi="hi-IN"/>
        </w:rPr>
        <w:t xml:space="preserve">    </w:t>
      </w:r>
      <w:r>
        <w:rPr>
          <w:rStyle w:val="Style7"/>
          <w:rFonts w:eastAsia="Times New Roman"/>
          <w:b w:val="false"/>
          <w:i w:val="false"/>
          <w:shd w:fill="auto" w:val="clear"/>
        </w:rPr>
        <w:t xml:space="preserve">   </w:t>
      </w:r>
    </w:p>
    <w:p>
      <w:pPr>
        <w:pStyle w:val="ListParagraph"/>
        <w:widowControl w:val="false"/>
        <w:suppressAutoHyphens w:val="true"/>
        <w:bidi w:val="0"/>
        <w:spacing w:before="60" w:after="0"/>
        <w:ind w:hanging="0" w:left="113" w:right="0"/>
        <w:jc w:val="both"/>
        <w:textAlignment w:val="baseline"/>
        <w:rPr/>
      </w:pPr>
      <w:r>
        <w:rPr>
          <w:rStyle w:val="Style7"/>
          <w:b w:val="false"/>
          <w:i w:val="false"/>
          <w:shd w:fill="auto" w:val="clear"/>
        </w:rPr>
        <w:t>- производство работ осуществляется в охранной зоне действующей воздушной линии электропередачи, вблизи объектов, находящихся под напряжением.</w:t>
      </w:r>
    </w:p>
    <w:p>
      <w:pPr>
        <w:pStyle w:val="Heading2"/>
        <w:rPr/>
      </w:pPr>
      <w:bookmarkStart w:id="18" w:name="__RefHeading___Toc1002_977031535"/>
      <w:bookmarkEnd w:id="18"/>
      <w:r>
        <w:rPr/>
        <w:t xml:space="preserve"> </w:t>
      </w:r>
      <w:bookmarkStart w:id="19" w:name="_Toc226035814"/>
      <w:bookmarkStart w:id="20" w:name="_Toc226037849"/>
      <w:r>
        <w:rPr/>
        <w:t xml:space="preserve">Информация в отношении исполнения договора, </w:t>
      </w:r>
      <w:bookmarkStart w:id="21" w:name="_Hlk46492347"/>
      <w:r>
        <w:rPr/>
        <w:t xml:space="preserve">которая должна быть учтена при подготовке заявки </w:t>
      </w:r>
      <w:bookmarkEnd w:id="21"/>
      <w:r>
        <w:rPr/>
        <w:t>(в том числе перечень ресурсов, услуг и документов, предоставляемых заказчиком на этапе исполнения договора)</w:t>
      </w:r>
      <w:bookmarkEnd w:id="19"/>
      <w:bookmarkEnd w:id="20"/>
    </w:p>
    <w:p>
      <w:pPr>
        <w:pStyle w:val="Normal"/>
        <w:rPr/>
      </w:pPr>
      <w:r>
        <w:rPr/>
        <w:t xml:space="preserve">1.5.1. </w:t>
      </w:r>
      <w:r>
        <w:rPr/>
        <w:t>Заказчик назначает представителя для оперативного рассмотрения и решения технических и организационных вопросов, связанных с выполнением работ.</w:t>
      </w:r>
    </w:p>
    <w:p>
      <w:pPr>
        <w:pStyle w:val="Normal"/>
        <w:jc w:val="both"/>
        <w:rPr/>
      </w:pPr>
      <w:r>
        <w:rPr/>
        <w:t>1.5.2.</w:t>
      </w:r>
      <w:r>
        <w:rPr/>
        <w:t xml:space="preserve"> Ознакомление Участника с локальными нормативными актами заказчика,</w:t>
        <w:t xml:space="preserve"> устанавливающими требования по охране труда, промышленной и пожарной безопасности,</w:t>
        <w:t xml:space="preserve"> охране окружающей среды, правилами пропускного и внутриобъектового режима Заказчика.</w:t>
        <w:t xml:space="preserve"> Предоставление Участнику необходимой для оказания услуг проектную документацию, в</w:t>
        <w:t xml:space="preserve"> том числе: схемы транспортных перемещений на территории электростанции.</w:t>
      </w:r>
    </w:p>
    <w:p>
      <w:pPr>
        <w:pStyle w:val="Heading1"/>
        <w:keepNext w:val="true"/>
        <w:widowControl w:val="false"/>
        <w:suppressAutoHyphens w:val="true"/>
        <w:bidi w:val="0"/>
        <w:spacing w:before="120" w:after="60"/>
        <w:ind w:hanging="0" w:left="0" w:right="0"/>
        <w:jc w:val="left"/>
        <w:textAlignment w:val="baseline"/>
        <w:rPr>
          <w:sz w:val="24"/>
          <w:szCs w:val="28"/>
        </w:rPr>
      </w:pPr>
      <w:bookmarkStart w:id="22" w:name="__RefHeading___Toc1004_977031535"/>
      <w:bookmarkStart w:id="23" w:name="_Toc226037850"/>
      <w:bookmarkStart w:id="24" w:name="_Toc226035815"/>
      <w:bookmarkEnd w:id="22"/>
      <w:bookmarkEnd w:id="24"/>
      <w:r>
        <w:rPr>
          <w:sz w:val="24"/>
          <w:szCs w:val="28"/>
        </w:rPr>
        <w:t>Требования к объемам и срокам выполнения работ</w:t>
      </w:r>
      <w:bookmarkEnd w:id="23"/>
    </w:p>
    <w:p>
      <w:pPr>
        <w:pStyle w:val="Heading2"/>
        <w:rPr/>
      </w:pPr>
      <w:bookmarkStart w:id="25" w:name="__RefHeading___Toc1006_977031535"/>
      <w:bookmarkEnd w:id="25"/>
      <w:r>
        <w:rPr/>
        <w:t xml:space="preserve">Требования к объёмам и срокам выполнения работ </w:t>
      </w:r>
    </w:p>
    <w:p>
      <w:pPr>
        <w:pStyle w:val="Normal"/>
        <w:rPr/>
      </w:pPr>
      <w:r>
        <w:rPr/>
        <w:t>Требования к началу срока оказания услуг – с даты, следующей за датой заключения</w:t>
        <w:t xml:space="preserve"> договора.</w:t>
      </w:r>
    </w:p>
    <w:p>
      <w:pPr>
        <w:pStyle w:val="Normal"/>
        <w:rPr/>
      </w:pPr>
      <w:r>
        <w:rPr/>
        <w:t xml:space="preserve">Требования к окончанию срока оказания услуг – </w:t>
      </w:r>
      <w:r>
        <w:rPr/>
        <w:t>31.10.2026г.</w:t>
      </w:r>
    </w:p>
    <w:p>
      <w:pPr>
        <w:pStyle w:val="Heading3"/>
        <w:keepNext w:val="true"/>
        <w:widowControl w:val="false"/>
        <w:suppressAutoHyphens w:val="true"/>
        <w:bidi w:val="0"/>
        <w:spacing w:before="120" w:after="60"/>
        <w:ind w:hanging="0" w:left="0" w:right="0"/>
        <w:jc w:val="left"/>
        <w:textAlignment w:val="baseline"/>
        <w:rPr/>
      </w:pPr>
      <w:bookmarkStart w:id="26" w:name="__RefHeading___Toc1008_977031535"/>
      <w:bookmarkEnd w:id="26"/>
      <w:r>
        <w:rPr/>
        <w:t>Требования к перечню и объему работ</w:t>
      </w:r>
    </w:p>
    <w:p>
      <w:pPr>
        <w:pStyle w:val="Heading1"/>
        <w:numPr>
          <w:ilvl w:val="0"/>
          <w:numId w:val="0"/>
        </w:numPr>
        <w:ind w:hanging="0" w:left="0"/>
        <w:rPr>
          <w:sz w:val="24"/>
        </w:rPr>
      </w:pPr>
      <w:bookmarkStart w:id="27" w:name="__RefHeading___Toc1010_977031535"/>
      <w:bookmarkStart w:id="28" w:name="_Toc226037853_Копия_1"/>
      <w:bookmarkStart w:id="29" w:name="_Toc226035819_Копия_1"/>
      <w:bookmarkEnd w:id="27"/>
      <w:r>
        <w:rPr>
          <w:sz w:val="24"/>
        </w:rPr>
        <w:t xml:space="preserve">Таблица </w:t>
      </w:r>
      <w:r>
        <w:rPr>
          <w:sz w:val="24"/>
        </w:rPr>
        <w:t>2</w:t>
      </w:r>
      <w:r>
        <w:rPr>
          <w:sz w:val="24"/>
        </w:rPr>
        <w:t xml:space="preserve">. </w:t>
      </w:r>
      <w:bookmarkEnd w:id="28"/>
      <w:bookmarkEnd w:id="29"/>
      <w:r>
        <w:rPr>
          <w:sz w:val="24"/>
        </w:rPr>
        <w:t>Перечень и объем оказываемых работ</w:t>
      </w:r>
    </w:p>
    <w:tbl>
      <w:tblPr>
        <w:tblW w:w="9810" w:type="dxa"/>
        <w:jc w:val="left"/>
        <w:tblInd w:w="10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HBand="0" w:noVBand="0" w:firstColumn="0" w:lastRow="0" w:lastColumn="0" w:firstRow="0"/>
      </w:tblPr>
      <w:tblGrid>
        <w:gridCol w:w="671"/>
        <w:gridCol w:w="3818"/>
        <w:gridCol w:w="2876"/>
        <w:gridCol w:w="2445"/>
      </w:tblGrid>
      <w:tr>
        <w:trPr/>
        <w:tc>
          <w:tcPr>
            <w:tcW w:w="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/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/>
              <w:t>п/п</w:t>
            </w:r>
          </w:p>
        </w:tc>
        <w:tc>
          <w:tcPr>
            <w:tcW w:w="3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/>
              <w:t>Наименование работ / этапа работ</w:t>
            </w:r>
          </w:p>
        </w:tc>
        <w:tc>
          <w:tcPr>
            <w:tcW w:w="2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/>
              <w:t>Единица измерения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/>
              <w:t>Количество</w:t>
            </w:r>
          </w:p>
        </w:tc>
      </w:tr>
      <w:tr>
        <w:trPr/>
        <w:tc>
          <w:tcPr>
            <w:tcW w:w="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>
        <w:trPr>
          <w:trHeight w:val="397" w:hRule="atLeast"/>
        </w:trPr>
        <w:tc>
          <w:tcPr>
            <w:tcW w:w="981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shd w:fill="FFFFFF" w:val="clear"/>
              </w:rPr>
              <w:t>Вырубка деревьев на дамбе №49 нижний бьеф:</w:t>
            </w:r>
          </w:p>
        </w:tc>
      </w:tr>
      <w:tr>
        <w:trPr/>
        <w:tc>
          <w:tcPr>
            <w:tcW w:w="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ind w:hanging="0" w:left="0"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Диаметр до 20 см</w:t>
            </w:r>
          </w:p>
        </w:tc>
        <w:tc>
          <w:tcPr>
            <w:tcW w:w="2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шт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1500</w:t>
            </w:r>
          </w:p>
        </w:tc>
      </w:tr>
      <w:tr>
        <w:trPr/>
        <w:tc>
          <w:tcPr>
            <w:tcW w:w="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ind w:hanging="0" w:left="0"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Диаметр от 20 см до 40 см</w:t>
            </w:r>
          </w:p>
        </w:tc>
        <w:tc>
          <w:tcPr>
            <w:tcW w:w="2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шт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120</w:t>
            </w:r>
          </w:p>
        </w:tc>
      </w:tr>
      <w:tr>
        <w:trPr/>
        <w:tc>
          <w:tcPr>
            <w:tcW w:w="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ind w:hanging="0" w:left="0" w:righ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Диаметр свыше 40 см</w:t>
            </w:r>
          </w:p>
        </w:tc>
        <w:tc>
          <w:tcPr>
            <w:tcW w:w="2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шт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150</w:t>
            </w:r>
          </w:p>
        </w:tc>
      </w:tr>
      <w:tr>
        <w:trPr/>
        <w:tc>
          <w:tcPr>
            <w:tcW w:w="981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FFFFFF" w:val="clear"/>
              </w:rPr>
              <w:t xml:space="preserve">Вырубка деревьев на дамбе №49 </w:t>
            </w:r>
            <w:r>
              <w:rPr>
                <w:rFonts w:eastAsia="Calibri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FFFFFF" w:val="clear"/>
              </w:rPr>
              <w:t xml:space="preserve">верхний </w:t>
            </w:r>
            <w:r>
              <w:rPr>
                <w:rFonts w:eastAsia="Calibri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FFFFFF" w:val="clear"/>
              </w:rPr>
              <w:t>бьеф:</w:t>
            </w:r>
          </w:p>
        </w:tc>
      </w:tr>
      <w:tr>
        <w:trPr/>
        <w:tc>
          <w:tcPr>
            <w:tcW w:w="6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ind w:hanging="0" w:left="0" w:right="0"/>
              <w:rPr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FFFFFF" w:val="clear"/>
              </w:rPr>
              <w:t>Диаметр от 20 см до 40 см</w:t>
            </w:r>
          </w:p>
        </w:tc>
        <w:tc>
          <w:tcPr>
            <w:tcW w:w="2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шт</w:t>
            </w:r>
          </w:p>
        </w:tc>
        <w:tc>
          <w:tcPr>
            <w:tcW w:w="24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45</w:t>
            </w:r>
          </w:p>
        </w:tc>
      </w:tr>
      <w:tr>
        <w:trPr/>
        <w:tc>
          <w:tcPr>
            <w:tcW w:w="671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818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hd w:fill="FFFFFF" w:val="clear"/>
              </w:rPr>
              <w:t>Д</w:t>
            </w:r>
            <w:r>
              <w:rPr>
                <w:shd w:fill="FFFFFF" w:val="clear"/>
              </w:rPr>
              <w:t>роблением в щепу и вывоз</w:t>
              <w:t xml:space="preserve"> на полигон отходов</w:t>
            </w:r>
          </w:p>
        </w:tc>
        <w:tc>
          <w:tcPr>
            <w:tcW w:w="2876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  <w:tc>
          <w:tcPr>
            <w:tcW w:w="2445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</w:tr>
    </w:tbl>
    <w:p>
      <w:pPr>
        <w:pStyle w:val="Heading3"/>
        <w:keepNext w:val="true"/>
        <w:widowControl w:val="false"/>
        <w:suppressAutoHyphens w:val="true"/>
        <w:bidi w:val="0"/>
        <w:spacing w:before="120" w:after="60"/>
        <w:ind w:hanging="0" w:left="0" w:right="0"/>
        <w:jc w:val="left"/>
        <w:textAlignment w:val="baseline"/>
        <w:rPr/>
      </w:pPr>
      <w:bookmarkStart w:id="30" w:name="__RefHeading___Toc1012_977031535"/>
      <w:bookmarkStart w:id="31" w:name="_Toc226037852"/>
      <w:bookmarkStart w:id="32" w:name="_Toc226035818"/>
      <w:bookmarkEnd w:id="30"/>
      <w:r>
        <w:rPr/>
        <w:t>Требования к срокам выполнения работ</w:t>
      </w:r>
      <w:bookmarkEnd w:id="31"/>
      <w:bookmarkEnd w:id="32"/>
    </w:p>
    <w:p>
      <w:pPr>
        <w:pStyle w:val="Heading1"/>
        <w:numPr>
          <w:ilvl w:val="0"/>
          <w:numId w:val="0"/>
        </w:numPr>
        <w:ind w:hanging="0" w:left="0"/>
        <w:rPr>
          <w:sz w:val="24"/>
        </w:rPr>
      </w:pPr>
      <w:bookmarkStart w:id="33" w:name="__RefHeading___Toc1014_977031535"/>
      <w:bookmarkStart w:id="34" w:name="_Toc226037853"/>
      <w:bookmarkStart w:id="35" w:name="_Toc226035819"/>
      <w:bookmarkEnd w:id="33"/>
      <w:r>
        <w:rPr>
          <w:sz w:val="24"/>
        </w:rPr>
        <w:t xml:space="preserve">Таблица 3. </w:t>
      </w:r>
      <w:bookmarkStart w:id="36" w:name="_Hlk50465284"/>
      <w:r>
        <w:rPr>
          <w:sz w:val="24"/>
        </w:rPr>
        <w:t xml:space="preserve">Требования по срокам </w:t>
      </w:r>
      <w:bookmarkEnd w:id="36"/>
      <w:r>
        <w:rPr>
          <w:sz w:val="24"/>
        </w:rPr>
        <w:t>выполнения работ</w:t>
      </w:r>
      <w:bookmarkEnd w:id="34"/>
      <w:bookmarkEnd w:id="35"/>
    </w:p>
    <w:p>
      <w:pPr>
        <w:pStyle w:val="Normal"/>
        <w:numPr>
          <w:ilvl w:val="0"/>
          <w:numId w:val="0"/>
        </w:numPr>
        <w:ind w:hanging="0" w:left="0"/>
        <w:rPr>
          <w:sz w:val="24"/>
        </w:rPr>
      </w:pPr>
      <w:r>
        <w:rPr/>
      </w:r>
    </w:p>
    <w:tbl>
      <w:tblPr>
        <w:tblW w:w="9781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000" w:noHBand="0" w:noVBand="0" w:firstColumn="0" w:lastRow="0" w:lastColumn="0" w:firstRow="0"/>
      </w:tblPr>
      <w:tblGrid>
        <w:gridCol w:w="669"/>
        <w:gridCol w:w="2679"/>
        <w:gridCol w:w="3221"/>
        <w:gridCol w:w="3212"/>
      </w:tblGrid>
      <w:tr>
        <w:trPr/>
        <w:tc>
          <w:tcPr>
            <w:tcW w:w="669" w:type="dxa"/>
            <w:tcBorders>
              <w:top w:val="single" w:sz="3" w:space="0" w:color="000000"/>
              <w:left w:val="single" w:sz="3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color w:val="000000"/>
              </w:rPr>
            </w:pPr>
            <w:r>
              <w:rPr>
                <w:i w:val="false"/>
                <w:iCs w:val="false"/>
                <w:color w:val="000000"/>
              </w:rPr>
              <w:t xml:space="preserve">№ </w:t>
            </w:r>
            <w:r>
              <w:rPr>
                <w:i w:val="false"/>
                <w:iCs w:val="false"/>
                <w:color w:val="000000"/>
              </w:rPr>
              <w:t>п/п</w:t>
            </w:r>
          </w:p>
        </w:tc>
        <w:tc>
          <w:tcPr>
            <w:tcW w:w="2679" w:type="dxa"/>
            <w:tcBorders>
              <w:top w:val="single" w:sz="3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color w:val="000000"/>
              </w:rPr>
            </w:pPr>
            <w:r>
              <w:rPr>
                <w:i w:val="false"/>
                <w:iCs w:val="false"/>
                <w:color w:val="000000"/>
              </w:rPr>
              <w:t>Наименование работ/ этапа работ</w:t>
            </w:r>
          </w:p>
        </w:tc>
        <w:tc>
          <w:tcPr>
            <w:tcW w:w="3221" w:type="dxa"/>
            <w:tcBorders>
              <w:top w:val="single" w:sz="3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color w:val="000000"/>
              </w:rPr>
            </w:pPr>
            <w:r>
              <w:rPr>
                <w:i w:val="false"/>
                <w:iCs w:val="false"/>
                <w:color w:val="000000"/>
              </w:rPr>
              <w:t>Требования к началу срока выполнения работ / этапа работ</w:t>
            </w:r>
          </w:p>
        </w:tc>
        <w:tc>
          <w:tcPr>
            <w:tcW w:w="3212" w:type="dxa"/>
            <w:tcBorders>
              <w:top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color w:val="000000"/>
              </w:rPr>
            </w:pPr>
            <w:r>
              <w:rPr>
                <w:i w:val="false"/>
                <w:iCs w:val="false"/>
                <w:color w:val="000000"/>
              </w:rPr>
              <w:t>Требования к окончанию срока выполнения работ / этапа работ</w:t>
            </w:r>
          </w:p>
        </w:tc>
      </w:tr>
      <w:tr>
        <w:trPr/>
        <w:tc>
          <w:tcPr>
            <w:tcW w:w="669" w:type="dxa"/>
            <w:tcBorders>
              <w:left w:val="single" w:sz="3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color w:val="000000"/>
              </w:rPr>
            </w:pPr>
            <w:r>
              <w:rPr>
                <w:b/>
                <w:i w:val="false"/>
                <w:iCs w:val="false"/>
                <w:color w:val="000000"/>
              </w:rPr>
              <w:t>1</w:t>
            </w:r>
          </w:p>
        </w:tc>
        <w:tc>
          <w:tcPr>
            <w:tcW w:w="26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color w:val="000000"/>
              </w:rPr>
            </w:pPr>
            <w:r>
              <w:rPr>
                <w:b/>
                <w:i w:val="false"/>
                <w:iCs w:val="false"/>
                <w:color w:val="000000"/>
              </w:rPr>
              <w:t>2</w:t>
            </w:r>
          </w:p>
        </w:tc>
        <w:tc>
          <w:tcPr>
            <w:tcW w:w="32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color w:val="000000"/>
              </w:rPr>
            </w:pPr>
            <w:r>
              <w:rPr>
                <w:b/>
                <w:i w:val="false"/>
                <w:iCs w:val="false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12" w:type="dxa"/>
            <w:tcBorders>
              <w:right w:val="single" w:sz="3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color w:val="000000"/>
              </w:rPr>
            </w:pPr>
            <w:r>
              <w:rPr>
                <w:b/>
                <w:i w:val="false"/>
                <w:iCs w:val="false"/>
                <w:color w:val="000000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69" w:type="dxa"/>
            <w:tcBorders>
              <w:left w:val="single" w:sz="3" w:space="0" w:color="000000"/>
              <w:bottom w:val="single" w:sz="3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color w:val="000000"/>
              </w:rPr>
            </w:pPr>
            <w:r>
              <w:rPr>
                <w:i w:val="false"/>
                <w:iCs w:val="false"/>
                <w:color w:val="000000"/>
                <w:lang w:val="en-US"/>
              </w:rPr>
              <w:t>1.</w:t>
            </w:r>
          </w:p>
        </w:tc>
        <w:tc>
          <w:tcPr>
            <w:tcW w:w="2679" w:type="dxa"/>
            <w:tcBorders>
              <w:bottom w:val="single" w:sz="3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6"/>
                <w:shd w:fill="FFFFFF" w:val="clear"/>
              </w:rPr>
              <w:t xml:space="preserve">Работы по расчистке территории, удалению растительности на 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2"/>
                <w:sz w:val="24"/>
                <w:szCs w:val="26"/>
                <w:shd w:fill="FFFFFF" w:val="clear"/>
                <w:lang w:val="ru-RU" w:eastAsia="zh-CN" w:bidi="hi-IN"/>
              </w:rPr>
              <w:t>Дамбе №49  с последующим дроблением в щепу и вывозом</w:t>
              <w:t xml:space="preserve"> на полигон отходов</w:t>
            </w:r>
          </w:p>
        </w:tc>
        <w:tc>
          <w:tcPr>
            <w:tcW w:w="3221" w:type="dxa"/>
            <w:tcBorders>
              <w:bottom w:val="single" w:sz="3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color w:val="000000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212" w:type="dxa"/>
            <w:tcBorders>
              <w:bottom w:val="single" w:sz="3" w:space="0" w:color="000000"/>
              <w:right w:val="single" w:sz="3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color w:val="000000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31.10.2026г.</w:t>
            </w:r>
          </w:p>
        </w:tc>
      </w:tr>
    </w:tbl>
    <w:p>
      <w:pPr>
        <w:pStyle w:val="Heading2"/>
        <w:rPr/>
      </w:pPr>
      <w:bookmarkStart w:id="37" w:name="__RefHeading___Toc1016_977031535"/>
      <w:bookmarkEnd w:id="37"/>
      <w:r>
        <w:rPr/>
        <w:t>Требования к качеству работ</w:t>
      </w:r>
    </w:p>
    <w:p>
      <w:pPr>
        <w:pStyle w:val="Normal"/>
        <w:numPr>
          <w:ilvl w:val="0"/>
          <w:numId w:val="0"/>
        </w:numPr>
        <w:ind w:hanging="0" w:left="0"/>
        <w:rPr>
          <w:b/>
          <w:bCs/>
        </w:rPr>
      </w:pPr>
      <w:r>
        <w:rPr>
          <w:b/>
          <w:bCs/>
        </w:rPr>
        <w:t xml:space="preserve">2. </w:t>
      </w:r>
      <w:r>
        <w:rPr>
          <w:b/>
          <w:bCs/>
        </w:rPr>
        <w:t>Таблица 4. Требования к качеству работ</w:t>
      </w:r>
    </w:p>
    <w:p>
      <w:pPr>
        <w:pStyle w:val="Normal"/>
        <w:numPr>
          <w:ilvl w:val="0"/>
          <w:numId w:val="0"/>
        </w:numPr>
        <w:ind w:hanging="0" w:left="0"/>
        <w:rPr>
          <w:sz w:val="24"/>
        </w:rPr>
      </w:pPr>
      <w:r>
        <w:rPr/>
      </w:r>
    </w:p>
    <w:tbl>
      <w:tblPr>
        <w:tblW w:w="100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0"/>
        <w:gridCol w:w="3240"/>
        <w:gridCol w:w="6000"/>
      </w:tblGrid>
      <w:tr>
        <w:trPr>
          <w:trHeight w:val="276" w:hRule="atLeast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</w:rPr>
              <w:t xml:space="preserve">№ </w:t>
            </w:r>
            <w:r>
              <w:rPr>
                <w:b/>
                <w:bCs/>
              </w:rPr>
              <w:t>п/п</w:t>
            </w:r>
          </w:p>
        </w:tc>
        <w:tc>
          <w:tcPr>
            <w:tcW w:w="3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параметра</w:t>
            </w:r>
          </w:p>
        </w:tc>
        <w:tc>
          <w:tcPr>
            <w:tcW w:w="6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Требование заказчика</w:t>
            </w:r>
          </w:p>
        </w:tc>
      </w:tr>
      <w:tr>
        <w:trPr>
          <w:trHeight w:val="276" w:hRule="atLeast"/>
        </w:trPr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2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6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59" w:hRule="atLeast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napToGrid w:val="false"/>
              <w:spacing w:before="60" w:after="60"/>
              <w:ind w:hanging="0" w:left="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9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Требования к выполнению работ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napToGrid w:val="false"/>
              <w:spacing w:before="60" w:after="60"/>
              <w:ind w:hanging="0"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9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</w:rPr>
            </w:pPr>
            <w:r>
              <w:rPr>
                <w:b/>
              </w:rPr>
              <w:t>Общие требования к выполнению работ</w:t>
            </w:r>
          </w:p>
        </w:tc>
      </w:tr>
      <w:tr>
        <w:trPr>
          <w:trHeight w:val="1220" w:hRule="atLeast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napToGrid w:val="false"/>
              <w:spacing w:before="60" w:after="60"/>
              <w:ind w:hanging="0" w:left="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kern w:val="0"/>
                <w:lang w:eastAsia="ru-RU"/>
              </w:rPr>
              <w:t>Объем работ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6"/>
                <w:shd w:fill="FFFFFF" w:val="clear"/>
                <w:lang w:eastAsia="ru-RU"/>
              </w:rPr>
              <w:t xml:space="preserve">1. 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6"/>
                <w:shd w:fill="FFFFFF" w:val="clear"/>
                <w:lang w:eastAsia="ru-RU"/>
              </w:rPr>
              <w:t xml:space="preserve">Работы по расчистке территории, удалению растительности на Дамбе №49 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6"/>
                <w:shd w:fill="FFFFFF" w:val="clear"/>
                <w:lang w:eastAsia="ru-RU"/>
              </w:rPr>
              <w:t xml:space="preserve">на верхнем и нижнем бьефе 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6"/>
                <w:shd w:fill="FFFFFF" w:val="clear"/>
                <w:lang w:eastAsia="ru-RU"/>
              </w:rPr>
              <w:t>с последующим дроблением в щепу и вывозом</w:t>
              <w:t xml:space="preserve"> на полигон отходов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6"/>
                <w:shd w:fill="FFFFFF" w:val="clear"/>
                <w:lang w:eastAsia="ru-RU"/>
              </w:rPr>
              <w:t xml:space="preserve"> выполняются согласно Таблицы 2. Перечень и объем оказываемых работ.</w:t>
            </w:r>
          </w:p>
          <w:p>
            <w:pPr>
              <w:pStyle w:val="Normal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lang w:eastAsia="ru-RU"/>
              </w:rPr>
              <w:t>2. Разработка, согласование с Заказчиком и утверждение</w:t>
              <w:t xml:space="preserve"> Заказчиком проекта производства работ (далее — ППР) или технологической карты (ТК).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kern w:val="0"/>
                <w:lang w:eastAsia="ru-RU"/>
              </w:rPr>
              <w:t>3.</w:t>
              <w:t xml:space="preserve"> Подготовительные работы.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kern w:val="0"/>
                <w:lang w:eastAsia="ru-RU"/>
              </w:rPr>
              <w:t>4.</w:t>
              <w:t xml:space="preserve"> Предъявление результатов </w:t>
            </w:r>
            <w:r>
              <w:rPr>
                <w:kern w:val="0"/>
                <w:lang w:eastAsia="ru-RU"/>
              </w:rPr>
              <w:t>работ</w:t>
            </w:r>
            <w:r>
              <w:rPr>
                <w:kern w:val="0"/>
                <w:lang w:eastAsia="ru-RU"/>
              </w:rPr>
              <w:t xml:space="preserve"> представителю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kern w:val="0"/>
                <w:lang w:eastAsia="ru-RU"/>
              </w:rPr>
              <w:t>Заказчика, в соответствии с календарным графиком.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kern w:val="0"/>
                <w:lang w:eastAsia="ru-RU"/>
              </w:rPr>
              <w:t>5.</w:t>
              <w:t xml:space="preserve"> Предъявление</w:t>
              <w:t xml:space="preserve"> Объекта</w:t>
              <w:t xml:space="preserve"> Заказчику, оформление отчетной и исполнительной документации.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kern w:val="0"/>
                <w:lang w:eastAsia="ru-RU"/>
              </w:rPr>
              <w:t>6.</w:t>
              <w:t xml:space="preserve"> Вывоз мусора на полигон отходов осуществляется по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kern w:val="0"/>
                <w:lang w:eastAsia="ru-RU"/>
              </w:rPr>
              <w:t>талонам, предоставляемым Заказчиком.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napToGrid w:val="false"/>
              <w:spacing w:before="60" w:after="60"/>
              <w:ind w:hanging="0" w:left="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Требования к выполнению работ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1. </w:t>
            </w:r>
            <w:r>
              <w:rPr/>
              <w:t xml:space="preserve">Работы выполняются 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6"/>
                <w:shd w:fill="FFFFFF" w:val="clear"/>
                <w:lang w:eastAsia="ru-RU"/>
              </w:rPr>
              <w:t>согласно Таблицы 2. Перечень и объем оказываемых работ.</w:t>
            </w:r>
          </w:p>
          <w:p>
            <w:pPr>
              <w:pStyle w:val="Normal"/>
              <w:rPr/>
            </w:pPr>
            <w:r>
              <w:rPr/>
              <w:t xml:space="preserve">2. </w:t>
            </w:r>
            <w:r>
              <w:rPr/>
              <w:t>Весь объем , приспособлений, инструмента и оборудования, необходимый для полного выполнения работ Подрядчик приобретает и поставляет к месту выполнения работ самостоятельно без привлечения Заказчика.</w:t>
            </w:r>
          </w:p>
          <w:p>
            <w:pPr>
              <w:pStyle w:val="Normal"/>
              <w:rPr/>
            </w:pPr>
            <w:r>
              <w:rPr/>
              <w:t>3. О</w:t>
            </w:r>
            <w:r>
              <w:rPr/>
              <w:t>бразовавшиеся в процессе оказания услуг отходы</w:t>
              <w:t>Исполнитель временно накапливает в месте производства работ в</w:t>
              <w:t xml:space="preserve"> соответствии с санитарными требованиями и требованиями в</w:t>
              <w:t xml:space="preserve"> области охраны окружающей среды к накоплению отходов,</w:t>
            </w:r>
          </w:p>
          <w:p>
            <w:pPr>
              <w:pStyle w:val="Normal"/>
              <w:rPr/>
            </w:pPr>
            <w:r>
              <w:rPr/>
              <w:t>установленными законодательством Российской Федерации, а</w:t>
              <w:t xml:space="preserve"> также требованиями, установленными локальной нормативной</w:t>
              <w:t xml:space="preserve"> документацией в области обращения с отходами Заказчика.</w:t>
            </w:r>
          </w:p>
          <w:p>
            <w:pPr>
              <w:pStyle w:val="Normal"/>
              <w:rPr/>
            </w:pPr>
            <w:r>
              <w:rPr/>
              <w:t>3. Отходы, образующиеся в результате деятельности Исполнителя,</w:t>
              <w:t xml:space="preserve"> не связанной с оказанием услуг, в том числе отходы, образующиеся</w:t>
              <w:t xml:space="preserve"> в</w:t>
            </w:r>
          </w:p>
          <w:p>
            <w:pPr>
              <w:pStyle w:val="Normal"/>
              <w:rPr/>
            </w:pPr>
            <w:r>
              <w:rPr/>
              <w:t>процессе</w:t>
              <w:t xml:space="preserve"> административно-хозяйственной</w:t>
              <w:t xml:space="preserve"> деятельности</w:t>
              <w:t xml:space="preserve"> персонала Исполнителя на территории Филиала, являются</w:t>
              <w:t xml:space="preserve"> собственностью Исполнителя. Деятельность по обращению с</w:t>
              <w:t xml:space="preserve"> такими отходами, а также связанная с этим ответственность,</w:t>
              <w:t xml:space="preserve"> является обязанностью Исполнителя.</w:t>
            </w:r>
          </w:p>
          <w:p>
            <w:pPr>
              <w:pStyle w:val="Normal"/>
              <w:rPr/>
            </w:pPr>
            <w:r>
              <w:rPr/>
              <w:t>4.</w:t>
              <w:t xml:space="preserve"> Не допускается накопление отходов сверх объема, который</w:t>
              <w:t xml:space="preserve"> вмещает место накопления отходов.</w:t>
            </w:r>
          </w:p>
          <w:p>
            <w:pPr>
              <w:pStyle w:val="Normal"/>
              <w:rPr/>
            </w:pPr>
            <w:r>
              <w:rPr/>
              <w:t>5.</w:t>
              <w:t xml:space="preserve"> Исполнитель</w:t>
              <w:t xml:space="preserve"> обеспечивает</w:t>
              <w:t xml:space="preserve"> своевременное</w:t>
              <w:t xml:space="preserve"> удаление</w:t>
            </w:r>
          </w:p>
          <w:p>
            <w:pPr>
              <w:pStyle w:val="Normal"/>
              <w:rPr/>
            </w:pPr>
            <w:r>
              <w:rPr/>
              <w:t>образовавшихся в процессе оказания услуг отходов из мест</w:t>
              <w:t xml:space="preserve"> накопления отходов на территории Заказчика на объекты</w:t>
              <w:t xml:space="preserve"> размещения/захоронения отходов.</w:t>
            </w:r>
          </w:p>
          <w:p>
            <w:pPr>
              <w:pStyle w:val="Normal"/>
              <w:rPr/>
            </w:pPr>
            <w:r>
              <w:rPr/>
              <w:t>6.</w:t>
              <w:t xml:space="preserve"> Исполнитель при оказании услуг обеспечивает соблюдение</w:t>
              <w:t xml:space="preserve"> санитарных требований и требований в области охраны</w:t>
              <w:t xml:space="preserve"> окружающей среды к обращению с отходами, установленных законодательством Российской Федерации законодательства.</w:t>
            </w:r>
          </w:p>
          <w:p>
            <w:pPr>
              <w:pStyle w:val="Normal"/>
              <w:rPr/>
            </w:pPr>
            <w:r>
              <w:rPr/>
              <w:t>7. Персонал Исполнителя обеспечивает поддержание чистоты на</w:t>
              <w:t xml:space="preserve"> рабочих местах, своевременную уборку площадки обслуживания и</w:t>
              <w:t xml:space="preserve"> ликвидацию отходов по окончании оказания услуг.</w:t>
            </w:r>
          </w:p>
          <w:p>
            <w:pPr>
              <w:pStyle w:val="Normal"/>
              <w:rPr/>
            </w:pPr>
            <w:r>
              <w:rPr/>
              <w:t>8. Исполнитель своевременно предупреждает Заказчика о</w:t>
              <w:t xml:space="preserve"> необходимости оказания дополнительных услуг.</w:t>
            </w:r>
          </w:p>
          <w:p>
            <w:pPr>
              <w:pStyle w:val="Normal"/>
              <w:rPr/>
            </w:pPr>
            <w:r>
              <w:rPr/>
              <w:t>9.</w:t>
              <w:t xml:space="preserve"> При оказании услуг на территории филиала ПАО</w:t>
            </w:r>
          </w:p>
          <w:p>
            <w:pPr>
              <w:pStyle w:val="Normal"/>
              <w:rPr/>
            </w:pPr>
            <w:r>
              <w:rPr/>
              <w:t>«РусГидро»-«Жигулевская ГЭС» соблюдать:</w:t>
            </w:r>
          </w:p>
          <w:p>
            <w:pPr>
              <w:pStyle w:val="Normal"/>
              <w:rPr/>
            </w:pPr>
            <w:r>
              <w:rPr/>
              <w:t>9.1. Положение по пропускному и внутриобъектовому режимам</w:t>
              <w:t xml:space="preserve"> Филиала ПАО «РусГидро» - «Жигулевская ГЭС».</w:t>
            </w:r>
          </w:p>
          <w:p>
            <w:pPr>
              <w:pStyle w:val="Normal"/>
              <w:rPr/>
            </w:pPr>
            <w:r>
              <w:rPr/>
              <w:t>9.2. Требования в области охраны окружающей среды к подрядным</w:t>
              <w:t xml:space="preserve"> организациям, выполняющим работы (строительные, монтажные,</w:t>
              <w:t xml:space="preserve"> ремонтные и др.) на территории Филиала ПАО «РусГидро» -</w:t>
              <w:t xml:space="preserve"> «Жигулевская ГЭС».</w:t>
            </w:r>
          </w:p>
          <w:p>
            <w:pPr>
              <w:pStyle w:val="Normal"/>
              <w:rPr/>
            </w:pPr>
            <w:r>
              <w:rPr/>
              <w:t>9.3. Требования нормативных документов по охране труда,</w:t>
              <w:t xml:space="preserve"> промышленной и пожарной безопасности.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napToGrid w:val="false"/>
              <w:spacing w:before="60" w:after="60"/>
              <w:ind w:hanging="0" w:left="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</w:rPr>
            </w:pPr>
            <w:r>
              <w:rPr>
                <w:bCs/>
              </w:rPr>
              <w:t>При оказании услуг Исполнитель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>
            <w:pPr>
              <w:pStyle w:val="Normal"/>
              <w:widowControl w:val="false"/>
              <w:rPr>
                <w:bCs/>
              </w:rPr>
            </w:pPr>
            <w:r>
              <w:rPr/>
              <w:t>- В соответствии с Перечнем нормативно-технической документации.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napToGrid w:val="false"/>
              <w:spacing w:before="60" w:after="60"/>
              <w:ind w:hanging="0" w:left="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3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Требование к </w:t>
            </w:r>
            <w:r>
              <w:rPr/>
              <w:t>способам оказания услуг охраны</w:t>
            </w:r>
          </w:p>
        </w:tc>
        <w:tc>
          <w:tcPr>
            <w:tcW w:w="6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</w:rPr>
            </w:pPr>
            <w:r>
              <w:rPr>
                <w:bCs/>
              </w:rPr>
              <w:t>- Оказывать содействие сотрудникам службы безопасности, а</w:t>
              <w:t xml:space="preserve"> именно: по требованию предъявлять для осмотра при входе/выходе</w:t>
              <w:t xml:space="preserve"> ручную кладь, предоставлять для досмотра техническими</w:t>
              <w:t xml:space="preserve"> средствами охраны, имеющимися на охраняемом Объекте</w:t>
              <w:t xml:space="preserve"> (переносными и стационарными), транспортные средства при</w:t>
              <w:t xml:space="preserve"> въезде/выезде/передвижении по охраняемой территории с целью</w:t>
              <w:t xml:space="preserve"> недопущения проноса/провоза на охраняемый Объект вооружения,</w:t>
            </w:r>
          </w:p>
          <w:p>
            <w:pPr>
              <w:pStyle w:val="Normal"/>
              <w:widowControl w:val="false"/>
              <w:rPr>
                <w:bCs/>
              </w:rPr>
            </w:pPr>
            <w:r>
              <w:rPr>
                <w:bCs/>
              </w:rPr>
              <w:t>взрывчатых веществ и самодельных взрывных устройств, и их</w:t>
              <w:t xml:space="preserve"> элементов, а также других запрещенных предметов.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napToGrid w:val="false"/>
              <w:spacing w:before="60" w:after="60"/>
              <w:ind w:hanging="0" w:left="0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3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Требования к организации пропускного и внутри объектового режимов на охраняемой территории Жигулевской ГЭС</w:t>
            </w:r>
          </w:p>
        </w:tc>
        <w:tc>
          <w:tcPr>
            <w:tcW w:w="6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</w:rPr>
            </w:pPr>
            <w:r>
              <w:rPr>
                <w:bCs/>
              </w:rPr>
              <w:t>Соблюдать Положение по пропускному и внутри объектовому</w:t>
            </w:r>
          </w:p>
          <w:p>
            <w:pPr>
              <w:pStyle w:val="Normal"/>
              <w:widowControl w:val="false"/>
              <w:rPr>
                <w:bCs/>
              </w:rPr>
            </w:pPr>
            <w:r>
              <w:rPr>
                <w:bCs/>
              </w:rPr>
              <w:t>режимам Филиала ПАО «РусГидро» - «Жигулёвская ГЭС»</w:t>
              <w:t>.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napToGrid w:val="false"/>
              <w:spacing w:before="60" w:after="60"/>
              <w:ind w:hanging="0" w:left="0"/>
              <w:jc w:val="center"/>
              <w:rPr>
                <w:b/>
              </w:rPr>
            </w:pPr>
            <w:r>
              <w:rPr>
                <w:b/>
              </w:rPr>
              <w:t>1.2.</w:t>
            </w:r>
          </w:p>
        </w:tc>
        <w:tc>
          <w:tcPr>
            <w:tcW w:w="9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</w:rPr>
            </w:pPr>
            <w:r>
              <w:rPr>
                <w:b/>
              </w:rPr>
              <w:t>Требования к организации работ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napToGrid w:val="false"/>
              <w:spacing w:before="60" w:after="60"/>
              <w:ind w:hanging="0" w:left="0"/>
              <w:jc w:val="center"/>
              <w:rPr>
                <w:b/>
              </w:rPr>
            </w:pPr>
            <w:r>
              <w:rPr>
                <w:b/>
              </w:rPr>
              <w:t>1.2.1.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/>
              <w:t>Организация выполнения работ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57" w:left="57"/>
              <w:rPr/>
            </w:pPr>
            <w:r>
              <w:rPr>
                <w:lang w:eastAsia="en-US"/>
              </w:rPr>
              <w:t xml:space="preserve">1. </w:t>
            </w:r>
            <w:r>
              <w:rPr>
                <w:lang w:eastAsia="en-US"/>
              </w:rPr>
              <w:t>Работы выполняются</w:t>
            </w:r>
            <w:r>
              <w:rPr>
                <w:lang w:eastAsia="en-US"/>
              </w:rPr>
              <w:t xml:space="preserve"> в соответствии с перечнем НТД</w:t>
            </w:r>
            <w:r>
              <w:rPr/>
            </w:r>
          </w:p>
          <w:p>
            <w:pPr>
              <w:pStyle w:val="ListParagraph"/>
              <w:widowControl w:val="false"/>
              <w:ind w:hanging="57" w:left="57"/>
              <w:rPr/>
            </w:pPr>
            <w:r>
              <w:rPr/>
              <w:t>2. Работы выполняются в соответствии утвержденным проектом</w:t>
              <w:t xml:space="preserve"> производства работ (ППР) и календарным графиком.</w:t>
            </w:r>
          </w:p>
          <w:p>
            <w:pPr>
              <w:pStyle w:val="ListParagraph"/>
              <w:widowControl w:val="false"/>
              <w:ind w:hanging="57" w:left="57"/>
              <w:rPr/>
            </w:pPr>
            <w:r>
              <w:rPr/>
              <w:t xml:space="preserve">3. Обеспечение техники безопасности при </w:t>
            </w:r>
            <w:r>
              <w:rPr/>
              <w:t>выполнении работ</w:t>
            </w:r>
            <w:r>
              <w:rPr/>
              <w:t xml:space="preserve"> –</w:t>
              <w:t xml:space="preserve"> технические и организационные возможности, комплектность</w:t>
              <w:t xml:space="preserve"> персонала, безопасность </w:t>
            </w:r>
            <w:r>
              <w:rPr/>
              <w:t>выполнения работ</w:t>
            </w:r>
            <w:r>
              <w:rPr/>
              <w:t xml:space="preserve"> должны соответствовать</w:t>
              <w:t xml:space="preserve"> характеру </w:t>
            </w:r>
            <w:r>
              <w:rPr/>
              <w:t>выполняемых работ</w:t>
            </w:r>
            <w:r>
              <w:rPr/>
              <w:t>;</w:t>
            </w:r>
          </w:p>
          <w:p>
            <w:pPr>
              <w:pStyle w:val="ListParagraph"/>
              <w:widowControl w:val="false"/>
              <w:ind w:hanging="57" w:left="57"/>
              <w:rPr/>
            </w:pPr>
            <w:r>
              <w:rPr/>
              <w:t xml:space="preserve">4. Подготовку рабочих мест и допуск к </w:t>
            </w:r>
            <w:r>
              <w:rPr/>
              <w:t>выполнению работ</w:t>
            </w:r>
            <w:r>
              <w:rPr/>
              <w:t xml:space="preserve"> </w:t>
            </w:r>
            <w:r>
              <w:rPr/>
              <w:t>производит</w:t>
            </w:r>
            <w:r>
              <w:rPr/>
              <w:t xml:space="preserve"> персонал Заказчика (Исполнителя, в случаях, указанных в НТД</w:t>
              <w:t>;</w:t>
            </w:r>
          </w:p>
          <w:p>
            <w:pPr>
              <w:pStyle w:val="ListParagraph"/>
              <w:widowControl w:val="false"/>
              <w:ind w:hanging="57" w:left="57"/>
              <w:rPr/>
            </w:pPr>
            <w:r>
              <w:rPr/>
              <w:t>5.Организационно-технические мероприятия по допуску персонала</w:t>
              <w:t xml:space="preserve"> Исполнителя к выполнению работ осуществляются в соответствии с</w:t>
              <w:t xml:space="preserve"> Приказом № 300 28.04.2023 «Методика допуска персонала</w:t>
            </w:r>
          </w:p>
          <w:p>
            <w:pPr>
              <w:pStyle w:val="ListParagraph"/>
              <w:widowControl w:val="false"/>
              <w:ind w:hanging="57" w:left="57"/>
              <w:rPr/>
            </w:pPr>
            <w:r>
              <w:rPr/>
              <w:t>подрядных организаций к выполнению работ на объектах</w:t>
              <w:t xml:space="preserve"> Общества»</w:t>
            </w:r>
          </w:p>
          <w:p>
            <w:pPr>
              <w:pStyle w:val="ListParagraph"/>
              <w:widowControl w:val="false"/>
              <w:ind w:hanging="57" w:left="57"/>
              <w:rPr/>
            </w:pPr>
            <w:r>
              <w:rPr/>
              <w:t xml:space="preserve">6. Текущий контроль </w:t>
            </w:r>
            <w:r>
              <w:rPr/>
              <w:t>выполнения работ</w:t>
            </w:r>
            <w:r>
              <w:rPr/>
              <w:t xml:space="preserve"> должен включать в себя</w:t>
              <w:t xml:space="preserve"> надзор за правильностью и последовательностью выполнения</w:t>
            </w:r>
          </w:p>
          <w:p>
            <w:pPr>
              <w:pStyle w:val="ListParagraph"/>
              <w:widowControl w:val="false"/>
              <w:ind w:hanging="57" w:left="57"/>
              <w:rPr/>
            </w:pPr>
            <w:r>
              <w:rPr/>
              <w:t>технологических операций;</w:t>
            </w:r>
          </w:p>
          <w:p>
            <w:pPr>
              <w:pStyle w:val="ListParagraph"/>
              <w:widowControl w:val="false"/>
              <w:ind w:hanging="57" w:left="57"/>
              <w:rPr/>
            </w:pPr>
            <w:r>
              <w:rPr/>
              <w:t xml:space="preserve">7. Приемочный контроль. Перечень этапов и видов </w:t>
            </w:r>
            <w:r>
              <w:rPr/>
              <w:t>работ,</w:t>
            </w:r>
            <w:r>
              <w:rPr/>
              <w:t xml:space="preserve"> подлежащих приемке, должен быть согласован с Заказчиком.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napToGrid w:val="false"/>
              <w:spacing w:before="60" w:after="60"/>
              <w:ind w:hanging="0" w:left="0"/>
              <w:jc w:val="center"/>
              <w:rPr>
                <w:b/>
              </w:rPr>
            </w:pPr>
            <w:r>
              <w:rPr>
                <w:b/>
              </w:rPr>
              <w:t>1.2.2.</w:t>
            </w:r>
          </w:p>
        </w:tc>
        <w:tc>
          <w:tcPr>
            <w:tcW w:w="3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</w:rPr>
            </w:pPr>
            <w:r>
              <w:rPr>
                <w:iCs/>
              </w:rPr>
              <w:t>Обеспечение</w:t>
            </w:r>
          </w:p>
          <w:p>
            <w:pPr>
              <w:pStyle w:val="Normal"/>
              <w:widowControl w:val="false"/>
              <w:rPr>
                <w:iCs/>
              </w:rPr>
            </w:pPr>
            <w:r>
              <w:rPr/>
              <w:t>персонала</w:t>
            </w:r>
          </w:p>
          <w:p>
            <w:pPr>
              <w:pStyle w:val="Normal"/>
              <w:widowControl w:val="false"/>
              <w:rPr>
                <w:iCs/>
              </w:rPr>
            </w:pPr>
            <w:r>
              <w:rPr/>
              <w:t>Исполнителя</w:t>
            </w:r>
          </w:p>
          <w:p>
            <w:pPr>
              <w:pStyle w:val="Normal"/>
              <w:widowControl w:val="false"/>
              <w:rPr>
                <w:iCs/>
              </w:rPr>
            </w:pPr>
            <w:r>
              <w:rPr/>
              <w:t>комплектами</w:t>
            </w:r>
          </w:p>
          <w:p>
            <w:pPr>
              <w:pStyle w:val="Normal"/>
              <w:widowControl w:val="false"/>
              <w:rPr>
                <w:iCs/>
              </w:rPr>
            </w:pPr>
            <w:r>
              <w:rPr/>
              <w:t>СИЗ.</w:t>
            </w:r>
          </w:p>
        </w:tc>
        <w:tc>
          <w:tcPr>
            <w:tcW w:w="6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34"/>
              <w:rPr>
                <w:lang w:eastAsia="en-US"/>
              </w:rPr>
            </w:pPr>
            <w:r>
              <w:rPr/>
              <w:t>Допуск персонала Исполнителя для оказания услуг осуществляется</w:t>
              <w:t xml:space="preserve"> при наличии комплекта СИЗ. Комплектами СИЗ персонал</w:t>
              <w:t xml:space="preserve"> обеспечивается силами Исполнителя.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napToGrid w:val="false"/>
              <w:spacing w:before="60" w:after="60"/>
              <w:ind w:hanging="0" w:left="0"/>
              <w:jc w:val="center"/>
              <w:rPr>
                <w:b/>
              </w:rPr>
            </w:pPr>
            <w:r>
              <w:rPr>
                <w:b/>
              </w:rPr>
              <w:t>1.2.3.</w:t>
            </w:r>
          </w:p>
        </w:tc>
        <w:tc>
          <w:tcPr>
            <w:tcW w:w="3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</w:rPr>
            </w:pPr>
            <w:r>
              <w:rPr>
                <w:iCs/>
              </w:rPr>
              <w:t>Общие требования к безопасности</w:t>
            </w:r>
          </w:p>
        </w:tc>
        <w:tc>
          <w:tcPr>
            <w:tcW w:w="6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34"/>
              <w:rPr>
                <w:lang w:eastAsia="en-US"/>
              </w:rPr>
            </w:pPr>
            <w:r>
              <w:rPr>
                <w:lang w:eastAsia="en-US"/>
              </w:rPr>
              <w:t xml:space="preserve">Выполнение работ </w:t>
            </w:r>
            <w:r>
              <w:rPr>
                <w:lang w:eastAsia="en-US"/>
              </w:rPr>
              <w:t>осуществляется в условиях действующего</w:t>
              <w:t xml:space="preserve"> </w:t>
            </w:r>
            <w:r>
              <w:rPr/>
              <w:t>предприятия:</w:t>
            </w:r>
          </w:p>
          <w:p>
            <w:pPr>
              <w:pStyle w:val="Normal"/>
              <w:widowControl w:val="false"/>
              <w:ind w:hanging="0" w:left="-34"/>
              <w:rPr>
                <w:lang w:eastAsia="en-US"/>
              </w:rPr>
            </w:pPr>
            <w:r>
              <w:rPr/>
              <w:t xml:space="preserve">- </w:t>
            </w:r>
            <w:r>
              <w:rPr/>
              <w:t>Выполнение работ</w:t>
            </w:r>
            <w:r>
              <w:rPr/>
              <w:t xml:space="preserve"> на открытых и полуоткрытых производственных</w:t>
              <w:t xml:space="preserve"> площадках: с наличием в зоне </w:t>
            </w:r>
            <w:r>
              <w:rPr/>
              <w:t>выполнения работ</w:t>
            </w:r>
            <w:r>
              <w:rPr/>
              <w:t xml:space="preserve"> действующего</w:t>
              <w:t xml:space="preserve"> технологического оборудования или движения технологического</w:t>
            </w:r>
          </w:p>
          <w:p>
            <w:pPr>
              <w:pStyle w:val="Normal"/>
              <w:widowControl w:val="false"/>
              <w:ind w:hanging="0" w:left="-34"/>
              <w:rPr>
                <w:lang w:eastAsia="en-US"/>
              </w:rPr>
            </w:pPr>
            <w:r>
              <w:rPr/>
              <w:t>транспорта.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napToGrid w:val="false"/>
              <w:spacing w:before="60" w:after="60"/>
              <w:ind w:hanging="0" w:left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1.2.4.</w:t>
            </w:r>
          </w:p>
        </w:tc>
        <w:tc>
          <w:tcPr>
            <w:tcW w:w="3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Требование к </w:t>
            </w:r>
            <w:r>
              <w:rPr/>
              <w:t>безопасности при выполнении работ</w:t>
            </w:r>
          </w:p>
        </w:tc>
        <w:tc>
          <w:tcPr>
            <w:tcW w:w="6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993" w:leader="none"/>
              </w:tabs>
              <w:suppressAutoHyphens w:val="false"/>
              <w:ind w:hanging="0" w:left="0"/>
              <w:rPr/>
            </w:pPr>
            <w:r>
              <w:rPr/>
              <w:t>Исполнитель должен соблюдать требования действующего</w:t>
              <w:t xml:space="preserve">  федерального</w:t>
              <w:t xml:space="preserve"> законодательства</w:t>
              <w:t xml:space="preserve"> Российской</w:t>
              <w:t xml:space="preserve"> Федерации,</w:t>
              <w:t>нормативных правовых актов субъектов Российской Федерации, в</w:t>
              <w:t xml:space="preserve"> т.ч. охране окружающей среды, промышленной и пожарной</w:t>
              <w:t xml:space="preserve"> безопасности, охране труда, а также все прочие законы и</w:t>
              <w:t xml:space="preserve"> нормативные акты, относящиеся к сфере деятельности.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993" w:leader="none"/>
              </w:tabs>
              <w:suppressAutoHyphens w:val="false"/>
              <w:ind w:hanging="0" w:left="0"/>
              <w:rPr/>
            </w:pPr>
            <w:r>
              <w:rPr/>
              <w:t>Исполнитель обязан направлять на объекты заказчика работников,</w:t>
              <w:t xml:space="preserve"> обученных правилам безопасного ведения работ и имеющих все</w:t>
              <w:t xml:space="preserve"> необходимые допуски к производству работ, а также представлять</w:t>
              <w:t xml:space="preserve"> документы на русском языке, подтверждающие аттестацию</w:t>
              <w:t xml:space="preserve"> работников на проведение соответствующих видов работ.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napToGrid w:val="false"/>
              <w:spacing w:before="60" w:after="60"/>
              <w:ind w:hanging="0" w:left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1.2.5.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/>
              <w:t>Требования к информационной безопасности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/>
              <w:t>При пересылке файлов не допускается использование открытых</w:t>
              <w:t xml:space="preserve"> файлообменных сервисов. Необходимо соблюдать Политику</w:t>
              <w:t xml:space="preserve"> информационной безопасности ПАО «РусГидро»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1.</w:t>
            </w:r>
            <w:r>
              <w:rPr>
                <w:b/>
                <w:lang w:val="en-US"/>
              </w:rPr>
              <w:t>3</w:t>
            </w:r>
            <w:r>
              <w:rPr>
                <w:b/>
                <w:lang w:val="en-US"/>
              </w:rPr>
              <w:t>.</w:t>
            </w:r>
          </w:p>
        </w:tc>
        <w:tc>
          <w:tcPr>
            <w:tcW w:w="9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</w:rPr>
              <w:t>Требования к персоналу подрядчик</w:t>
            </w:r>
            <w:r>
              <w:rPr>
                <w:b/>
                <w:lang w:val="en-US"/>
              </w:rPr>
              <w:t>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b w:val="false"/>
                <w:bCs w:val="false"/>
                <w:i/>
                <w:i/>
                <w:iCs/>
              </w:rPr>
            </w:pPr>
            <w:r>
              <w:rPr>
                <w:b w:val="false"/>
                <w:bCs w:val="false"/>
                <w:i/>
                <w:iCs/>
                <w:lang w:val="en-US"/>
              </w:rPr>
              <w:t>Наличие у Подрядчика или у привлекаемых субподрядчиков собственного или привлеченного (по трудовым либо гражданско-правовым договорам) квалифицированного персонала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center"/>
              <w:textAlignment w:val="baseline"/>
              <w:rPr>
                <w:b/>
                <w:lang w:val="en-US"/>
              </w:rPr>
            </w:pPr>
            <w:r>
              <w:rPr>
                <w:b/>
                <w:lang w:val="en-US"/>
              </w:rPr>
              <w:t>1.</w:t>
            </w:r>
            <w:r>
              <w:rPr>
                <w:b/>
                <w:lang w:val="en-US"/>
              </w:rPr>
              <w:t>3</w:t>
            </w:r>
            <w:r>
              <w:rPr>
                <w:b/>
                <w:lang w:val="en-US"/>
              </w:rPr>
              <w:t>.1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lang w:val="en-US"/>
              </w:rPr>
            </w:pPr>
            <w:r>
              <w:rPr>
                <w:lang w:val="en-US"/>
              </w:rPr>
              <w:t>Квалификация персонала Исполнителя, привлекаемого к выполнению работ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iCs/>
              </w:rPr>
            </w:pPr>
            <w:r>
              <w:rPr>
                <w:iCs/>
              </w:rPr>
              <w:t xml:space="preserve"> </w:t>
            </w:r>
            <w:r>
              <w:rPr>
                <w:iCs/>
              </w:rPr>
              <w:t>До начала оказания услуг в рамках исполнения договора после его заключения Исполнитель предоставляет список персонала с указанием сведений о квалификации персонала, разряде и группе по электробезопасности с приложением копий удостоверений на производство специальных видов работ (грузоподъемных, работ с</w:t>
              <w:t xml:space="preserve"> электро - и пневмоинструментом,) (возможно совмещение</w:t>
              <w:t xml:space="preserve"> специальностей).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60" w:after="60"/>
              <w:ind w:hanging="0" w:left="0" w:right="-113"/>
              <w:jc w:val="center"/>
              <w:textAlignment w:val="baseline"/>
              <w:rPr>
                <w:b/>
                <w:lang w:val="en-US"/>
              </w:rPr>
            </w:pPr>
            <w:r>
              <w:rPr>
                <w:b/>
                <w:lang w:val="en-US"/>
              </w:rPr>
              <w:t>1.4.2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/>
            </w:pPr>
            <w:r>
              <w:rPr/>
              <w:t>Информация о субподрядных организациях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iCs/>
              </w:rPr>
            </w:pPr>
            <w:r>
              <w:rPr>
                <w:iCs/>
              </w:rPr>
              <w:t>Предоставить документы, подтверждающие готовность и</w:t>
              <w:t xml:space="preserve"> </w:t>
            </w:r>
            <w:r>
              <w:rPr/>
              <w:t>возможность субподрядных организаций оказать услуги при их</w:t>
              <w:t xml:space="preserve"> привлечении.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napToGrid w:val="false"/>
              <w:spacing w:before="60" w:after="60"/>
              <w:ind w:hanging="0" w:left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9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Требования к результатам работ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napToGrid w:val="false"/>
              <w:spacing w:before="60" w:after="60"/>
              <w:ind w:hanging="0" w:left="0"/>
              <w:jc w:val="center"/>
              <w:rPr>
                <w:b/>
              </w:rPr>
            </w:pPr>
            <w:r>
              <w:rPr>
                <w:b/>
              </w:rPr>
              <w:t>2.1.</w:t>
            </w:r>
          </w:p>
        </w:tc>
        <w:tc>
          <w:tcPr>
            <w:tcW w:w="9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</w:rPr>
            </w:pPr>
            <w:r>
              <w:rPr>
                <w:b/>
              </w:rPr>
              <w:t>Общие требования к результатам работ</w:t>
            </w:r>
          </w:p>
        </w:tc>
      </w:tr>
      <w:tr>
        <w:trPr>
          <w:trHeight w:val="61" w:hRule="atLeast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napToGrid w:val="false"/>
              <w:spacing w:before="60" w:after="60"/>
              <w:ind w:hanging="0" w:left="0"/>
              <w:jc w:val="center"/>
              <w:rPr>
                <w:b/>
              </w:rPr>
            </w:pPr>
            <w:r>
              <w:rPr>
                <w:b/>
              </w:rPr>
              <w:t>2.1.1.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>
                <w:bCs/>
                <w:lang w:val="en-US"/>
              </w:rPr>
              <w:t>Требования к р</w:t>
            </w:r>
            <w:r>
              <w:rPr>
                <w:bCs/>
              </w:rPr>
              <w:t>езультат</w:t>
            </w:r>
            <w:r>
              <w:rPr>
                <w:bCs/>
                <w:lang w:val="en-US"/>
              </w:rPr>
              <w:t>ам</w:t>
            </w:r>
            <w:r>
              <w:rPr>
                <w:bCs/>
              </w:rPr>
              <w:t xml:space="preserve"> работ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60"/>
              <w:ind w:hanging="29" w:left="29"/>
              <w:rPr>
                <w:iCs/>
              </w:rPr>
            </w:pPr>
            <w:r>
              <w:rPr>
                <w:iCs/>
              </w:rPr>
              <w:t>Услуги оказываются в таком объёме, который позволяет начать</w:t>
              <w:t xml:space="preserve"> </w:t>
            </w:r>
            <w:r>
              <w:rPr/>
              <w:t>эксплуатацию обслуживаемого объекта без закупки Заказчиком</w:t>
              <w:t xml:space="preserve"> дополнительных объёмов каких-либо материалов, оборудования и</w:t>
              <w:t xml:space="preserve"> услуг. Услуги считаются оказанными после приёмки объекта</w:t>
              <w:t xml:space="preserve"> комиссией филиала с оформлением отчётной документации со</w:t>
              <w:t xml:space="preserve"> стороны Исполнителя.</w:t>
            </w:r>
          </w:p>
        </w:tc>
      </w:tr>
      <w:tr>
        <w:trPr>
          <w:trHeight w:val="61" w:hRule="atLeast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napToGrid w:val="false"/>
              <w:spacing w:before="60" w:after="60"/>
              <w:ind w:hanging="0" w:left="0"/>
              <w:jc w:val="center"/>
              <w:rPr>
                <w:b/>
              </w:rPr>
            </w:pPr>
            <w:r>
              <w:rPr>
                <w:b/>
              </w:rPr>
              <w:t>2.1.2.</w:t>
            </w:r>
          </w:p>
        </w:tc>
        <w:tc>
          <w:tcPr>
            <w:tcW w:w="3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</w:rPr>
            </w:pPr>
            <w:r>
              <w:rPr>
                <w:iCs/>
              </w:rPr>
              <w:t xml:space="preserve">Требования к </w:t>
            </w:r>
            <w:r>
              <w:rPr>
                <w:iCs/>
              </w:rPr>
              <w:t>информационной безопасности результата выполнения работ</w:t>
            </w:r>
          </w:p>
        </w:tc>
        <w:tc>
          <w:tcPr>
            <w:tcW w:w="6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60"/>
              <w:ind w:hanging="29" w:left="29"/>
              <w:rPr>
                <w:iCs/>
              </w:rPr>
            </w:pPr>
            <w:r>
              <w:rPr/>
              <w:t>Требования информационной безопасности должны</w:t>
              <w:t xml:space="preserve"> обеспечиваться на всех стадиях оказания услуг с учетом всех</w:t>
              <w:t xml:space="preserve"> сторон, вовлеченных в процессы жизненного цикла (разработчиков, заказчиков, поставщиков продуктов и услуг,</w:t>
              <w:t xml:space="preserve"> эксплуатирующих и надзорных подразделений Общества) в</w:t>
              <w:t xml:space="preserve"> соответствии с Федеральными законами №152 от 27.07.2006 «О</w:t>
              <w:t xml:space="preserve"> персональных данных» и № 98 от 29.07.2004 «О коммерческой</w:t>
              <w:t xml:space="preserve"> тайне», а также Политикой</w:t>
              <w:t>информационной безопасности ПАО «РусГидро»</w:t>
              <w:t xml:space="preserve"> в новой редакции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napToGrid w:val="false"/>
              <w:spacing w:before="60" w:after="60"/>
              <w:ind w:hanging="0" w:left="0"/>
              <w:jc w:val="center"/>
              <w:rPr>
                <w:b/>
                <w:i/>
                <w:i/>
                <w:iCs/>
              </w:rPr>
            </w:pPr>
            <w:r>
              <w:rPr>
                <w:b/>
                <w:i/>
                <w:iCs/>
              </w:rPr>
              <w:t>2.2.</w:t>
            </w:r>
          </w:p>
        </w:tc>
        <w:tc>
          <w:tcPr>
            <w:tcW w:w="9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Требования к порядку приемки результатов работ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napToGrid w:val="false"/>
              <w:spacing w:before="60" w:after="60"/>
              <w:ind w:hanging="0" w:left="0"/>
              <w:jc w:val="center"/>
              <w:rPr>
                <w:b/>
              </w:rPr>
            </w:pPr>
            <w:r>
              <w:rPr>
                <w:b/>
              </w:rPr>
              <w:t>2.2.1.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/>
              <w:t>Поряд</w:t>
            </w:r>
            <w:r>
              <w:rPr>
                <w:lang w:val="en-US"/>
              </w:rPr>
              <w:t>о</w:t>
            </w:r>
            <w:r>
              <w:rPr/>
              <w:t>к приемки результатов работ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478" w:leader="none"/>
              </w:tabs>
              <w:spacing w:before="60" w:after="0"/>
              <w:rPr/>
            </w:pPr>
            <w:r>
              <w:rPr/>
              <w:t>Работы считаются выполненными после приёмки объекта из ремонта комиссией филиала с оформлением отчётной документации со стороны исполнителя ремонта.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napToGrid w:val="false"/>
              <w:ind w:hanging="0" w:left="0"/>
              <w:rPr>
                <w:b/>
              </w:rPr>
            </w:pPr>
            <w:r>
              <w:rPr>
                <w:b/>
              </w:rPr>
              <w:t>2.3.</w:t>
            </w:r>
          </w:p>
        </w:tc>
        <w:tc>
          <w:tcPr>
            <w:tcW w:w="9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</w:rPr>
            </w:pPr>
            <w:r>
              <w:rPr>
                <w:b/>
              </w:rPr>
              <w:t>Требования к оформлению документации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napToGrid w:val="false"/>
              <w:ind w:hanging="0" w:left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2.3.1.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Документы, передаваемые заказчику по результатам выполненных работ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</w:tabs>
              <w:suppressAutoHyphens w:val="false"/>
              <w:rPr/>
            </w:pPr>
            <w:r>
              <w:rPr>
                <w:iCs/>
              </w:rPr>
              <w:t xml:space="preserve">По завершении выполнения Работ в отношении каждого Объекта и готовности последнего к эксплуатации Подрядчик </w:t>
            </w:r>
            <w:r>
              <w:rPr>
                <w:bCs/>
              </w:rPr>
              <w:t>представляет Заказчику подписанные со своей стороны:</w:t>
            </w:r>
          </w:p>
          <w:p>
            <w:pPr>
              <w:pStyle w:val="Normal"/>
              <w:widowControl w:val="false"/>
              <w:ind w:hanging="320" w:left="320"/>
              <w:rPr>
                <w:iCs/>
              </w:rPr>
            </w:pPr>
            <w:r>
              <w:rPr>
                <w:iCs/>
              </w:rPr>
              <w:t>-</w:t>
              <w:tab/>
              <w:t>Акт КС-2, Справку КС-3 в отношении каждого Объекта на весь объем выполненных работ по Объекту в 2 (двух) экземплярах, а также электронные версии Акта КС-2 и Справки КС-3 в формате *gsfx ПК «ГРАНД Сметы» на цифровом носителе;</w:t>
            </w:r>
          </w:p>
          <w:p>
            <w:pPr>
              <w:pStyle w:val="Normal"/>
              <w:widowControl w:val="false"/>
              <w:ind w:hanging="320" w:left="320"/>
              <w:rPr>
                <w:iCs/>
              </w:rPr>
            </w:pPr>
            <w:r>
              <w:rPr>
                <w:iCs/>
              </w:rPr>
              <w:t>-</w:t>
              <w:tab/>
              <w:t>Акт о приеме-сдаче отремонтированных, реконструированных, модернизированных объектов основных средств (по форме ОС-3) в 2 (двух) экземплярах с приложением Приемо-сдаточной и Исполнительной документации в 3 (трех) экземплярах.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napToGrid w:val="false"/>
              <w:spacing w:before="60" w:after="60"/>
              <w:ind w:hanging="0"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9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rPr>
                <w:b/>
              </w:rPr>
            </w:pPr>
            <w:r>
              <w:rPr>
                <w:b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napToGrid w:val="false"/>
              <w:ind w:hanging="0" w:left="0"/>
              <w:jc w:val="center"/>
              <w:rPr>
                <w:b/>
              </w:rPr>
            </w:pPr>
            <w:r>
              <w:rPr>
                <w:b/>
              </w:rPr>
              <w:t>3.1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Требования к субподрядным организациям, привлекаемым к выполнению работ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</w:rPr>
            </w:pPr>
            <w:r>
              <w:rPr>
                <w:iCs/>
              </w:rPr>
              <w:t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работ.</w:t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w="11906" w:h="16838"/>
          <w:pgMar w:left="1134" w:right="851" w:gutter="0" w:header="0" w:top="615" w:footer="0" w:bottom="720"/>
          <w:pgNumType w:fmt="decimal"/>
          <w:formProt w:val="false"/>
          <w:textDirection w:val="lrTb"/>
          <w:docGrid w:type="default" w:linePitch="600" w:charSpace="32768"/>
        </w:sectPr>
      </w:pPr>
      <w:r>
        <w:br w:type="page"/>
      </w:r>
    </w:p>
    <w:p>
      <w:pPr>
        <w:pStyle w:val="Heading2"/>
        <w:numPr>
          <w:ilvl w:val="0"/>
          <w:numId w:val="0"/>
        </w:numPr>
        <w:spacing w:before="120" w:after="60"/>
        <w:ind w:hanging="0" w:left="0"/>
        <w:rPr>
          <w:rFonts w:eastAsia="Calibri"/>
          <w:bCs/>
          <w:iCs/>
          <w:lang w:eastAsia="en-US"/>
        </w:rPr>
      </w:pPr>
      <w:r>
        <w:rPr>
          <w:rFonts w:eastAsia="Calibri"/>
          <w:bCs/>
          <w:iCs/>
          <w:lang w:eastAsia="en-US"/>
        </w:rPr>
      </w:r>
    </w:p>
    <w:sectPr>
      <w:headerReference w:type="default" r:id="rId5"/>
      <w:headerReference w:type="first" r:id="rId6"/>
      <w:footerReference w:type="default" r:id="rId7"/>
      <w:type w:val="nextPage"/>
      <w:pgSz w:orient="landscape" w:w="16838" w:h="11906"/>
      <w:pgMar w:left="992" w:right="1134" w:gutter="0" w:header="0" w:top="680" w:footer="0" w:bottom="851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true"/>
      <w:keepLines/>
      <w:jc w:val="right"/>
      <w:rPr>
        <w:highlight w:val="white"/>
      </w:rPr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:lang w:val="ru-RU"/>
      </w:rPr>
    </w:lvl>
    <w:lvl w:ilvl="1">
      <w:start w:val="1"/>
      <w:pStyle w:val="Heading2"/>
      <w:numFmt w:val="decimal"/>
      <w:lvlText w:val="%1.%2."/>
      <w:lvlJc w:val="left"/>
      <w:pPr>
        <w:tabs>
          <w:tab w:val="num" w:pos="0"/>
        </w:tabs>
        <w:ind w:left="432" w:hanging="43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szCs w:val="24"/>
        <w:iCs w:val="false"/>
        <w:bCs w:val="false"/>
        <w:em w:val="none"/>
        <w:vanish w:val="false"/>
      </w:rPr>
    </w:lvl>
    <w:lvl w:ilvl="2">
      <w:start w:val="1"/>
      <w:pStyle w:val="Heading3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pStyle w:val="Heading4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pStyle w:val="Heading5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pStyle w:val="Heading6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pStyle w:val="Heading7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pStyle w:val="Heading8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pStyle w:val="Heading9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792" w:hanging="432"/>
      </w:pPr>
      <w:rPr>
        <w:sz w:val="24"/>
        <w:b/>
        <w:szCs w:val="24"/>
        <w:bCs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  <w:rPr>
        <w:sz w:val="24"/>
        <w:b/>
        <w:szCs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1728" w:hanging="648"/>
      </w:pPr>
      <w:rPr>
        <w:sz w:val="24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i w:val="false"/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" w:hanging="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7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999" w:hanging="432"/>
      </w:pPr>
      <w:rPr>
        <w:sz w:val="24"/>
        <w:b/>
        <w:szCs w:val="24"/>
        <w:bCs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929" w:hanging="504"/>
      </w:pPr>
      <w:rPr>
        <w:sz w:val="24"/>
        <w:b/>
        <w:szCs w:val="24"/>
      </w:rPr>
    </w:lvl>
    <w:lvl w:ilvl="3">
      <w:start w:val="1"/>
      <w:numFmt w:val="decimal"/>
      <w:suff w:val="space"/>
      <w:lvlText w:val="1.1.3.%4."/>
      <w:lvlJc w:val="left"/>
      <w:pPr>
        <w:tabs>
          <w:tab w:val="num" w:pos="0"/>
        </w:tabs>
        <w:ind w:left="1728" w:hanging="648"/>
      </w:pPr>
      <w:rPr>
        <w:sz w:val="24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oto Serif CJK SC" w:cs="Arial Unicode MS"/>
      <w:color w:val="000000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3"/>
    <w:next w:val="Normal"/>
    <w:qFormat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qFormat/>
    <w:pPr>
      <w:numPr>
        <w:ilvl w:val="1"/>
        <w:numId w:val="1"/>
      </w:numPr>
      <w:outlineLvl w:val="1"/>
    </w:pPr>
    <w:rPr>
      <w:iCs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120" w:after="60"/>
      <w:outlineLvl w:val="2"/>
    </w:pPr>
    <w:rPr>
      <w:rFonts w:eastAsia="Calibri"/>
      <w:b/>
    </w:rPr>
  </w:style>
  <w:style w:type="paragraph" w:styleId="Heading4">
    <w:name w:val="Heading 4"/>
    <w:basedOn w:val="Heading3"/>
    <w:next w:val="Normal"/>
    <w:qFormat/>
    <w:pPr>
      <w:numPr>
        <w:ilvl w:val="3"/>
        <w:numId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pacing w:before="200" w:after="0"/>
      <w:outlineLvl w:val="5"/>
    </w:pPr>
    <w:rPr>
      <w:rFonts w:ascii="Cambria" w:hAnsi="Cambria" w:eastAsia="Cambria" w:cs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pacing w:before="200" w:after="0"/>
      <w:outlineLvl w:val="6"/>
    </w:pPr>
    <w:rPr>
      <w:rFonts w:ascii="Cambria" w:hAnsi="Cambria" w:eastAsia="Cambria" w:cs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pacing w:before="200" w:after="0"/>
      <w:outlineLvl w:val="7"/>
    </w:pPr>
    <w:rPr>
      <w:rFonts w:ascii="Cambria" w:hAnsi="Cambria" w:eastAsia="Cambria" w:cs="Cambria"/>
      <w:color w:val="4F81BD"/>
      <w:sz w:val="20"/>
      <w:szCs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eastAsia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CharLFO1LVL1" w:customStyle="1">
    <w:name w:val="WW_CharLFO1LVL1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  <w:lang w:val="ru-RU"/>
    </w:rPr>
  </w:style>
  <w:style w:type="character" w:styleId="WWCharLFO1LVL2" w:customStyle="1">
    <w:name w:val="WW_CharLFO1LVL2"/>
    <w:qFormat/>
    <w:rPr>
      <w:b/>
      <w:bCs w:val="false"/>
      <w:i w:val="false"/>
      <w:iCs w:val="false"/>
      <w:caps w:val="false"/>
      <w:smallCaps w:val="false"/>
      <w:strike w:val="false"/>
      <w:dstrike w:val="false"/>
      <w:outline w:val="false"/>
      <w:vanish w:val="false"/>
      <w:spacing w:val="0"/>
      <w:kern w:val="0"/>
      <w:position w:val="0"/>
      <w:sz w:val="24"/>
      <w:sz w:val="24"/>
      <w:szCs w:val="24"/>
      <w:u w:val="none"/>
      <w:vertAlign w:val="baseline"/>
      <w:em w:val="none"/>
    </w:rPr>
  </w:style>
  <w:style w:type="character" w:styleId="WW8Num1z0" w:customStyle="1">
    <w:name w:val="WW8Num1z0"/>
    <w:qFormat/>
    <w:rPr>
      <w:rFonts w:ascii="Times New Roman" w:hAnsi="Times New Roman" w:eastAsia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  <w:lang w:val="ru-RU"/>
    </w:rPr>
  </w:style>
  <w:style w:type="character" w:styleId="WW8Num1z1" w:customStyle="1">
    <w:name w:val="WW8Num1z1"/>
    <w:qFormat/>
    <w:rPr>
      <w:b/>
      <w:bCs w:val="false"/>
      <w:i w:val="false"/>
      <w:iCs w:val="false"/>
      <w:caps w:val="false"/>
      <w:smallCaps w:val="false"/>
      <w:strike w:val="false"/>
      <w:dstrike w:val="false"/>
      <w:outline w:val="false"/>
      <w:vanish w:val="false"/>
      <w:spacing w:val="0"/>
      <w:kern w:val="0"/>
      <w:position w:val="0"/>
      <w:sz w:val="24"/>
      <w:sz w:val="24"/>
      <w:szCs w:val="24"/>
      <w:u w:val="none"/>
      <w:vertAlign w:val="baseline"/>
      <w:em w:val="none"/>
    </w:rPr>
  </w:style>
  <w:style w:type="character" w:styleId="WW8Num2z0" w:customStyle="1">
    <w:name w:val="WW8Num2z0"/>
    <w:qFormat/>
    <w:rPr>
      <w:rFonts w:ascii="Times New Roman" w:hAnsi="Times New Roman" w:eastAsia="Times New Roman" w:cs="Times New Roman"/>
    </w:rPr>
  </w:style>
  <w:style w:type="character" w:styleId="WW8Num2z1" w:customStyle="1">
    <w:name w:val="WW8Num2z1"/>
    <w:qFormat/>
    <w:rPr>
      <w:rFonts w:ascii="Courier New" w:hAnsi="Courier New" w:eastAsia="Courier New" w:cs="Courier New"/>
    </w:rPr>
  </w:style>
  <w:style w:type="character" w:styleId="WW8Num2z2" w:customStyle="1">
    <w:name w:val="WW8Num2z2"/>
    <w:qFormat/>
    <w:rPr>
      <w:rFonts w:ascii="Wingdings" w:hAnsi="Wingdings" w:eastAsia="Wingdings" w:cs="Wingdings"/>
    </w:rPr>
  </w:style>
  <w:style w:type="character" w:styleId="WW8Num2z3" w:customStyle="1">
    <w:name w:val="WW8Num2z3"/>
    <w:qFormat/>
    <w:rPr>
      <w:rFonts w:ascii="Symbol" w:hAnsi="Symbol" w:eastAsia="Symbol" w:cs="Symbol"/>
    </w:rPr>
  </w:style>
  <w:style w:type="character" w:styleId="WW8Num5z0" w:customStyle="1">
    <w:name w:val="WW8Num5z0"/>
    <w:qFormat/>
    <w:rPr>
      <w:b/>
      <w:bCs w:val="false"/>
      <w:sz w:val="24"/>
      <w:szCs w:val="24"/>
    </w:rPr>
  </w:style>
  <w:style w:type="character" w:styleId="WW8Num5z1" w:customStyle="1">
    <w:name w:val="WW8Num5z1"/>
    <w:qFormat/>
    <w:rPr>
      <w:b/>
      <w:bCs/>
      <w:sz w:val="24"/>
      <w:szCs w:val="24"/>
    </w:rPr>
  </w:style>
  <w:style w:type="character" w:styleId="WW8Num5z2" w:customStyle="1">
    <w:name w:val="WW8Num5z2"/>
    <w:qFormat/>
    <w:rPr>
      <w:b/>
      <w:sz w:val="24"/>
      <w:szCs w:val="24"/>
    </w:rPr>
  </w:style>
  <w:style w:type="character" w:styleId="WW8Num5z3" w:customStyle="1">
    <w:name w:val="WW8Num5z3"/>
    <w:qFormat/>
    <w:rPr>
      <w:b/>
      <w:sz w:val="24"/>
    </w:rPr>
  </w:style>
  <w:style w:type="character" w:styleId="WW8Num6z0" w:customStyle="1">
    <w:name w:val="WW8Num6z0"/>
    <w:qFormat/>
    <w:rPr>
      <w:b w:val="false"/>
      <w:i w:val="false"/>
    </w:rPr>
  </w:style>
  <w:style w:type="character" w:styleId="WW8Num6z1" w:customStyle="1">
    <w:name w:val="WW8Num6z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u w:val="none"/>
      <w:vertAlign w:val="baseline"/>
      <w:em w:val="none"/>
    </w:rPr>
  </w:style>
  <w:style w:type="character" w:styleId="WW8Num7z0" w:customStyle="1">
    <w:name w:val="WW8Num7z0"/>
    <w:qFormat/>
    <w:rPr>
      <w:b/>
      <w:bCs w:val="false"/>
      <w:sz w:val="24"/>
      <w:szCs w:val="24"/>
    </w:rPr>
  </w:style>
  <w:style w:type="character" w:styleId="WW8Num7z1" w:customStyle="1">
    <w:name w:val="WW8Num7z1"/>
    <w:qFormat/>
    <w:rPr>
      <w:b/>
      <w:bCs/>
      <w:sz w:val="24"/>
      <w:szCs w:val="24"/>
    </w:rPr>
  </w:style>
  <w:style w:type="character" w:styleId="WW8Num7z2" w:customStyle="1">
    <w:name w:val="WW8Num7z2"/>
    <w:qFormat/>
    <w:rPr>
      <w:b/>
      <w:sz w:val="24"/>
      <w:szCs w:val="24"/>
    </w:rPr>
  </w:style>
  <w:style w:type="character" w:styleId="WW8Num7z3" w:customStyle="1">
    <w:name w:val="WW8Num7z3"/>
    <w:qFormat/>
    <w:rPr>
      <w:b/>
      <w:sz w:val="24"/>
    </w:rPr>
  </w:style>
  <w:style w:type="character" w:styleId="WW8Num8z4" w:customStyle="1">
    <w:name w:val="WW8Num8z4"/>
    <w:qFormat/>
    <w:rPr>
      <w:rFonts w:ascii="Times New Roman" w:hAnsi="Times New Roman" w:eastAsia="Times New Roman" w:cs="Times New Roman"/>
    </w:rPr>
  </w:style>
  <w:style w:type="character" w:styleId="WW8Num9z0" w:customStyle="1">
    <w:name w:val="WW8Num9z0"/>
    <w:qFormat/>
    <w:rPr>
      <w:rFonts w:ascii="Times New Roman" w:hAnsi="Times New Roman" w:eastAsia="Times New Roman" w:cs="Times New Roman"/>
    </w:rPr>
  </w:style>
  <w:style w:type="character" w:styleId="WW8Num9z1" w:customStyle="1">
    <w:name w:val="WW8Num9z1"/>
    <w:qFormat/>
    <w:rPr>
      <w:rFonts w:ascii="Courier New" w:hAnsi="Courier New" w:eastAsia="Courier New" w:cs="Courier New"/>
    </w:rPr>
  </w:style>
  <w:style w:type="character" w:styleId="WW8Num9z2" w:customStyle="1">
    <w:name w:val="WW8Num9z2"/>
    <w:qFormat/>
    <w:rPr>
      <w:rFonts w:ascii="Wingdings" w:hAnsi="Wingdings" w:eastAsia="Wingdings" w:cs="Wingdings"/>
    </w:rPr>
  </w:style>
  <w:style w:type="character" w:styleId="WW8Num9z3" w:customStyle="1">
    <w:name w:val="WW8Num9z3"/>
    <w:qFormat/>
    <w:rPr>
      <w:rFonts w:ascii="Symbol" w:hAnsi="Symbol" w:eastAsia="Symbol" w:cs="Symbol"/>
    </w:rPr>
  </w:style>
  <w:style w:type="character" w:styleId="WW8Num10z0" w:customStyle="1">
    <w:name w:val="WW8Num10z0"/>
    <w:qFormat/>
    <w:rPr>
      <w:rFonts w:ascii="Symbol" w:hAnsi="Symbol" w:eastAsia="Symbol" w:cs="Symbol"/>
    </w:rPr>
  </w:style>
  <w:style w:type="character" w:styleId="WW8Num10z1" w:customStyle="1">
    <w:name w:val="WW8Num10z1"/>
    <w:qFormat/>
    <w:rPr>
      <w:rFonts w:ascii="Courier New" w:hAnsi="Courier New" w:eastAsia="Courier New" w:cs="Courier New"/>
    </w:rPr>
  </w:style>
  <w:style w:type="character" w:styleId="WW8Num10z2" w:customStyle="1">
    <w:name w:val="WW8Num10z2"/>
    <w:qFormat/>
    <w:rPr>
      <w:rFonts w:ascii="Wingdings" w:hAnsi="Wingdings" w:eastAsia="Wingdings" w:cs="Wingdings"/>
    </w:rPr>
  </w:style>
  <w:style w:type="character" w:styleId="WW8Num10z3" w:customStyle="1">
    <w:name w:val="WW8Num10z3"/>
    <w:qFormat/>
    <w:rPr>
      <w:rFonts w:ascii="Symbol" w:hAnsi="Symbol" w:eastAsia="Symbol" w:cs="Symbol"/>
    </w:rPr>
  </w:style>
  <w:style w:type="character" w:styleId="WW8Num1z2" w:customStyle="1">
    <w:name w:val="WW8Num1z2"/>
    <w:qFormat/>
    <w:rPr>
      <w:rFonts w:ascii="Wingdings" w:hAnsi="Wingdings" w:eastAsia="Wingdings" w:cs="Wingdings"/>
    </w:rPr>
  </w:style>
  <w:style w:type="character" w:styleId="WW8Num1z3" w:customStyle="1">
    <w:name w:val="WW8Num1z3"/>
    <w:qFormat/>
    <w:rPr>
      <w:rFonts w:ascii="Symbol" w:hAnsi="Symbol" w:eastAsia="Symbol" w:cs="Symbol"/>
    </w:rPr>
  </w:style>
  <w:style w:type="character" w:styleId="WW8Num4z0" w:customStyle="1">
    <w:name w:val="WW8Num4z0"/>
    <w:qFormat/>
    <w:rPr>
      <w:b/>
      <w:bCs w:val="false"/>
      <w:sz w:val="24"/>
      <w:szCs w:val="24"/>
    </w:rPr>
  </w:style>
  <w:style w:type="character" w:styleId="WW8Num4z1" w:customStyle="1">
    <w:name w:val="WW8Num4z1"/>
    <w:qFormat/>
    <w:rPr>
      <w:b/>
      <w:bCs/>
      <w:sz w:val="24"/>
      <w:szCs w:val="24"/>
    </w:rPr>
  </w:style>
  <w:style w:type="character" w:styleId="WW8Num4z2" w:customStyle="1">
    <w:name w:val="WW8Num4z2"/>
    <w:qFormat/>
    <w:rPr>
      <w:b/>
      <w:sz w:val="24"/>
      <w:szCs w:val="24"/>
    </w:rPr>
  </w:style>
  <w:style w:type="character" w:styleId="WW8Num4z3" w:customStyle="1">
    <w:name w:val="WW8Num4z3"/>
    <w:qFormat/>
    <w:rPr>
      <w:b/>
      <w:sz w:val="24"/>
    </w:rPr>
  </w:style>
  <w:style w:type="character" w:styleId="WW8Num6z2" w:customStyle="1">
    <w:name w:val="WW8Num6z2"/>
    <w:qFormat/>
    <w:rPr>
      <w:b/>
      <w:sz w:val="24"/>
      <w:szCs w:val="24"/>
    </w:rPr>
  </w:style>
  <w:style w:type="character" w:styleId="WW8Num6z3" w:customStyle="1">
    <w:name w:val="WW8Num6z3"/>
    <w:qFormat/>
    <w:rPr>
      <w:b/>
      <w:sz w:val="24"/>
    </w:rPr>
  </w:style>
  <w:style w:type="character" w:styleId="WW8Num11z0" w:customStyle="1">
    <w:name w:val="WW8Num11z0"/>
    <w:qFormat/>
    <w:rPr>
      <w:rFonts w:ascii="Times New Roman" w:hAnsi="Times New Roman" w:eastAsia="Times New Roman" w:cs="Times New Roman"/>
    </w:rPr>
  </w:style>
  <w:style w:type="character" w:styleId="WW8Num11z1" w:customStyle="1">
    <w:name w:val="WW8Num11z1"/>
    <w:qFormat/>
    <w:rPr>
      <w:rFonts w:ascii="Courier New" w:hAnsi="Courier New" w:eastAsia="Courier New" w:cs="Courier New"/>
    </w:rPr>
  </w:style>
  <w:style w:type="character" w:styleId="WW8Num11z2" w:customStyle="1">
    <w:name w:val="WW8Num11z2"/>
    <w:qFormat/>
    <w:rPr>
      <w:rFonts w:ascii="Wingdings" w:hAnsi="Wingdings" w:eastAsia="Wingdings" w:cs="Wingdings"/>
    </w:rPr>
  </w:style>
  <w:style w:type="character" w:styleId="WW8Num11z3" w:customStyle="1">
    <w:name w:val="WW8Num11z3"/>
    <w:qFormat/>
    <w:rPr>
      <w:rFonts w:ascii="Symbol" w:hAnsi="Symbol" w:eastAsia="Symbol" w:cs="Symbol"/>
    </w:rPr>
  </w:style>
  <w:style w:type="character" w:styleId="1" w:customStyle="1">
    <w:name w:val="Знак сноски1"/>
    <w:qFormat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uiPriority w:val="99"/>
    <w:rPr>
      <w:color w:val="0563C1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1">
    <w:name w:val="Strong1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 w:eastAsia="Cambria" w:cs="Cambria"/>
      <w:i/>
      <w:iCs/>
      <w:color w:val="243F60"/>
    </w:rPr>
  </w:style>
  <w:style w:type="character" w:styleId="7" w:customStyle="1">
    <w:name w:val="Заголовок 7 Знак"/>
    <w:qFormat/>
    <w:rPr>
      <w:rFonts w:ascii="Cambria" w:hAnsi="Cambria" w:eastAsia="Cambria" w:cs="Cambria"/>
      <w:i/>
      <w:iCs/>
      <w:color w:val="404040"/>
    </w:rPr>
  </w:style>
  <w:style w:type="character" w:styleId="8" w:customStyle="1">
    <w:name w:val="Заголовок 8 Знак"/>
    <w:qFormat/>
    <w:rPr>
      <w:rFonts w:ascii="Cambria" w:hAnsi="Cambria" w:eastAsia="Cambria" w:cs="Cambria"/>
      <w:color w:val="4F81BD"/>
    </w:rPr>
  </w:style>
  <w:style w:type="character" w:styleId="11" w:customStyle="1">
    <w:name w:val="Заголовок 1 Знак"/>
    <w:qFormat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Pr>
      <w:rFonts w:eastAsia="Calibri"/>
      <w:b/>
      <w:bCs/>
      <w:iCs/>
      <w:sz w:val="24"/>
      <w:szCs w:val="24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eastAsia="Arial" w:cs="Arial"/>
      <w:sz w:val="22"/>
      <w:szCs w:val="22"/>
    </w:rPr>
  </w:style>
  <w:style w:type="character" w:styleId="Style" w:customStyle="1">
    <w:name w:val="Название Знак"/>
    <w:qFormat/>
    <w:rPr>
      <w:sz w:val="28"/>
    </w:rPr>
  </w:style>
  <w:style w:type="character" w:styleId="Style1" w:customStyle="1">
    <w:name w:val="Подзаголовок Знак"/>
    <w:qFormat/>
    <w:rPr>
      <w:rFonts w:ascii="Cambria" w:hAnsi="Cambria" w:eastAsia="Cambria" w:cs="Cambria"/>
      <w:i/>
      <w:iCs/>
      <w:color w:val="4F81BD"/>
      <w:spacing w:val="15"/>
      <w:sz w:val="24"/>
      <w:szCs w:val="24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qFormat/>
    <w:rPr>
      <w:rFonts w:ascii="Calibri" w:hAnsi="Calibri" w:eastAsia="Calibri" w:cs="Calibri"/>
      <w:i/>
      <w:iCs/>
      <w:color w:val="000000"/>
    </w:rPr>
  </w:style>
  <w:style w:type="character" w:styleId="Style2" w:customStyle="1">
    <w:name w:val="Выделенная цитата Знак"/>
    <w:qFormat/>
    <w:rPr>
      <w:rFonts w:ascii="Calibri" w:hAnsi="Calibri" w:eastAsia="Calibri" w:cs="Calibri"/>
      <w:b/>
      <w:bCs/>
      <w:i/>
      <w:iCs/>
      <w:color w:val="4F81BD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3" w:customStyle="1">
    <w:name w:val="Электронная подпись Знак"/>
    <w:qFormat/>
    <w:rPr>
      <w:rFonts w:eastAsia="Calibri"/>
      <w:sz w:val="24"/>
      <w:szCs w:val="24"/>
    </w:rPr>
  </w:style>
  <w:style w:type="character" w:styleId="12" w:customStyle="1">
    <w:name w:val="Подпункт Знак1"/>
    <w:qFormat/>
    <w:rPr>
      <w:sz w:val="28"/>
    </w:rPr>
  </w:style>
  <w:style w:type="character" w:styleId="Style4" w:customStyle="1">
    <w:name w:val="Текст сноски Знак"/>
    <w:qFormat/>
    <w:rPr/>
  </w:style>
  <w:style w:type="character" w:styleId="Style5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6" w:customStyle="1">
    <w:name w:val="Абзац списка Знак"/>
    <w:qFormat/>
    <w:rPr>
      <w:rFonts w:eastAsia="Calibri"/>
      <w:sz w:val="24"/>
      <w:szCs w:val="24"/>
    </w:rPr>
  </w:style>
  <w:style w:type="character" w:styleId="Style7" w:customStyle="1">
    <w:name w:val="комментарий"/>
    <w:qFormat/>
    <w:rPr>
      <w:b/>
      <w:i/>
      <w:shd w:fill="FFFF99" w:val="clear"/>
    </w:rPr>
  </w:style>
  <w:style w:type="character" w:styleId="Style8" w:customStyle="1">
    <w:name w:val="Подподпункт Знак"/>
    <w:qFormat/>
    <w:rPr>
      <w:sz w:val="26"/>
      <w:szCs w:val="26"/>
    </w:rPr>
  </w:style>
  <w:style w:type="character" w:styleId="31" w:customStyle="1">
    <w:name w:val="УРОВЕНЬ_Абзац_тип3 Знак"/>
    <w:qFormat/>
    <w:rPr>
      <w:rFonts w:eastAsia="Calibri"/>
      <w:sz w:val="26"/>
      <w:szCs w:val="28"/>
    </w:rPr>
  </w:style>
  <w:style w:type="character" w:styleId="Style9" w:customStyle="1">
    <w:name w:val="Верхний колонтитул Знак"/>
    <w:qFormat/>
    <w:rPr>
      <w:sz w:val="24"/>
      <w:szCs w:val="24"/>
    </w:rPr>
  </w:style>
  <w:style w:type="character" w:styleId="Style10" w:customStyle="1">
    <w:name w:val="Текст примечания Знак"/>
    <w:qFormat/>
    <w:rPr/>
  </w:style>
  <w:style w:type="character" w:styleId="Style11" w:customStyle="1">
    <w:name w:val="Текст концевой сноски Знак"/>
    <w:basedOn w:val="DefaultParagraphFont"/>
    <w:qFormat/>
    <w:rPr/>
  </w:style>
  <w:style w:type="character" w:styleId="13" w:customStyle="1">
    <w:name w:val="Знак концевой сноски1"/>
    <w:qFormat/>
    <w:rPr>
      <w:vertAlign w:val="superscript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22" w:customStyle="1">
    <w:name w:val="Пункт2 Знак"/>
    <w:qFormat/>
    <w:rPr>
      <w:b/>
      <w:sz w:val="28"/>
    </w:rPr>
  </w:style>
  <w:style w:type="character" w:styleId="14" w:customStyle="1">
    <w:name w:val="УРОВЕНЬ_1. Знак"/>
    <w:qFormat/>
    <w:rPr>
      <w:rFonts w:eastAsia="Calibri"/>
      <w:caps/>
      <w:sz w:val="28"/>
      <w:szCs w:val="28"/>
    </w:rPr>
  </w:style>
  <w:style w:type="character" w:styleId="15" w:customStyle="1">
    <w:name w:val="Неразрешенное упоминание1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qFormat/>
    <w:rPr>
      <w:sz w:val="16"/>
      <w:szCs w:val="16"/>
    </w:rPr>
  </w:style>
  <w:style w:type="character" w:styleId="16" w:customStyle="1">
    <w:name w:val="Просмотренная гиперссылка1"/>
    <w:qFormat/>
    <w:rPr>
      <w:color w:val="954F72"/>
      <w:u w:val="single"/>
    </w:rPr>
  </w:style>
  <w:style w:type="character" w:styleId="Style12" w:customStyle="1">
    <w:name w:val="Символ сноски"/>
    <w:qFormat/>
    <w:rPr>
      <w:vertAlign w:val="superscript"/>
    </w:rPr>
  </w:style>
  <w:style w:type="character" w:styleId="WW-" w:customStyle="1">
    <w:name w:val="WW-Символ сноски"/>
    <w:qFormat/>
    <w:rPr/>
  </w:style>
  <w:style w:type="character" w:styleId="Style13" w:customStyle="1">
    <w:name w:val="Ссылка указателя"/>
    <w:qFormat/>
    <w:rPr/>
  </w:style>
  <w:style w:type="character" w:styleId="Style14" w:customStyle="1">
    <w:name w:val="Символ концевой сноски"/>
    <w:qFormat/>
    <w:rPr/>
  </w:style>
  <w:style w:type="character" w:styleId="Style15" w:customStyle="1">
    <w:name w:val="Символ нумерации"/>
    <w:qFormat/>
    <w:rPr/>
  </w:style>
  <w:style w:type="character" w:styleId="Style16" w:customStyle="1">
    <w:name w:val="Нижний колонтитул Знак"/>
    <w:qFormat/>
    <w:rPr>
      <w:sz w:val="24"/>
      <w:szCs w:val="28"/>
    </w:rPr>
  </w:style>
  <w:style w:type="character" w:styleId="WW-1" w:customStyle="1">
    <w:name w:val="WW-Символ концевой сноски"/>
    <w:qFormat/>
    <w:rPr/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Текст выноски Знак"/>
    <w:qFormat/>
    <w:rPr>
      <w:rFonts w:ascii="Tahoma" w:hAnsi="Tahoma" w:eastAsia="Tahoma" w:cs="Tahoma"/>
      <w:sz w:val="16"/>
      <w:szCs w:val="16"/>
    </w:rPr>
  </w:style>
  <w:style w:type="character" w:styleId="17" w:customStyle="1">
    <w:name w:val="Основной шрифт абзаца1"/>
    <w:qFormat/>
    <w:rPr/>
  </w:style>
  <w:style w:type="character" w:styleId="WW8Num12z2" w:customStyle="1">
    <w:name w:val="WW8Num12z2"/>
    <w:qFormat/>
    <w:rPr/>
  </w:style>
  <w:style w:type="character" w:styleId="WW8Num12z1" w:customStyle="1">
    <w:name w:val="WW8Num12z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u w:val="none"/>
      <w:vertAlign w:val="baseline"/>
      <w:em w:val="none"/>
    </w:rPr>
  </w:style>
  <w:style w:type="character" w:styleId="WW8Num12z0" w:customStyle="1">
    <w:name w:val="WW8Num12z0"/>
    <w:qFormat/>
    <w:rPr>
      <w:b w:val="false"/>
      <w:i w:val="false"/>
    </w:rPr>
  </w:style>
  <w:style w:type="character" w:styleId="WW8Num8z3" w:customStyle="1">
    <w:name w:val="WW8Num8z3"/>
    <w:qFormat/>
    <w:rPr>
      <w:rFonts w:ascii="Symbol" w:hAnsi="Symbol" w:eastAsia="Symbol" w:cs="Symbol"/>
    </w:rPr>
  </w:style>
  <w:style w:type="character" w:styleId="WW8Num8z2" w:customStyle="1">
    <w:name w:val="WW8Num8z2"/>
    <w:qFormat/>
    <w:rPr/>
  </w:style>
  <w:style w:type="character" w:styleId="WW8Num8z1" w:customStyle="1">
    <w:name w:val="WW8Num8z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u w:val="none"/>
      <w:vertAlign w:val="baseline"/>
      <w:em w:val="none"/>
    </w:rPr>
  </w:style>
  <w:style w:type="character" w:styleId="WW8Num8z0" w:customStyle="1">
    <w:name w:val="WW8Num8z0"/>
    <w:qFormat/>
    <w:rPr>
      <w:b w:val="false"/>
      <w:i w:val="false"/>
    </w:rPr>
  </w:style>
  <w:style w:type="character" w:styleId="WW8Num3z0" w:customStyle="1">
    <w:name w:val="WW8Num3z0"/>
    <w:qFormat/>
    <w:rPr>
      <w:rFonts w:ascii="Times New Roman" w:hAnsi="Times New Roman" w:eastAsia="Calibri" w:cs="Times New Roman"/>
    </w:rPr>
  </w:style>
  <w:style w:type="character" w:styleId="WWCharLFO2LVL1" w:customStyle="1">
    <w:name w:val="WW_CharLFO2LVL1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  <w:lang w:val="ru-RU"/>
    </w:rPr>
  </w:style>
  <w:style w:type="character" w:styleId="WWCharLFO2LVL2" w:customStyle="1">
    <w:name w:val="WW_CharLFO2LVL2"/>
    <w:qFormat/>
    <w:rPr>
      <w:b/>
      <w:bCs w:val="false"/>
      <w:i w:val="false"/>
      <w:iCs w:val="false"/>
      <w:caps w:val="false"/>
      <w:smallCaps w:val="false"/>
      <w:strike w:val="false"/>
      <w:dstrike w:val="false"/>
      <w:outline w:val="false"/>
      <w:vanish w:val="false"/>
      <w:spacing w:val="0"/>
      <w:kern w:val="0"/>
      <w:position w:val="0"/>
      <w:sz w:val="24"/>
      <w:sz w:val="24"/>
      <w:szCs w:val="24"/>
      <w:u w:val="none"/>
      <w:vertAlign w:val="baseline"/>
      <w:em w:val="none"/>
    </w:rPr>
  </w:style>
  <w:style w:type="character" w:styleId="WWCharLFO3LVL1" w:customStyle="1">
    <w:name w:val="WW_CharLFO3LVL1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  <w:lang w:val="ru-RU"/>
    </w:rPr>
  </w:style>
  <w:style w:type="character" w:styleId="WWCharLFO3LVL2" w:customStyle="1">
    <w:name w:val="WW_CharLFO3LVL2"/>
    <w:qFormat/>
    <w:rPr>
      <w:b/>
      <w:bCs w:val="false"/>
      <w:i w:val="false"/>
      <w:iCs w:val="false"/>
      <w:caps w:val="false"/>
      <w:smallCaps w:val="false"/>
      <w:strike w:val="false"/>
      <w:dstrike w:val="false"/>
      <w:outline w:val="false"/>
      <w:vanish w:val="false"/>
      <w:spacing w:val="0"/>
      <w:kern w:val="0"/>
      <w:position w:val="0"/>
      <w:sz w:val="24"/>
      <w:sz w:val="24"/>
      <w:szCs w:val="24"/>
      <w:u w:val="none"/>
      <w:vertAlign w:val="baseline"/>
      <w:em w:val="none"/>
    </w:rPr>
  </w:style>
  <w:style w:type="character" w:styleId="WWCharLFO4LVL1" w:customStyle="1">
    <w:name w:val="WW_CharLFO4LVL1"/>
    <w:qFormat/>
    <w:rPr>
      <w:rFonts w:ascii="Times New Roman" w:hAnsi="Times New Roman" w:cs="Times New Roman"/>
    </w:rPr>
  </w:style>
  <w:style w:type="character" w:styleId="WWCharLFO4LVL2" w:customStyle="1">
    <w:name w:val="WW_CharLFO4LVL2"/>
    <w:qFormat/>
    <w:rPr>
      <w:rFonts w:ascii="Courier New" w:hAnsi="Courier New" w:cs="Courier New"/>
    </w:rPr>
  </w:style>
  <w:style w:type="character" w:styleId="WWCharLFO4LVL3" w:customStyle="1">
    <w:name w:val="WW_CharLFO4LVL3"/>
    <w:qFormat/>
    <w:rPr>
      <w:rFonts w:ascii="Wingdings" w:hAnsi="Wingdings" w:cs="Wingdings"/>
    </w:rPr>
  </w:style>
  <w:style w:type="character" w:styleId="WWCharLFO4LVL4" w:customStyle="1">
    <w:name w:val="WW_CharLFO4LVL4"/>
    <w:qFormat/>
    <w:rPr>
      <w:rFonts w:ascii="Symbol" w:hAnsi="Symbol" w:cs="Symbol"/>
    </w:rPr>
  </w:style>
  <w:style w:type="character" w:styleId="WWCharLFO4LVL5" w:customStyle="1">
    <w:name w:val="WW_CharLFO4LVL5"/>
    <w:qFormat/>
    <w:rPr>
      <w:rFonts w:ascii="Courier New" w:hAnsi="Courier New" w:cs="Courier New"/>
    </w:rPr>
  </w:style>
  <w:style w:type="character" w:styleId="WWCharLFO4LVL6" w:customStyle="1">
    <w:name w:val="WW_CharLFO4LVL6"/>
    <w:qFormat/>
    <w:rPr>
      <w:rFonts w:ascii="Wingdings" w:hAnsi="Wingdings" w:cs="Wingdings"/>
    </w:rPr>
  </w:style>
  <w:style w:type="character" w:styleId="WWCharLFO4LVL7" w:customStyle="1">
    <w:name w:val="WW_CharLFO4LVL7"/>
    <w:qFormat/>
    <w:rPr>
      <w:rFonts w:ascii="Symbol" w:hAnsi="Symbol" w:cs="Symbol"/>
    </w:rPr>
  </w:style>
  <w:style w:type="character" w:styleId="WWCharLFO4LVL8" w:customStyle="1">
    <w:name w:val="WW_CharLFO4LVL8"/>
    <w:qFormat/>
    <w:rPr>
      <w:rFonts w:ascii="Courier New" w:hAnsi="Courier New" w:cs="Courier New"/>
    </w:rPr>
  </w:style>
  <w:style w:type="character" w:styleId="WWCharLFO4LVL9" w:customStyle="1">
    <w:name w:val="WW_CharLFO4LVL9"/>
    <w:qFormat/>
    <w:rPr>
      <w:rFonts w:ascii="Wingdings" w:hAnsi="Wingdings" w:cs="Wingdings"/>
    </w:rPr>
  </w:style>
  <w:style w:type="character" w:styleId="WWCharLFO7LVL1" w:customStyle="1">
    <w:name w:val="WW_CharLFO7LVL1"/>
    <w:qFormat/>
    <w:rPr>
      <w:b/>
      <w:bCs w:val="false"/>
      <w:sz w:val="24"/>
      <w:szCs w:val="24"/>
    </w:rPr>
  </w:style>
  <w:style w:type="character" w:styleId="WWCharLFO7LVL2" w:customStyle="1">
    <w:name w:val="WW_CharLFO7LVL2"/>
    <w:qFormat/>
    <w:rPr>
      <w:b/>
      <w:bCs/>
      <w:sz w:val="24"/>
      <w:szCs w:val="24"/>
    </w:rPr>
  </w:style>
  <w:style w:type="character" w:styleId="WWCharLFO7LVL3" w:customStyle="1">
    <w:name w:val="WW_CharLFO7LVL3"/>
    <w:qFormat/>
    <w:rPr>
      <w:b/>
      <w:sz w:val="24"/>
      <w:szCs w:val="24"/>
    </w:rPr>
  </w:style>
  <w:style w:type="character" w:styleId="WWCharLFO7LVL4" w:customStyle="1">
    <w:name w:val="WW_CharLFO7LVL4"/>
    <w:qFormat/>
    <w:rPr>
      <w:b/>
      <w:sz w:val="24"/>
    </w:rPr>
  </w:style>
  <w:style w:type="character" w:styleId="WWCharLFO8LVL1" w:customStyle="1">
    <w:name w:val="WW_CharLFO8LVL1"/>
    <w:qFormat/>
    <w:rPr>
      <w:b w:val="false"/>
      <w:i w:val="false"/>
    </w:rPr>
  </w:style>
  <w:style w:type="character" w:styleId="WWCharLFO8LVL2" w:customStyle="1">
    <w:name w:val="WW_CharLFO8LVL2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u w:val="none"/>
      <w:vertAlign w:val="baseline"/>
      <w:em w:val="none"/>
    </w:rPr>
  </w:style>
  <w:style w:type="character" w:styleId="WWCharLFO9LVL1" w:customStyle="1">
    <w:name w:val="WW_CharLFO9LVL1"/>
    <w:qFormat/>
    <w:rPr>
      <w:b/>
      <w:bCs w:val="false"/>
      <w:sz w:val="24"/>
      <w:szCs w:val="24"/>
    </w:rPr>
  </w:style>
  <w:style w:type="character" w:styleId="WWCharLFO9LVL2" w:customStyle="1">
    <w:name w:val="WW_CharLFO9LVL2"/>
    <w:qFormat/>
    <w:rPr>
      <w:b/>
      <w:bCs/>
      <w:sz w:val="24"/>
      <w:szCs w:val="24"/>
    </w:rPr>
  </w:style>
  <w:style w:type="character" w:styleId="WWCharLFO9LVL3" w:customStyle="1">
    <w:name w:val="WW_CharLFO9LVL3"/>
    <w:qFormat/>
    <w:rPr>
      <w:b/>
      <w:sz w:val="24"/>
      <w:szCs w:val="24"/>
    </w:rPr>
  </w:style>
  <w:style w:type="character" w:styleId="WWCharLFO9LVL4" w:customStyle="1">
    <w:name w:val="WW_CharLFO9LVL4"/>
    <w:qFormat/>
    <w:rPr>
      <w:b/>
      <w:sz w:val="24"/>
    </w:rPr>
  </w:style>
  <w:style w:type="character" w:styleId="WWCharLFO10LVL5" w:customStyle="1">
    <w:name w:val="WW_CharLFO10LVL5"/>
    <w:qFormat/>
    <w:rPr>
      <w:rFonts w:ascii="Times New Roman" w:hAnsi="Times New Roman" w:cs="Times New Roman"/>
    </w:rPr>
  </w:style>
  <w:style w:type="character" w:styleId="WWCharLFO11LVL1" w:customStyle="1">
    <w:name w:val="WW_CharLFO11LVL1"/>
    <w:qFormat/>
    <w:rPr>
      <w:rFonts w:ascii="Times New Roman" w:hAnsi="Times New Roman" w:cs="Times New Roman"/>
    </w:rPr>
  </w:style>
  <w:style w:type="character" w:styleId="WWCharLFO11LVL2" w:customStyle="1">
    <w:name w:val="WW_CharLFO11LVL2"/>
    <w:qFormat/>
    <w:rPr>
      <w:rFonts w:ascii="Courier New" w:hAnsi="Courier New" w:cs="Courier New"/>
    </w:rPr>
  </w:style>
  <w:style w:type="character" w:styleId="WWCharLFO11LVL3" w:customStyle="1">
    <w:name w:val="WW_CharLFO11LVL3"/>
    <w:qFormat/>
    <w:rPr>
      <w:rFonts w:ascii="Wingdings" w:hAnsi="Wingdings" w:cs="Wingdings"/>
    </w:rPr>
  </w:style>
  <w:style w:type="character" w:styleId="WWCharLFO11LVL4" w:customStyle="1">
    <w:name w:val="WW_CharLFO11LVL4"/>
    <w:qFormat/>
    <w:rPr>
      <w:rFonts w:ascii="Symbol" w:hAnsi="Symbol" w:cs="Symbol"/>
    </w:rPr>
  </w:style>
  <w:style w:type="character" w:styleId="WWCharLFO11LVL5" w:customStyle="1">
    <w:name w:val="WW_CharLFO11LVL5"/>
    <w:qFormat/>
    <w:rPr>
      <w:rFonts w:ascii="Courier New" w:hAnsi="Courier New" w:cs="Courier New"/>
    </w:rPr>
  </w:style>
  <w:style w:type="character" w:styleId="WWCharLFO11LVL6" w:customStyle="1">
    <w:name w:val="WW_CharLFO11LVL6"/>
    <w:qFormat/>
    <w:rPr>
      <w:rFonts w:ascii="Wingdings" w:hAnsi="Wingdings" w:cs="Wingdings"/>
    </w:rPr>
  </w:style>
  <w:style w:type="character" w:styleId="WWCharLFO11LVL7" w:customStyle="1">
    <w:name w:val="WW_CharLFO11LVL7"/>
    <w:qFormat/>
    <w:rPr>
      <w:rFonts w:ascii="Symbol" w:hAnsi="Symbol" w:cs="Symbol"/>
    </w:rPr>
  </w:style>
  <w:style w:type="character" w:styleId="WWCharLFO11LVL8" w:customStyle="1">
    <w:name w:val="WW_CharLFO11LVL8"/>
    <w:qFormat/>
    <w:rPr>
      <w:rFonts w:ascii="Courier New" w:hAnsi="Courier New" w:cs="Courier New"/>
    </w:rPr>
  </w:style>
  <w:style w:type="character" w:styleId="WWCharLFO11LVL9" w:customStyle="1">
    <w:name w:val="WW_CharLFO11LVL9"/>
    <w:qFormat/>
    <w:rPr>
      <w:rFonts w:ascii="Wingdings" w:hAnsi="Wingdings" w:cs="Wingdings"/>
    </w:rPr>
  </w:style>
  <w:style w:type="character" w:styleId="WWCharOUTLINELVL1" w:customStyle="1">
    <w:name w:val="WW_CharOUTLINELVL1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  <w:lang w:val="ru-RU"/>
    </w:rPr>
  </w:style>
  <w:style w:type="character" w:styleId="WWCharOUTLINELVL2" w:customStyle="1">
    <w:name w:val="WW_CharOUTLINELVL2"/>
    <w:qFormat/>
    <w:rPr>
      <w:b/>
      <w:bCs w:val="false"/>
      <w:i w:val="false"/>
      <w:iCs w:val="false"/>
      <w:caps w:val="false"/>
      <w:smallCaps w:val="false"/>
      <w:strike w:val="false"/>
      <w:dstrike w:val="false"/>
      <w:outline w:val="false"/>
      <w:vanish w:val="false"/>
      <w:spacing w:val="0"/>
      <w:kern w:val="0"/>
      <w:position w:val="0"/>
      <w:sz w:val="24"/>
      <w:sz w:val="24"/>
      <w:szCs w:val="24"/>
      <w:u w:val="none"/>
      <w:vertAlign w:val="baseline"/>
      <w:em w:val="none"/>
    </w:rPr>
  </w:style>
  <w:style w:type="character" w:styleId="18" w:customStyle="1">
    <w:name w:val="Символ сноски1"/>
    <w:qFormat/>
    <w:rPr/>
  </w:style>
  <w:style w:type="character" w:styleId="Strong">
    <w:name w:val="Strong"/>
    <w:qFormat/>
    <w:rPr>
      <w:b/>
      <w:bCs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/>
      <w:sz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</w:rPr>
  </w:style>
  <w:style w:type="paragraph" w:styleId="Indexheading111" w:customStyle="1">
    <w:name w:val="index heading111"/>
    <w:basedOn w:val="Title"/>
    <w:qFormat/>
    <w:pPr>
      <w:suppressLineNumbers/>
    </w:pPr>
    <w:rPr>
      <w:b/>
      <w:bCs/>
      <w:sz w:val="32"/>
      <w:szCs w:val="32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" w:customStyle="1">
    <w:name w:val="Caption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" w:customStyle="1">
    <w:name w:val="Caption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" w:customStyle="1">
    <w:name w:val="Caption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" w:customStyle="1">
    <w:name w:val="Caption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" w:customStyle="1">
    <w:name w:val="Caption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" w:customStyle="1">
    <w:name w:val="Caption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" w:customStyle="1">
    <w:name w:val="Caption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" w:customStyle="1">
    <w:name w:val="Caption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" w:customStyle="1">
    <w:name w:val="Caption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" w:customStyle="1">
    <w:name w:val="Caption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" w:customStyle="1">
    <w:name w:val="Caption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" w:customStyle="1">
    <w:name w:val="Caption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" w:customStyle="1">
    <w:name w:val="Caption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" w:customStyle="1">
    <w:name w:val="Caption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" w:customStyle="1">
    <w:name w:val="Caption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1" w:customStyle="1">
    <w:name w:val="Caption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11" w:customStyle="1">
    <w:name w:val="Caption1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111" w:customStyle="1">
    <w:name w:val="Caption11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1111" w:customStyle="1">
    <w:name w:val="Caption111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11111" w:customStyle="1">
    <w:name w:val="Caption1111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111111111111" w:customStyle="1">
    <w:name w:val="caption11111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11111111111111111111111111111" w:customStyle="1">
    <w:name w:val="caption1111111111111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11111111111111111111111111111" w:customStyle="1">
    <w:name w:val="caption11111111111111111111111111111111111"/>
    <w:basedOn w:val="Normal"/>
    <w:qFormat/>
    <w:pPr>
      <w:suppressLineNumbers/>
      <w:spacing w:before="120" w:after="120"/>
    </w:pPr>
    <w:rPr>
      <w:rFonts w:cs="Mangal;Courier New"/>
      <w:i/>
      <w:iCs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11111111111111111111111111111" w:customStyle="1">
    <w:name w:val="caption1111111111111111111111111111111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Style20" w:customStyle="1">
    <w:name w:val="Название раздела инструкции"/>
    <w:basedOn w:val="Normal"/>
    <w:qFormat/>
    <w:pPr>
      <w:jc w:val="center"/>
    </w:pPr>
    <w:rPr>
      <w:b/>
    </w:rPr>
  </w:style>
  <w:style w:type="paragraph" w:styleId="Style21" w:customStyle="1">
    <w:name w:val="Раздел положения"/>
    <w:basedOn w:val="Normal"/>
    <w:qFormat/>
    <w:p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qFormat/>
    <w:pPr>
      <w:numPr>
        <w:ilvl w:val="0"/>
        <w:numId w:val="3"/>
      </w:numPr>
      <w:spacing w:before="80" w:after="80"/>
    </w:pPr>
    <w:rPr/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19" w:customStyle="1">
    <w:name w:val="Шапка 1"/>
    <w:basedOn w:val="Normal"/>
    <w:qFormat/>
    <w:pPr>
      <w:pBdr>
        <w:bottom w:val="double" w:sz="12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double" w:sz="12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double" w:sz="12" w:space="1" w:color="000000"/>
      </w:pBdr>
      <w:spacing w:before="240" w:after="360"/>
      <w:jc w:val="center"/>
    </w:pPr>
    <w:rPr>
      <w:b/>
    </w:rPr>
  </w:style>
  <w:style w:type="paragraph" w:styleId="110" w:customStyle="1">
    <w:name w:val="Название1"/>
    <w:basedOn w:val="Normal"/>
    <w:qFormat/>
    <w:pPr>
      <w:jc w:val="center"/>
    </w:pPr>
    <w:rPr>
      <w:szCs w:val="20"/>
    </w:rPr>
  </w:style>
  <w:style w:type="paragraph" w:styleId="Style23" w:customStyle="1">
    <w:name w:val="Колонтитул"/>
    <w:basedOn w:val="Normal"/>
    <w:qFormat/>
    <w:pPr/>
    <w:rPr/>
  </w:style>
  <w:style w:type="paragraph" w:styleId="Header">
    <w:name w:val="Header"/>
    <w:basedOn w:val="Normal"/>
    <w:pPr/>
    <w:rPr/>
  </w:style>
  <w:style w:type="paragraph" w:styleId="BodyTextIndent">
    <w:name w:val="Body Text Indent"/>
    <w:basedOn w:val="Normal"/>
    <w:pPr>
      <w:ind w:hanging="0" w:left="360"/>
    </w:pPr>
    <w:rPr/>
  </w:style>
  <w:style w:type="paragraph" w:styleId="Footer">
    <w:name w:val="Footer"/>
    <w:basedOn w:val="Normal"/>
    <w:pPr/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Cs w:val="20"/>
    </w:rPr>
  </w:style>
  <w:style w:type="paragraph" w:styleId="Style24" w:customStyle="1">
    <w:name w:val="Подпункт"/>
    <w:basedOn w:val="Normal"/>
    <w:qFormat/>
    <w:pPr>
      <w:snapToGrid w:val="false"/>
      <w:spacing w:lineRule="auto" w:line="360"/>
      <w:ind w:hanging="1134" w:left="1134"/>
    </w:pPr>
    <w:rPr>
      <w:szCs w:val="20"/>
    </w:rPr>
  </w:style>
  <w:style w:type="paragraph" w:styleId="24" w:customStyle="1">
    <w:name w:val="Пункт2"/>
    <w:basedOn w:val="Normal"/>
    <w:qFormat/>
    <w:pPr>
      <w:keepNext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uiPriority w:val="39"/>
    <w:pPr>
      <w:spacing w:before="120" w:after="0"/>
    </w:pPr>
    <w:rPr>
      <w:rFonts w:cs="Calibri Light (Заголовки)"/>
      <w:b/>
      <w:bCs/>
    </w:rPr>
  </w:style>
  <w:style w:type="paragraph" w:styleId="TOC3">
    <w:name w:val="TOC 3"/>
    <w:basedOn w:val="Normal"/>
    <w:next w:val="Normal"/>
    <w:uiPriority w:val="39"/>
    <w:pPr>
      <w:ind w:hanging="0" w:left="280"/>
    </w:pPr>
    <w:rPr>
      <w:rFonts w:cs="Calibri"/>
      <w:sz w:val="20"/>
      <w:szCs w:val="20"/>
    </w:rPr>
  </w:style>
  <w:style w:type="paragraph" w:styleId="Style25" w:customStyle="1">
    <w:name w:val="Раздел регламента"/>
    <w:basedOn w:val="Normal"/>
    <w:qFormat/>
    <w:pPr/>
    <w:rPr/>
  </w:style>
  <w:style w:type="paragraph" w:styleId="Style26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uiPriority w:val="39"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eastAsia="Tahoma" w:cs="Tahoma"/>
      <w:sz w:val="16"/>
      <w:szCs w:val="16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11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/>
    </w:rPr>
  </w:style>
  <w:style w:type="paragraph" w:styleId="TOC9">
    <w:name w:val="TOC 9"/>
    <w:basedOn w:val="Normal"/>
    <w:next w:val="Normal"/>
    <w:pPr>
      <w:ind w:hanging="0" w:left="1960"/>
    </w:pPr>
    <w:rPr>
      <w:rFonts w:ascii="Calibri" w:hAnsi="Calibri" w:eastAsia="Calibri" w:cs="Calibri"/>
      <w:sz w:val="20"/>
      <w:szCs w:val="20"/>
    </w:rPr>
  </w:style>
  <w:style w:type="paragraph" w:styleId="TOC5">
    <w:name w:val="TOC 5"/>
    <w:basedOn w:val="Normal"/>
    <w:next w:val="Normal"/>
    <w:pPr>
      <w:ind w:hanging="0" w:left="840"/>
    </w:pPr>
    <w:rPr>
      <w:rFonts w:ascii="Calibri" w:hAnsi="Calibri" w:eastAsia="Calibri" w:cs="Calibri"/>
      <w:sz w:val="20"/>
      <w:szCs w:val="20"/>
    </w:rPr>
  </w:style>
  <w:style w:type="paragraph" w:styleId="TOC4">
    <w:name w:val="TOC 4"/>
    <w:basedOn w:val="Normal"/>
    <w:next w:val="Normal"/>
    <w:pPr>
      <w:ind w:hanging="0" w:left="560"/>
    </w:pPr>
    <w:rPr>
      <w:rFonts w:cs="Calibr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pPr>
      <w:spacing w:lineRule="exact" w:line="240" w:before="0" w:after="160"/>
    </w:pPr>
    <w:rPr>
      <w:rFonts w:ascii="Verdana" w:hAnsi="Verdana" w:eastAsia="Verdana" w:cs="Verdana"/>
      <w:sz w:val="22"/>
      <w:szCs w:val="22"/>
      <w:lang w:val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</w:rPr>
  </w:style>
  <w:style w:type="paragraph" w:styleId="Subtitle">
    <w:name w:val="Subtitle"/>
    <w:basedOn w:val="Normal"/>
    <w:next w:val="Normal"/>
    <w:qFormat/>
    <w:pPr>
      <w:ind w:firstLine="709" w:left="1066"/>
    </w:pPr>
    <w:rPr>
      <w:rFonts w:ascii="Cambria" w:hAnsi="Cambria" w:eastAsia="Cambria" w:cs="Cambria"/>
      <w:i/>
      <w:iCs/>
      <w:color w:val="4F81BD"/>
      <w:spacing w:val="15"/>
    </w:rPr>
  </w:style>
  <w:style w:type="paragraph" w:styleId="ListParagraph">
    <w:name w:val="List Paragraph"/>
    <w:basedOn w:val="Normal"/>
    <w:qFormat/>
    <w:pPr>
      <w:ind w:hanging="0" w:left="720"/>
    </w:pPr>
    <w:rPr>
      <w:rFonts w:eastAsia="Calibri"/>
    </w:rPr>
  </w:style>
  <w:style w:type="paragraph" w:styleId="Quote">
    <w:name w:val="Quote"/>
    <w:basedOn w:val="Normal"/>
    <w:next w:val="Normal"/>
    <w:qFormat/>
    <w:pPr/>
    <w:rPr>
      <w:rFonts w:ascii="Calibri" w:hAnsi="Calibri" w:eastAsia="Calibri" w:cs="Calibri"/>
      <w:i/>
      <w:iCs/>
      <w:sz w:val="20"/>
      <w:szCs w:val="20"/>
    </w:rPr>
  </w:style>
  <w:style w:type="paragraph" w:styleId="IntenseQuote">
    <w:name w:val="Intense Quote"/>
    <w:basedOn w:val="Normal"/>
    <w:next w:val="Normal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 w:cs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qFormat/>
    <w:pPr>
      <w:keepLines/>
      <w:numPr>
        <w:ilvl w:val="0"/>
        <w:numId w:val="0"/>
      </w:numPr>
      <w:spacing w:before="480" w:after="0"/>
    </w:pPr>
    <w:rPr>
      <w:rFonts w:ascii="Cambria" w:hAnsi="Cambria" w:eastAsia="Cambria" w:cs="Cambria"/>
      <w:bCs/>
      <w:color w:val="365F91"/>
    </w:rPr>
  </w:style>
  <w:style w:type="paragraph" w:styleId="E-mailSignature">
    <w:name w:val="E-mail Signature"/>
    <w:basedOn w:val="Normal"/>
    <w:qFormat/>
    <w:pPr/>
    <w:rPr>
      <w:rFonts w:eastAsia="Calibri"/>
    </w:rPr>
  </w:style>
  <w:style w:type="paragraph" w:styleId="Style28" w:customStyle="1">
    <w:name w:val="Знак"/>
    <w:basedOn w:val="Normal"/>
    <w:qFormat/>
    <w:pPr>
      <w:spacing w:lineRule="exact" w:line="240" w:before="0" w:after="160"/>
    </w:pPr>
    <w:rPr>
      <w:rFonts w:ascii="Verdana" w:hAnsi="Verdana" w:eastAsia="Verdana" w:cs="Verdana"/>
      <w:sz w:val="20"/>
      <w:szCs w:val="20"/>
      <w:lang w:val="en-US"/>
    </w:rPr>
  </w:style>
  <w:style w:type="paragraph" w:styleId="34" w:customStyle="1">
    <w:name w:val="Нумерованный список ур3"/>
    <w:basedOn w:val="Normal"/>
    <w:qFormat/>
    <w:pPr/>
    <w:rPr>
      <w:rFonts w:ascii="Garamond" w:hAnsi="Garamond" w:eastAsia="Garamond" w:cs="Garamond"/>
      <w:szCs w:val="20"/>
    </w:rPr>
  </w:style>
  <w:style w:type="paragraph" w:styleId="311" w:customStyle="1">
    <w:name w:val="Список 31"/>
    <w:basedOn w:val="Normal"/>
    <w:qFormat/>
    <w:pPr>
      <w:spacing w:before="120" w:after="0"/>
    </w:pPr>
    <w:rPr>
      <w:rFonts w:ascii="Garamond" w:hAnsi="Garamond" w:eastAsia="Garamond" w:cs="Garamond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0"/>
        <w:numId w:val="2"/>
      </w:numPr>
      <w:spacing w:before="120" w:after="0"/>
    </w:pPr>
    <w:rPr>
      <w:rFonts w:ascii="Garamond" w:hAnsi="Garamond" w:eastAsia="Garamond" w:cs="Garamond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Calibri" w:cs="Times New Roman"/>
      <w:color w:val="000000"/>
      <w:kern w:val="2"/>
      <w:sz w:val="24"/>
      <w:szCs w:val="24"/>
      <w:lang w:val="ru-RU" w:eastAsia="zh-CN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  <w:textAlignment w:val="baseline"/>
    </w:pPr>
    <w:rPr>
      <w:rFonts w:ascii="Arial" w:hAnsi="Arial" w:eastAsia="Times New Roman" w:cs="Arial"/>
      <w:color w:val="000000"/>
      <w:kern w:val="2"/>
      <w:sz w:val="20"/>
      <w:szCs w:val="20"/>
      <w:lang w:val="ru-RU" w:eastAsia="zh-CN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</w:pPr>
    <w:rPr>
      <w:rFonts w:ascii="Verdana" w:hAnsi="Verdana" w:eastAsia="Verdana" w:cs="Verdana"/>
      <w:sz w:val="22"/>
      <w:szCs w:val="22"/>
      <w:lang w:val="en-US"/>
    </w:rPr>
  </w:style>
  <w:style w:type="paragraph" w:styleId="Style29" w:customStyle="1">
    <w:name w:val="Пункт"/>
    <w:basedOn w:val="Normal"/>
    <w:qFormat/>
    <w:pPr>
      <w:spacing w:lineRule="auto" w:line="360" w:before="120" w:after="0"/>
      <w:ind w:hanging="1134" w:left="1134" w:right="800"/>
    </w:pPr>
    <w:rPr>
      <w:rFonts w:ascii="Arial" w:hAnsi="Arial" w:eastAsia="Arial" w:cs="Arial"/>
      <w:b/>
      <w:i/>
      <w:szCs w:val="20"/>
    </w:rPr>
  </w:style>
  <w:style w:type="paragraph" w:styleId="112" w:customStyle="1">
    <w:name w:val="Абзац списка1"/>
    <w:basedOn w:val="Normal"/>
    <w:qFormat/>
    <w:pPr>
      <w:spacing w:lineRule="auto" w:line="276" w:before="0" w:after="200"/>
      <w:ind w:hanging="0" w:left="720"/>
    </w:pPr>
    <w:rPr>
      <w:rFonts w:ascii="Calibri" w:hAnsi="Calibri" w:eastAsia="Calibri" w:cs="Calibri"/>
      <w:sz w:val="22"/>
      <w:szCs w:val="22"/>
    </w:rPr>
  </w:style>
  <w:style w:type="paragraph" w:styleId="Style30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</w:rPr>
  </w:style>
  <w:style w:type="paragraph" w:styleId="Style31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2" w:customStyle="1">
    <w:name w:val="Подподпункт"/>
    <w:basedOn w:val="Style24"/>
    <w:qFormat/>
    <w:pPr>
      <w:snapToGrid w:val="true"/>
      <w:spacing w:lineRule="auto" w:line="240" w:before="120" w:after="0"/>
      <w:ind w:hanging="567" w:left="5104"/>
    </w:pPr>
    <w:rPr>
      <w:sz w:val="26"/>
      <w:szCs w:val="26"/>
    </w:rPr>
  </w:style>
  <w:style w:type="paragraph" w:styleId="Style33" w:customStyle="1">
    <w:name w:val="УРОВЕНЬ_(а)"/>
    <w:basedOn w:val="ListParagraph"/>
    <w:qFormat/>
    <w:pPr>
      <w:spacing w:lineRule="exact" w:line="360" w:before="120" w:after="0"/>
      <w:outlineLvl w:val="3"/>
    </w:pPr>
    <w:rPr>
      <w:sz w:val="26"/>
    </w:rPr>
  </w:style>
  <w:style w:type="paragraph" w:styleId="-" w:customStyle="1">
    <w:name w:val="УРОВЕНЬ_-"/>
    <w:basedOn w:val="ListParagraph"/>
    <w:qFormat/>
    <w:pPr>
      <w:spacing w:lineRule="exact" w:line="360" w:before="120" w:after="0"/>
      <w:outlineLvl w:val="4"/>
    </w:pPr>
    <w:rPr>
      <w:sz w:val="26"/>
    </w:rPr>
  </w:style>
  <w:style w:type="paragraph" w:styleId="27" w:customStyle="1">
    <w:name w:val="УРОВЕНЬ_Абзац_тип2"/>
    <w:basedOn w:val="ListParagraph"/>
    <w:qFormat/>
    <w:pPr>
      <w:spacing w:lineRule="exact" w:line="360" w:before="120" w:after="0"/>
    </w:pPr>
    <w:rPr>
      <w:sz w:val="26"/>
    </w:rPr>
  </w:style>
  <w:style w:type="paragraph" w:styleId="36" w:customStyle="1">
    <w:name w:val="УРОВЕНЬ_Абзац_тип3"/>
    <w:basedOn w:val="ListParagraph"/>
    <w:qFormat/>
    <w:pPr>
      <w:spacing w:lineRule="exact" w:line="360" w:before="120" w:after="0"/>
    </w:pPr>
    <w:rPr>
      <w:sz w:val="26"/>
    </w:rPr>
  </w:style>
  <w:style w:type="paragraph" w:styleId="Style34" w:customStyle="1">
    <w:name w:val="УРОВЕНЬ_Подпись"/>
    <w:basedOn w:val="ListParagraph"/>
    <w:qFormat/>
    <w:pPr>
      <w:keepNext w:val="true"/>
      <w:numPr>
        <w:ilvl w:val="0"/>
        <w:numId w:val="8"/>
      </w:numPr>
      <w:spacing w:lineRule="exact" w:line="360" w:before="120" w:after="120"/>
      <w:jc w:val="right"/>
      <w:outlineLvl w:val="3"/>
    </w:pPr>
    <w:rPr>
      <w:sz w:val="26"/>
    </w:rPr>
  </w:style>
  <w:style w:type="paragraph" w:styleId="113" w:customStyle="1">
    <w:name w:val="Стиль Заголовок 1 + по ширине"/>
    <w:basedOn w:val="Heading1"/>
    <w:qFormat/>
    <w:pPr>
      <w:keepLines/>
      <w:numPr>
        <w:ilvl w:val="0"/>
        <w:numId w:val="0"/>
      </w:numPr>
      <w:spacing w:before="480" w:after="240"/>
      <w:ind w:hanging="567" w:left="567"/>
    </w:pPr>
    <w:rPr>
      <w:rFonts w:ascii="Arial" w:hAnsi="Arial" w:eastAsia="Times New Roman" w:cs="Arial"/>
      <w:bCs/>
      <w:sz w:val="40"/>
      <w:szCs w:val="20"/>
    </w:rPr>
  </w:style>
  <w:style w:type="paragraph" w:styleId="EndnoteText">
    <w:name w:val="Endnote Text"/>
    <w:basedOn w:val="Normal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4"/>
      </w:numPr>
      <w:spacing w:before="120" w:after="120"/>
      <w:outlineLvl w:val="0"/>
    </w:pPr>
    <w:rPr>
      <w:b/>
      <w:szCs w:val="20"/>
    </w:rPr>
  </w:style>
  <w:style w:type="paragraph" w:styleId="Style35" w:customStyle="1">
    <w:name w:val="Таблица текст"/>
    <w:basedOn w:val="Normal"/>
    <w:qFormat/>
    <w:pPr>
      <w:spacing w:before="40" w:after="40"/>
      <w:ind w:hanging="0" w:left="57" w:right="57"/>
    </w:pPr>
    <w:rPr>
      <w:szCs w:val="26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114" w:customStyle="1">
    <w:name w:val="УРОВЕНЬ_1."/>
    <w:basedOn w:val="ListParagraph"/>
    <w:qFormat/>
    <w:pPr>
      <w:keepNext w:val="true"/>
      <w:keepLines/>
      <w:spacing w:lineRule="auto" w:line="276" w:before="240" w:after="120"/>
      <w:outlineLvl w:val="0"/>
    </w:pPr>
    <w:rPr>
      <w:caps/>
      <w:sz w:val="28"/>
    </w:rPr>
  </w:style>
  <w:style w:type="paragraph" w:styleId="TOC6">
    <w:name w:val="TOC 6"/>
    <w:basedOn w:val="Normal"/>
    <w:next w:val="Normal"/>
    <w:pPr>
      <w:ind w:hanging="0" w:left="1120"/>
    </w:pPr>
    <w:rPr>
      <w:rFonts w:ascii="Calibri" w:hAnsi="Calibri" w:eastAsia="Calibri" w:cs="Calibri"/>
      <w:sz w:val="20"/>
      <w:szCs w:val="20"/>
    </w:rPr>
  </w:style>
  <w:style w:type="paragraph" w:styleId="TOC7">
    <w:name w:val="TOC 7"/>
    <w:basedOn w:val="Normal"/>
    <w:next w:val="Normal"/>
    <w:pPr>
      <w:ind w:hanging="0" w:left="1400"/>
    </w:pPr>
    <w:rPr>
      <w:rFonts w:ascii="Calibri" w:hAnsi="Calibri" w:eastAsia="Calibri" w:cs="Calibri"/>
      <w:sz w:val="20"/>
      <w:szCs w:val="20"/>
    </w:rPr>
  </w:style>
  <w:style w:type="paragraph" w:styleId="TOC8">
    <w:name w:val="TOC 8"/>
    <w:basedOn w:val="Normal"/>
    <w:next w:val="Normal"/>
    <w:pPr>
      <w:ind w:hanging="0" w:left="1680"/>
    </w:pPr>
    <w:rPr>
      <w:rFonts w:ascii="Calibri" w:hAnsi="Calibri" w:eastAsia="Calibri" w:cs="Calibri"/>
      <w:sz w:val="20"/>
      <w:szCs w:val="20"/>
    </w:rPr>
  </w:style>
  <w:style w:type="paragraph" w:styleId="312" w:customStyle="1">
    <w:name w:val="Основной текст с отступом 31"/>
    <w:basedOn w:val="Normal"/>
    <w:qFormat/>
    <w:pPr>
      <w:spacing w:before="0" w:after="120"/>
      <w:ind w:hanging="0" w:left="283"/>
    </w:pPr>
    <w:rPr>
      <w:color w:val="00000A"/>
      <w:sz w:val="16"/>
      <w:szCs w:val="16"/>
    </w:rPr>
  </w:style>
  <w:style w:type="paragraph" w:styleId="37" w:customStyle="1">
    <w:name w:val="Абзац списка3"/>
    <w:basedOn w:val="Normal"/>
    <w:qFormat/>
    <w:pPr>
      <w:ind w:hanging="0" w:left="720"/>
    </w:pPr>
    <w:rPr>
      <w:rFonts w:eastAsia="Calibri"/>
      <w:color w:val="00000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ru-RU" w:eastAsia="zh-CN" w:bidi="ar-SA"/>
    </w:rPr>
  </w:style>
  <w:style w:type="paragraph" w:styleId="Style36" w:customStyle="1">
    <w:name w:val="Содержимое врезки"/>
    <w:basedOn w:val="Normal"/>
    <w:qFormat/>
    <w:pPr/>
    <w:rPr/>
  </w:style>
  <w:style w:type="paragraph" w:styleId="Style37" w:customStyle="1">
    <w:name w:val="Содержимое таблицы"/>
    <w:basedOn w:val="Normal"/>
    <w:qFormat/>
    <w:pPr>
      <w:suppressLineNumbers/>
    </w:pPr>
    <w:rPr/>
  </w:style>
  <w:style w:type="paragraph" w:styleId="Style38" w:customStyle="1">
    <w:name w:val="Заголовок таблицы"/>
    <w:basedOn w:val="Style37"/>
    <w:qFormat/>
    <w:pPr>
      <w:jc w:val="center"/>
    </w:pPr>
    <w:rPr>
      <w:b/>
      <w:bCs/>
    </w:rPr>
  </w:style>
  <w:style w:type="paragraph" w:styleId="Style39" w:customStyle="1">
    <w:name w:val="РГ_номер текста табл"/>
    <w:basedOn w:val="ListParagraph"/>
    <w:qFormat/>
    <w:pPr>
      <w:ind w:hanging="0" w:left="0"/>
    </w:pPr>
    <w:rPr>
      <w:rFonts w:ascii="Calibri" w:hAnsi="Calibri" w:cs="Calibri"/>
    </w:rPr>
  </w:style>
  <w:style w:type="paragraph" w:styleId="115" w:customStyle="1">
    <w:name w:val="1.1. таблица"/>
    <w:basedOn w:val="Style39"/>
    <w:qFormat/>
    <w:pPr>
      <w:numPr>
        <w:ilvl w:val="0"/>
        <w:numId w:val="6"/>
      </w:numPr>
    </w:pPr>
    <w:rPr/>
  </w:style>
  <w:style w:type="paragraph" w:styleId="116" w:customStyle="1">
    <w:name w:val="Указатель1"/>
    <w:basedOn w:val="Normal"/>
    <w:qFormat/>
    <w:pPr>
      <w:suppressLineNumbers/>
    </w:pPr>
    <w:rPr/>
  </w:style>
  <w:style w:type="paragraph" w:styleId="117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/>
      <w:sz w:val="28"/>
    </w:rPr>
  </w:style>
  <w:style w:type="paragraph" w:styleId="Style40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WWOutlineListStyle" w:customStyle="1">
    <w:name w:val="WW_OutlineListStyle"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numbering" w:styleId="WW8Num9" w:customStyle="1">
    <w:name w:val="WW8Num9"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1885</TotalTime>
  <Application>AlterOffice/2026.2.0.0$Linux_X86_64 LibreOffice_project/bc4ef1adf80b36c7a6365f8ed6cbf29021361edd</Application>
  <AppVersion>15.0000</AppVersion>
  <Pages>10</Pages>
  <Words>1890</Words>
  <Characters>13031</Characters>
  <CharactersWithSpaces>14831</CharactersWithSpaces>
  <Paragraphs>245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2024-12-24T09:03:00Z</dcterms:created>
  <dc:creator>Быстров Олег Геннадьевич</dc:creator>
  <dc:description/>
  <dc:language>ru-RU</dc:language>
  <cp:lastModifiedBy>koltcovami@corp.gidroogk.com</cp:lastModifiedBy>
  <cp:lastPrinted>2026-03-27T10:33:00Z</cp:lastPrinted>
  <dcterms:modified xsi:type="dcterms:W3CDTF">2026-09-17T10:21:27Z</dcterms:modified>
  <cp:revision>280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