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header3.xml" ContentType="application/vnd.openxmlformats-officedocument.wordprocessingml.header+xml"/>
  <Override PartName="/word/footer1.xml" ContentType="application/vnd.openxmlformats-officedocument.wordprocessingml.footer+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2.xml" ContentType="application/vnd.openxmlformats-officedocument.wordprocessingml.footer+xml"/>
  <Override PartName="/word/header4.xml" ContentType="application/vnd.openxmlformats-officedocument.wordprocessingml.header+xml"/>
  <Override PartName="/word/styles.xml" ContentType="application/vnd.openxmlformats-officedocument.wordprocessingml.style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9"/>
        <w:shd w:val="clear" w:color="auto" w:fill="auto"/>
        <w:spacing w:lineRule="auto" w:line="240"/>
        <w:ind w:left="9020"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auto" w:line="240"/>
        <w:ind w:left="5069" w:right="40" w:hanging="0"/>
        <w:rPr>
          <w:sz w:val="24"/>
          <w:szCs w:val="24"/>
        </w:rPr>
      </w:pPr>
      <w:r>
        <w:rPr>
          <w:sz w:val="24"/>
          <w:szCs w:val="24"/>
        </w:rPr>
      </w:r>
    </w:p>
    <w:p>
      <w:pPr>
        <w:pStyle w:val="19"/>
        <w:shd w:val="clear" w:color="auto" w:fill="auto"/>
        <w:spacing w:lineRule="exact" w:line="331" w:before="0" w:after="263"/>
        <w:ind w:left="60" w:hanging="0"/>
        <w:jc w:val="center"/>
        <w:rPr>
          <w:b/>
        </w:rPr>
      </w:pPr>
      <w:r>
        <w:rPr>
          <w:b/>
        </w:rPr>
        <w:t xml:space="preserve">ТЕХНИЧЕСКИЕ ТРЕБОВАНИЯ </w:t>
      </w:r>
    </w:p>
    <w:p>
      <w:pPr>
        <w:pStyle w:val="Normal"/>
        <w:bidi w:val="0"/>
        <w:jc w:val="center"/>
        <w:rPr>
          <w:color w:val="000000"/>
          <w:sz w:val="28"/>
          <w:szCs w:val="28"/>
        </w:rPr>
      </w:pPr>
      <w:r>
        <w:rPr>
          <w:b w:val="false"/>
          <w:i w:val="false"/>
          <w:strike w:val="false"/>
          <w:dstrike w:val="false"/>
          <w:outline w:val="false"/>
          <w:shadow w:val="false"/>
          <w:color w:val="000000"/>
          <w:sz w:val="28"/>
          <w:szCs w:val="28"/>
          <w:u w:val="none"/>
          <w:em w:val="none"/>
        </w:rPr>
        <w:t>ОКПД2 49.39.13.000 Оказание услуг по перевозке сотрудников производственного участка АО "Гидроремонт-ВКК" в г. Новосибирск</w:t>
      </w:r>
    </w:p>
    <w:p>
      <w:pPr>
        <w:pStyle w:val="Normal"/>
        <w:shd w:val="clear" w:color="auto" w:fill="auto"/>
        <w:spacing w:lineRule="exact" w:line="331"/>
        <w:ind w:left="60" w:hanging="0"/>
        <w:jc w:val="center"/>
        <w:rPr>
          <w:color w:val="000000"/>
          <w:sz w:val="28"/>
          <w:szCs w:val="28"/>
        </w:rPr>
      </w:pPr>
      <w:r>
        <w:rPr>
          <w:color w:val="000000"/>
          <w:sz w:val="28"/>
          <w:szCs w:val="28"/>
        </w:rPr>
      </w:r>
    </w:p>
    <w:p>
      <w:pPr>
        <w:pStyle w:val="19"/>
        <w:shd w:val="clear" w:color="auto" w:fill="auto"/>
        <w:spacing w:lineRule="exact" w:line="331" w:before="0" w:after="263"/>
        <w:ind w:left="60" w:hanging="0"/>
        <w:jc w:val="center"/>
        <w:rPr>
          <w:color w:val="000000"/>
          <w:sz w:val="28"/>
          <w:szCs w:val="28"/>
        </w:rPr>
      </w:pPr>
      <w:r>
        <w:rPr>
          <w:color w:val="000000"/>
          <w:sz w:val="28"/>
          <w:szCs w:val="28"/>
        </w:rPr>
        <w:t xml:space="preserve">Лот № </w:t>
      </w:r>
      <w:r>
        <w:rPr>
          <w:color w:val="000000"/>
          <w:sz w:val="28"/>
          <w:szCs w:val="28"/>
        </w:rPr>
        <w:t xml:space="preserve"> </w:t>
      </w:r>
      <w:r>
        <w:rPr>
          <w:b w:val="false"/>
          <w:i w:val="false"/>
          <w:strike w:val="false"/>
          <w:dstrike w:val="false"/>
          <w:outline w:val="false"/>
          <w:shadow w:val="false"/>
          <w:color w:val="000000"/>
          <w:sz w:val="28"/>
          <w:szCs w:val="28"/>
          <w:u w:val="none"/>
          <w:em w:val="none"/>
        </w:rPr>
        <w:t>0216-</w:t>
      </w:r>
      <w:r>
        <w:rPr>
          <w:b w:val="false"/>
          <w:i w:val="false"/>
          <w:strike w:val="false"/>
          <w:dstrike w:val="false"/>
          <w:outline w:val="false"/>
          <w:shadow w:val="false"/>
          <w:color w:val="000000"/>
          <w:sz w:val="28"/>
          <w:szCs w:val="28"/>
          <w:u w:val="none"/>
          <w:em w:val="none"/>
        </w:rPr>
        <w:t xml:space="preserve">АХР ДОР-2026-ГРВКК-СШФ </w:t>
      </w:r>
    </w:p>
    <w:p>
      <w:pPr>
        <w:pStyle w:val="Normal"/>
        <w:shd w:val="clear" w:color="auto" w:fill="auto"/>
        <w:spacing w:lineRule="exact" w:line="331" w:before="0" w:after="263"/>
        <w:ind w:left="60" w:hanging="0"/>
        <w:jc w:val="center"/>
        <w:rPr>
          <w:color w:val="FF0000"/>
        </w:rPr>
      </w:pPr>
      <w:r>
        <w:rPr/>
      </w:r>
    </w:p>
    <w:p>
      <w:pPr>
        <w:pStyle w:val="Normal"/>
        <w:rPr>
          <w:sz w:val="26"/>
          <w:szCs w:val="26"/>
        </w:rPr>
      </w:pPr>
      <w:r>
        <w:rPr>
          <w:sz w:val="26"/>
          <w:szCs w:val="26"/>
        </w:rPr>
      </w:r>
      <w:r>
        <w:br w:type="page"/>
      </w:r>
    </w:p>
    <w:p>
      <w:pPr>
        <w:pStyle w:val="Normal"/>
        <w:jc w:val="center"/>
        <w:rPr>
          <w:b/>
        </w:rPr>
      </w:pPr>
      <w:r>
        <w:rPr>
          <w:b/>
        </w:rPr>
        <w:t>СОДЕРЖАНИЕ</w:t>
      </w:r>
    </w:p>
    <w:sdt>
      <w:sdtPr>
        <w:docPartObj>
          <w:docPartGallery w:val="Table of Contents"/>
          <w:docPartUnique w:val="true"/>
        </w:docPartObj>
      </w:sdtPr>
      <w:sdtContent>
        <w:p>
          <w:pPr>
            <w:pStyle w:val="TOC1"/>
            <w:tabs>
              <w:tab w:val="clear" w:pos="708"/>
              <w:tab w:val="left" w:pos="560" w:leader="none"/>
              <w:tab w:val="right" w:pos="9911" w:leader="dot"/>
            </w:tabs>
            <w:rPr>
              <w:rFonts w:ascii="Calibri" w:hAnsi="Calibri" w:eastAsia="新細明體" w:cs="Arial" w:asciiTheme="minorHAnsi" w:cstheme="minorBidi" w:eastAsiaTheme="minorEastAsia" w:hAnsiTheme="minorHAnsi"/>
              <w:b w:val="false"/>
              <w:bCs w:val="false"/>
            </w:rPr>
          </w:pPr>
          <w:r>
            <w:fldChar w:fldCharType="begin"/>
          </w:r>
          <w:r>
            <w:rPr>
              <w:webHidden/>
              <w:rStyle w:val="Style16"/>
            </w:rPr>
            <w:instrText xml:space="preserve"> TOC \z \o "1-4" \u \h</w:instrText>
          </w:r>
          <w:r>
            <w:rPr>
              <w:webHidden/>
              <w:rStyle w:val="Style16"/>
            </w:rPr>
            <w:fldChar w:fldCharType="separate"/>
          </w:r>
          <w:hyperlink w:anchor="_Toc54643694">
            <w:r>
              <w:rPr>
                <w:webHidden/>
                <w:rStyle w:val="Style16"/>
              </w:rPr>
              <w:t>1.</w:t>
            </w:r>
            <w:r>
              <w:rPr>
                <w:rStyle w:val="Style16"/>
                <w:rFonts w:eastAsia="新細明體" w:cs="Arial" w:ascii="Calibri" w:hAnsi="Calibri" w:asciiTheme="minorHAnsi" w:cstheme="minorBidi" w:eastAsiaTheme="minorEastAsia" w:hAnsiTheme="minorHAnsi"/>
                <w:b w:val="false"/>
                <w:bCs w:val="false"/>
              </w:rPr>
              <w:tab/>
            </w:r>
            <w:r>
              <w:rPr>
                <w:rStyle w:val="Style16"/>
              </w:rPr>
              <w:t>Общие сведения</w:t>
            </w:r>
            <w:r>
              <w:rPr>
                <w:webHidden/>
              </w:rPr>
              <w:fldChar w:fldCharType="begin"/>
            </w:r>
            <w:r>
              <w:rPr>
                <w:webHidden/>
              </w:rPr>
              <w:instrText xml:space="preserve">PAGEREF _Toc54643694 \h</w:instrText>
            </w:r>
            <w:r>
              <w:rPr>
                <w:webHidden/>
              </w:rPr>
              <w:fldChar w:fldCharType="separate"/>
            </w:r>
            <w:r>
              <w:rPr>
                <w:rStyle w:val="Style16"/>
                <w:vanish w:val="false"/>
              </w:rPr>
              <w:tab/>
              <w:t>3</w:t>
            </w:r>
            <w:r>
              <w:rPr>
                <w:webHidden/>
              </w:rPr>
              <w:fldChar w:fldCharType="end"/>
            </w:r>
          </w:hyperlink>
        </w:p>
        <w:p>
          <w:pPr>
            <w:pStyle w:val="TOC4"/>
            <w:rPr>
              <w:rFonts w:ascii="Calibri" w:hAnsi="Calibri" w:eastAsia="新細明體" w:cs="Arial" w:asciiTheme="minorHAnsi" w:cstheme="minorBidi" w:eastAsiaTheme="minorEastAsia" w:hAnsiTheme="minorHAnsi"/>
              <w:sz w:val="24"/>
              <w:szCs w:val="24"/>
            </w:rPr>
          </w:pPr>
          <w:hyperlink w:anchor="_Toc54643695">
            <w:r>
              <w:rPr>
                <w:webHidden/>
                <w:rStyle w:val="Style16"/>
                <w:iCs/>
                <w:sz w:val="24"/>
                <w:szCs w:val="24"/>
              </w:rPr>
              <w:t>1.1.</w:t>
            </w:r>
            <w:r>
              <w:rPr>
                <w:rStyle w:val="Style16"/>
                <w:rFonts w:eastAsia="新細明體" w:cs="Arial" w:ascii="Calibri" w:hAnsi="Calibri" w:asciiTheme="minorHAnsi" w:cstheme="minorBidi" w:eastAsiaTheme="minorEastAsia" w:hAnsiTheme="minorHAnsi"/>
                <w:sz w:val="24"/>
                <w:szCs w:val="24"/>
              </w:rPr>
              <w:tab/>
            </w:r>
            <w:r>
              <w:rPr>
                <w:rStyle w:val="Style16"/>
                <w:sz w:val="24"/>
                <w:szCs w:val="24"/>
              </w:rPr>
              <w:t>Обозначения и сокращения…………………………………………………………….</w:t>
            </w:r>
            <w:r>
              <w:rPr>
                <w:webHidden/>
              </w:rPr>
              <w:fldChar w:fldCharType="begin"/>
            </w:r>
            <w:r>
              <w:rPr>
                <w:webHidden/>
              </w:rPr>
              <w:instrText xml:space="preserve">PAGEREF _Toc54643695 \h</w:instrText>
            </w:r>
            <w:r>
              <w:rPr>
                <w:webHidden/>
              </w:rPr>
              <w:fldChar w:fldCharType="separate"/>
            </w:r>
            <w:r>
              <w:rPr>
                <w:rStyle w:val="Style16"/>
                <w:vanish w:val="false"/>
                <w:sz w:val="24"/>
                <w:szCs w:val="24"/>
              </w:rPr>
              <w:tab/>
              <w:t>3</w:t>
            </w:r>
            <w:r>
              <w:rPr>
                <w:webHidden/>
              </w:rPr>
              <w:fldChar w:fldCharType="end"/>
            </w:r>
          </w:hyperlink>
        </w:p>
        <w:p>
          <w:pPr>
            <w:pStyle w:val="TOC4"/>
            <w:rPr>
              <w:rFonts w:ascii="Calibri" w:hAnsi="Calibri" w:eastAsia="新細明體" w:cs="Arial" w:asciiTheme="minorHAnsi" w:cstheme="minorBidi" w:eastAsiaTheme="minorEastAsia" w:hAnsiTheme="minorHAnsi"/>
              <w:sz w:val="24"/>
              <w:szCs w:val="24"/>
            </w:rPr>
          </w:pPr>
          <w:hyperlink w:anchor="_Toc54643696">
            <w:r>
              <w:rPr>
                <w:webHidden/>
                <w:rStyle w:val="Style16"/>
                <w:iCs/>
                <w:sz w:val="24"/>
                <w:szCs w:val="24"/>
              </w:rPr>
              <w:t>1.2.</w:t>
            </w:r>
            <w:r>
              <w:rPr>
                <w:rStyle w:val="Style16"/>
                <w:rFonts w:eastAsia="新細明體" w:cs="Arial" w:ascii="Calibri" w:hAnsi="Calibri" w:asciiTheme="minorHAnsi" w:cstheme="minorBidi" w:eastAsiaTheme="minorEastAsia" w:hAnsiTheme="minorHAnsi"/>
                <w:sz w:val="24"/>
                <w:szCs w:val="24"/>
              </w:rPr>
              <w:tab/>
            </w:r>
            <w:r>
              <w:rPr>
                <w:rStyle w:val="Style16"/>
                <w:sz w:val="24"/>
                <w:szCs w:val="24"/>
              </w:rPr>
              <w:t>Наименование закупаемой продукции………………………………………………..</w:t>
            </w:r>
            <w:r>
              <w:rPr>
                <w:webHidden/>
              </w:rPr>
              <w:fldChar w:fldCharType="begin"/>
            </w:r>
            <w:r>
              <w:rPr>
                <w:webHidden/>
              </w:rPr>
              <w:instrText xml:space="preserve">PAGEREF _Toc54643696 \h</w:instrText>
            </w:r>
            <w:r>
              <w:rPr>
                <w:webHidden/>
              </w:rPr>
              <w:fldChar w:fldCharType="separate"/>
            </w:r>
            <w:r>
              <w:rPr>
                <w:rStyle w:val="Style16"/>
                <w:vanish w:val="false"/>
                <w:sz w:val="24"/>
                <w:szCs w:val="24"/>
              </w:rPr>
              <w:tab/>
              <w:t>4</w:t>
            </w:r>
            <w:r>
              <w:rPr>
                <w:webHidden/>
              </w:rPr>
              <w:fldChar w:fldCharType="end"/>
            </w:r>
          </w:hyperlink>
        </w:p>
        <w:p>
          <w:pPr>
            <w:pStyle w:val="TOC4"/>
            <w:rPr>
              <w:rFonts w:ascii="Calibri" w:hAnsi="Calibri" w:eastAsia="新細明體" w:cs="Arial" w:asciiTheme="minorHAnsi" w:cstheme="minorBidi" w:eastAsiaTheme="minorEastAsia" w:hAnsiTheme="minorHAnsi"/>
              <w:sz w:val="24"/>
              <w:szCs w:val="24"/>
            </w:rPr>
          </w:pPr>
          <w:hyperlink w:anchor="_Toc54643697">
            <w:r>
              <w:rPr>
                <w:webHidden/>
                <w:rStyle w:val="Style16"/>
                <w:iCs/>
                <w:sz w:val="24"/>
                <w:szCs w:val="24"/>
              </w:rPr>
              <w:t>1.3.</w:t>
            </w:r>
            <w:r>
              <w:rPr>
                <w:rStyle w:val="Style16"/>
                <w:rFonts w:eastAsia="新細明體" w:cs="Arial" w:ascii="Calibri" w:hAnsi="Calibri" w:asciiTheme="minorHAnsi" w:cstheme="minorBidi" w:eastAsiaTheme="minorEastAsia" w:hAnsiTheme="minorHAnsi"/>
                <w:sz w:val="24"/>
                <w:szCs w:val="24"/>
              </w:rPr>
              <w:tab/>
            </w:r>
            <w:r>
              <w:rPr>
                <w:rStyle w:val="Style16"/>
                <w:sz w:val="24"/>
                <w:szCs w:val="24"/>
              </w:rPr>
              <w:t>Цель оказания услуг……………………………………………………………………</w:t>
            </w:r>
            <w:r>
              <w:rPr>
                <w:webHidden/>
              </w:rPr>
              <w:fldChar w:fldCharType="begin"/>
            </w:r>
            <w:r>
              <w:rPr>
                <w:webHidden/>
              </w:rPr>
              <w:instrText xml:space="preserve">PAGEREF _Toc54643697 \h</w:instrText>
            </w:r>
            <w:r>
              <w:rPr>
                <w:webHidden/>
              </w:rPr>
              <w:fldChar w:fldCharType="separate"/>
            </w:r>
            <w:r>
              <w:rPr>
                <w:rStyle w:val="Style16"/>
                <w:vanish w:val="false"/>
                <w:sz w:val="24"/>
                <w:szCs w:val="24"/>
              </w:rPr>
              <w:tab/>
              <w:t>4</w:t>
            </w:r>
            <w:r>
              <w:rPr>
                <w:webHidden/>
              </w:rPr>
              <w:fldChar w:fldCharType="end"/>
            </w:r>
          </w:hyperlink>
        </w:p>
        <w:p>
          <w:pPr>
            <w:pStyle w:val="TOC4"/>
            <w:rPr>
              <w:rFonts w:ascii="Calibri" w:hAnsi="Calibri" w:eastAsia="新細明體" w:cs="Arial" w:asciiTheme="minorHAnsi" w:cstheme="minorBidi" w:eastAsiaTheme="minorEastAsia" w:hAnsiTheme="minorHAnsi"/>
              <w:sz w:val="24"/>
              <w:szCs w:val="24"/>
            </w:rPr>
          </w:pPr>
          <w:hyperlink w:anchor="_Toc54643698">
            <w:r>
              <w:rPr>
                <w:webHidden/>
                <w:rStyle w:val="Style16"/>
                <w:iCs/>
                <w:sz w:val="24"/>
                <w:szCs w:val="24"/>
              </w:rPr>
              <w:t>1.4.</w:t>
            </w:r>
            <w:r>
              <w:rPr>
                <w:rStyle w:val="Style16"/>
                <w:rFonts w:eastAsia="新細明體" w:cs="Arial" w:ascii="Calibri" w:hAnsi="Calibri" w:asciiTheme="minorHAnsi" w:cstheme="minorBidi" w:eastAsiaTheme="minorEastAsia" w:hAnsiTheme="minorHAnsi"/>
                <w:sz w:val="24"/>
                <w:szCs w:val="24"/>
              </w:rPr>
              <w:tab/>
            </w:r>
            <w:r>
              <w:rPr>
                <w:rStyle w:val="Style16"/>
                <w:sz w:val="24"/>
                <w:szCs w:val="24"/>
              </w:rPr>
              <w:t>Существующее положение ……………………………………………………………</w:t>
            </w:r>
            <w:r>
              <w:rPr>
                <w:webHidden/>
              </w:rPr>
              <w:fldChar w:fldCharType="begin"/>
            </w:r>
            <w:r>
              <w:rPr>
                <w:webHidden/>
              </w:rPr>
              <w:instrText xml:space="preserve">PAGEREF _Toc54643698 \h</w:instrText>
            </w:r>
            <w:r>
              <w:rPr>
                <w:webHidden/>
              </w:rPr>
              <w:fldChar w:fldCharType="separate"/>
            </w:r>
            <w:r>
              <w:rPr>
                <w:rStyle w:val="Style16"/>
                <w:vanish w:val="false"/>
                <w:sz w:val="24"/>
                <w:szCs w:val="24"/>
              </w:rPr>
              <w:tab/>
              <w:t>4</w:t>
            </w:r>
            <w:r>
              <w:rPr>
                <w:webHidden/>
              </w:rPr>
              <w:fldChar w:fldCharType="end"/>
            </w:r>
          </w:hyperlink>
        </w:p>
        <w:p>
          <w:pPr>
            <w:pStyle w:val="TOC1"/>
            <w:tabs>
              <w:tab w:val="clear" w:pos="708"/>
              <w:tab w:val="right" w:pos="9911" w:leader="dot"/>
            </w:tabs>
            <w:rPr>
              <w:rFonts w:ascii="Calibri" w:hAnsi="Calibri" w:eastAsia="新細明體" w:cs="Arial" w:asciiTheme="minorHAnsi" w:cstheme="minorBidi" w:eastAsiaTheme="minorEastAsia" w:hAnsiTheme="minorHAnsi"/>
              <w:b w:val="false"/>
              <w:bCs w:val="false"/>
            </w:rPr>
          </w:pPr>
          <w:hyperlink w:anchor="_Toc54643699">
            <w:r>
              <w:rPr>
                <w:webHidden/>
                <w:rStyle w:val="Style16"/>
              </w:rPr>
              <w:t>Таблица 1. Перечень объектов заказчика</w:t>
            </w:r>
            <w:r>
              <w:rPr>
                <w:rStyle w:val="Style16"/>
                <w:vanish w:val="false"/>
              </w:rPr>
              <w:tab/>
            </w:r>
          </w:hyperlink>
          <w:r>
            <w:rPr/>
            <w:t>4</w:t>
          </w:r>
        </w:p>
        <w:p>
          <w:pPr>
            <w:pStyle w:val="TOC4"/>
            <w:rPr>
              <w:rFonts w:ascii="Calibri" w:hAnsi="Calibri" w:eastAsia="新細明體" w:cs="Arial" w:asciiTheme="minorHAnsi" w:cstheme="minorBidi" w:eastAsiaTheme="minorEastAsia" w:hAnsiTheme="minorHAnsi"/>
              <w:sz w:val="24"/>
              <w:szCs w:val="24"/>
            </w:rPr>
          </w:pPr>
          <w:hyperlink w:anchor="_Toc54643700">
            <w:r>
              <w:rPr>
                <w:webHidden/>
                <w:rStyle w:val="Style16"/>
                <w:iCs/>
                <w:sz w:val="24"/>
                <w:szCs w:val="24"/>
              </w:rPr>
              <w:t>1.5.</w:t>
            </w:r>
            <w:r>
              <w:rPr>
                <w:rStyle w:val="Style16"/>
                <w:rFonts w:eastAsia="新細明體" w:cs="Arial" w:ascii="Calibri" w:hAnsi="Calibri" w:asciiTheme="minorHAnsi" w:cstheme="minorBidi" w:eastAsiaTheme="minorEastAsia" w:hAnsiTheme="minorHAnsi"/>
                <w:sz w:val="24"/>
                <w:szCs w:val="24"/>
              </w:rPr>
              <w:tab/>
            </w:r>
            <w:r>
              <w:rPr>
                <w:rStyle w:val="Style16"/>
                <w:sz w:val="24"/>
                <w:szCs w:val="24"/>
              </w:rPr>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r>
              <w:rPr>
                <w:rStyle w:val="Style16"/>
                <w:vanish w:val="false"/>
                <w:sz w:val="24"/>
                <w:szCs w:val="24"/>
              </w:rPr>
              <w:tab/>
            </w:r>
          </w:hyperlink>
          <w:r>
            <w:rPr>
              <w:sz w:val="24"/>
              <w:szCs w:val="24"/>
            </w:rPr>
            <w:t>4</w:t>
          </w:r>
        </w:p>
        <w:p>
          <w:pPr>
            <w:pStyle w:val="TOC4"/>
            <w:rPr>
              <w:rFonts w:ascii="Calibri" w:hAnsi="Calibri" w:eastAsia="新細明體" w:cs="Arial" w:asciiTheme="minorHAnsi" w:cstheme="minorBidi" w:eastAsiaTheme="minorEastAsia" w:hAnsiTheme="minorHAnsi"/>
              <w:sz w:val="24"/>
              <w:szCs w:val="24"/>
            </w:rPr>
          </w:pPr>
          <w:hyperlink w:anchor="_Toc54643701">
            <w:r>
              <w:rPr>
                <w:webHidden/>
                <w:rStyle w:val="Style16"/>
                <w:iCs/>
                <w:sz w:val="24"/>
                <w:szCs w:val="24"/>
              </w:rPr>
              <w:t>1.6.</w:t>
            </w:r>
            <w:r>
              <w:rPr>
                <w:rStyle w:val="Style16"/>
                <w:rFonts w:eastAsia="新細明體" w:cs="Arial" w:ascii="Calibri" w:hAnsi="Calibri" w:asciiTheme="minorHAnsi" w:cstheme="minorBidi" w:eastAsiaTheme="minorEastAsia" w:hAnsiTheme="minorHAnsi"/>
                <w:sz w:val="24"/>
                <w:szCs w:val="24"/>
              </w:rPr>
              <w:tab/>
            </w:r>
            <w:r>
              <w:rPr>
                <w:rStyle w:val="Style16"/>
                <w:sz w:val="24"/>
                <w:szCs w:val="24"/>
              </w:rPr>
              <w:t>Иные требования и сведения общего характера……………………………………...</w:t>
            </w:r>
            <w:r>
              <w:rPr>
                <w:rStyle w:val="Style16"/>
                <w:vanish w:val="false"/>
                <w:sz w:val="24"/>
                <w:szCs w:val="24"/>
              </w:rPr>
              <w:tab/>
            </w:r>
          </w:hyperlink>
          <w:r>
            <w:rPr>
              <w:sz w:val="24"/>
              <w:szCs w:val="24"/>
            </w:rPr>
            <w:t>6</w:t>
          </w:r>
        </w:p>
        <w:p>
          <w:pPr>
            <w:pStyle w:val="TOC1"/>
            <w:tabs>
              <w:tab w:val="clear" w:pos="708"/>
              <w:tab w:val="left" w:pos="560" w:leader="none"/>
              <w:tab w:val="right" w:pos="9911" w:leader="dot"/>
            </w:tabs>
            <w:rPr>
              <w:rFonts w:ascii="Calibri" w:hAnsi="Calibri" w:eastAsia="新細明體" w:cs="Arial" w:asciiTheme="minorHAnsi" w:cstheme="minorBidi" w:eastAsiaTheme="minorEastAsia" w:hAnsiTheme="minorHAnsi"/>
              <w:b w:val="false"/>
              <w:bCs w:val="false"/>
            </w:rPr>
          </w:pPr>
          <w:hyperlink w:anchor="_Toc54643702">
            <w:r>
              <w:rPr>
                <w:webHidden/>
                <w:rStyle w:val="Style16"/>
              </w:rPr>
              <w:t>2.</w:t>
            </w:r>
            <w:r>
              <w:rPr>
                <w:rStyle w:val="Style16"/>
                <w:rFonts w:eastAsia="新細明體" w:cs="Arial" w:ascii="Calibri" w:hAnsi="Calibri" w:asciiTheme="minorHAnsi" w:cstheme="minorBidi" w:eastAsiaTheme="minorEastAsia" w:hAnsiTheme="minorHAnsi"/>
                <w:b w:val="false"/>
                <w:bCs w:val="false"/>
              </w:rPr>
              <w:tab/>
            </w:r>
            <w:r>
              <w:rPr>
                <w:rStyle w:val="Style16"/>
                <w:iCs/>
              </w:rPr>
              <w:t>Требования к продукции</w:t>
            </w:r>
            <w:r>
              <w:rPr>
                <w:rStyle w:val="Style16"/>
                <w:vanish w:val="false"/>
              </w:rPr>
              <w:tab/>
            </w:r>
          </w:hyperlink>
          <w:r>
            <w:rPr/>
            <w:t>6</w:t>
          </w:r>
        </w:p>
        <w:p>
          <w:pPr>
            <w:pStyle w:val="TOC4"/>
            <w:rPr>
              <w:rFonts w:ascii="Calibri" w:hAnsi="Calibri" w:eastAsia="新細明體" w:cs="Arial" w:asciiTheme="minorHAnsi" w:cstheme="minorBidi" w:eastAsiaTheme="minorEastAsia" w:hAnsiTheme="minorHAnsi"/>
              <w:sz w:val="24"/>
              <w:szCs w:val="24"/>
            </w:rPr>
          </w:pPr>
          <w:hyperlink w:anchor="_Toc54643703">
            <w:r>
              <w:rPr>
                <w:webHidden/>
                <w:rStyle w:val="Style16"/>
                <w:iCs/>
                <w:sz w:val="24"/>
                <w:szCs w:val="24"/>
              </w:rPr>
              <w:t>2.1.</w:t>
            </w:r>
            <w:r>
              <w:rPr>
                <w:rStyle w:val="Style16"/>
                <w:rFonts w:eastAsia="新細明體" w:cs="Arial" w:ascii="Calibri" w:hAnsi="Calibri" w:asciiTheme="minorHAnsi" w:cstheme="minorBidi" w:eastAsiaTheme="minorEastAsia" w:hAnsiTheme="minorHAnsi"/>
                <w:sz w:val="24"/>
                <w:szCs w:val="24"/>
              </w:rPr>
              <w:tab/>
            </w:r>
            <w:r>
              <w:rPr>
                <w:rStyle w:val="Style16"/>
                <w:sz w:val="24"/>
                <w:szCs w:val="24"/>
              </w:rPr>
              <w:t>Требования к объемам и срокам оказания услуг…………………………………….</w:t>
            </w:r>
            <w:r>
              <w:rPr>
                <w:rStyle w:val="Style16"/>
                <w:vanish w:val="false"/>
                <w:sz w:val="24"/>
                <w:szCs w:val="24"/>
              </w:rPr>
              <w:tab/>
            </w:r>
          </w:hyperlink>
          <w:r>
            <w:rPr>
              <w:sz w:val="24"/>
              <w:szCs w:val="24"/>
            </w:rPr>
            <w:t>6</w:t>
          </w:r>
        </w:p>
        <w:p>
          <w:pPr>
            <w:pStyle w:val="TOC3"/>
            <w:tabs>
              <w:tab w:val="clear" w:pos="708"/>
              <w:tab w:val="left" w:pos="1120" w:leader="none"/>
              <w:tab w:val="right" w:pos="9911" w:leader="dot"/>
            </w:tabs>
            <w:rPr>
              <w:rFonts w:ascii="Calibri" w:hAnsi="Calibri" w:eastAsia="新細明體" w:cs="Arial" w:asciiTheme="minorHAnsi" w:cstheme="minorBidi" w:eastAsiaTheme="minorEastAsia" w:hAnsiTheme="minorHAnsi"/>
              <w:sz w:val="24"/>
              <w:szCs w:val="24"/>
            </w:rPr>
          </w:pPr>
          <w:r>
            <w:rPr/>
            <w:t xml:space="preserve">      </w:t>
          </w:r>
          <w:hyperlink w:anchor="_Toc54643704">
            <w:r>
              <w:rPr>
                <w:webHidden/>
                <w:rStyle w:val="Style16"/>
                <w:sz w:val="24"/>
                <w:szCs w:val="24"/>
              </w:rPr>
              <w:t>2.1.1.Требования к перечню и объему услуг</w:t>
            </w:r>
            <w:r>
              <w:rPr>
                <w:rStyle w:val="Style16"/>
                <w:vanish w:val="false"/>
                <w:sz w:val="24"/>
                <w:szCs w:val="24"/>
              </w:rPr>
              <w:tab/>
            </w:r>
          </w:hyperlink>
          <w:r>
            <w:rPr>
              <w:sz w:val="24"/>
              <w:szCs w:val="24"/>
            </w:rPr>
            <w:t>6</w:t>
          </w:r>
        </w:p>
        <w:p>
          <w:pPr>
            <w:pStyle w:val="TOC1"/>
            <w:tabs>
              <w:tab w:val="clear" w:pos="708"/>
              <w:tab w:val="right" w:pos="9911" w:leader="dot"/>
            </w:tabs>
            <w:rPr>
              <w:rFonts w:ascii="Calibri" w:hAnsi="Calibri" w:eastAsia="新細明體" w:cs="Arial" w:asciiTheme="minorHAnsi" w:cstheme="minorBidi" w:eastAsiaTheme="minorEastAsia" w:hAnsiTheme="minorHAnsi"/>
              <w:b w:val="false"/>
              <w:bCs w:val="false"/>
            </w:rPr>
          </w:pPr>
          <w:hyperlink w:anchor="_Toc54643705">
            <w:r>
              <w:rPr>
                <w:webHidden/>
                <w:rStyle w:val="Style16"/>
              </w:rPr>
              <w:t>Таблица 2. Перечень и объем оказываемых услуг</w:t>
            </w:r>
            <w:r>
              <w:rPr>
                <w:rStyle w:val="Style16"/>
                <w:vanish w:val="false"/>
              </w:rPr>
              <w:tab/>
            </w:r>
          </w:hyperlink>
          <w:r>
            <w:rPr/>
            <w:t>6</w:t>
          </w:r>
        </w:p>
        <w:p>
          <w:pPr>
            <w:pStyle w:val="TOC3"/>
            <w:tabs>
              <w:tab w:val="clear" w:pos="708"/>
              <w:tab w:val="left" w:pos="1120" w:leader="none"/>
              <w:tab w:val="right" w:pos="9911" w:leader="dot"/>
            </w:tabs>
            <w:rPr>
              <w:rFonts w:ascii="Calibri" w:hAnsi="Calibri" w:eastAsia="新細明體" w:cs="Arial" w:asciiTheme="minorHAnsi" w:cstheme="minorBidi" w:eastAsiaTheme="minorEastAsia" w:hAnsiTheme="minorHAnsi"/>
              <w:sz w:val="24"/>
              <w:szCs w:val="24"/>
            </w:rPr>
          </w:pPr>
          <w:r>
            <w:rPr/>
            <w:t xml:space="preserve">      </w:t>
          </w:r>
          <w:hyperlink w:anchor="_Toc54643706">
            <w:r>
              <w:rPr>
                <w:webHidden/>
                <w:rStyle w:val="Style16"/>
                <w:sz w:val="24"/>
                <w:szCs w:val="24"/>
              </w:rPr>
              <w:t>2.1.2.Требования к срокам оказания услуг</w:t>
            </w:r>
            <w:r>
              <w:rPr>
                <w:rStyle w:val="Style16"/>
                <w:vanish w:val="false"/>
                <w:sz w:val="24"/>
                <w:szCs w:val="24"/>
              </w:rPr>
              <w:tab/>
            </w:r>
          </w:hyperlink>
          <w:r>
            <w:rPr>
              <w:sz w:val="24"/>
              <w:szCs w:val="24"/>
            </w:rPr>
            <w:t>6</w:t>
          </w:r>
        </w:p>
        <w:p>
          <w:pPr>
            <w:pStyle w:val="TOC1"/>
            <w:tabs>
              <w:tab w:val="clear" w:pos="708"/>
              <w:tab w:val="right" w:pos="9911" w:leader="dot"/>
            </w:tabs>
            <w:rPr>
              <w:rFonts w:ascii="Calibri" w:hAnsi="Calibri" w:eastAsia="新細明體" w:cs="Arial" w:asciiTheme="minorHAnsi" w:cstheme="minorBidi" w:eastAsiaTheme="minorEastAsia" w:hAnsiTheme="minorHAnsi"/>
              <w:b w:val="false"/>
              <w:bCs w:val="false"/>
            </w:rPr>
          </w:pPr>
          <w:hyperlink w:anchor="_Toc54643707">
            <w:r>
              <w:rPr>
                <w:webHidden/>
                <w:rStyle w:val="Style16"/>
              </w:rPr>
              <w:t>Таблица 3. Требования к срокам оказания услуг</w:t>
            </w:r>
            <w:r>
              <w:rPr>
                <w:rStyle w:val="Style16"/>
                <w:vanish w:val="false"/>
              </w:rPr>
              <w:tab/>
            </w:r>
          </w:hyperlink>
          <w:r>
            <w:rPr/>
            <w:t>6</w:t>
          </w:r>
        </w:p>
        <w:p>
          <w:pPr>
            <w:pStyle w:val="TOC4"/>
            <w:rPr>
              <w:rFonts w:ascii="Calibri" w:hAnsi="Calibri" w:eastAsia="新細明體" w:cs="Arial" w:asciiTheme="minorHAnsi" w:cstheme="minorBidi" w:eastAsiaTheme="minorEastAsia" w:hAnsiTheme="minorHAnsi"/>
              <w:sz w:val="24"/>
              <w:szCs w:val="24"/>
            </w:rPr>
          </w:pPr>
          <w:r>
            <w:rPr/>
            <w:t xml:space="preserve"> </w:t>
          </w:r>
          <w:hyperlink w:anchor="_Toc54643708">
            <w:r>
              <w:rPr>
                <w:webHidden/>
                <w:rStyle w:val="Style16"/>
                <w:iCs/>
                <w:sz w:val="24"/>
                <w:szCs w:val="24"/>
              </w:rPr>
              <w:t>2.2.</w:t>
            </w:r>
            <w:r>
              <w:rPr>
                <w:rStyle w:val="Style16"/>
                <w:rFonts w:eastAsia="新細明體" w:cs="Arial" w:ascii="Calibri" w:hAnsi="Calibri" w:asciiTheme="minorHAnsi" w:cstheme="minorBidi" w:eastAsiaTheme="minorEastAsia" w:hAnsiTheme="minorHAnsi"/>
                <w:sz w:val="24"/>
                <w:szCs w:val="24"/>
              </w:rPr>
              <w:tab/>
            </w:r>
            <w:r>
              <w:rPr>
                <w:rStyle w:val="Style16"/>
                <w:sz w:val="24"/>
                <w:szCs w:val="24"/>
              </w:rPr>
              <w:t>Требования к качеству услуг…………………………………………………………..</w:t>
            </w:r>
            <w:r>
              <w:rPr>
                <w:rStyle w:val="Style16"/>
                <w:vanish w:val="false"/>
                <w:sz w:val="24"/>
                <w:szCs w:val="24"/>
              </w:rPr>
              <w:tab/>
            </w:r>
          </w:hyperlink>
          <w:r>
            <w:rPr>
              <w:sz w:val="24"/>
              <w:szCs w:val="24"/>
            </w:rPr>
            <w:t>6</w:t>
          </w:r>
        </w:p>
        <w:p>
          <w:pPr>
            <w:pStyle w:val="TOC1"/>
            <w:tabs>
              <w:tab w:val="clear" w:pos="708"/>
              <w:tab w:val="right" w:pos="9911" w:leader="dot"/>
            </w:tabs>
            <w:rPr>
              <w:rFonts w:ascii="Calibri" w:hAnsi="Calibri" w:eastAsia="新細明體" w:cs="Arial" w:asciiTheme="minorHAnsi" w:cstheme="minorBidi" w:eastAsiaTheme="minorEastAsia" w:hAnsiTheme="minorHAnsi"/>
              <w:b w:val="false"/>
              <w:bCs w:val="false"/>
            </w:rPr>
          </w:pPr>
          <w:hyperlink w:anchor="_Toc54643709">
            <w:r>
              <w:rPr>
                <w:webHidden/>
                <w:rStyle w:val="Style16"/>
              </w:rPr>
              <w:t>Таблица 4. Требования к качеству услуг</w:t>
            </w:r>
            <w:r>
              <w:rPr>
                <w:rStyle w:val="Style16"/>
                <w:vanish w:val="false"/>
              </w:rPr>
              <w:tab/>
            </w:r>
          </w:hyperlink>
          <w:r>
            <w:rPr/>
            <w:t>7</w:t>
          </w:r>
        </w:p>
        <w:p>
          <w:pPr>
            <w:pStyle w:val="TOC1"/>
            <w:tabs>
              <w:tab w:val="clear" w:pos="708"/>
              <w:tab w:val="left" w:pos="560" w:leader="none"/>
              <w:tab w:val="right" w:pos="9911" w:leader="dot"/>
            </w:tabs>
            <w:rPr>
              <w:rFonts w:ascii="Calibri" w:hAnsi="Calibri" w:eastAsia="新細明體" w:cs="Arial" w:asciiTheme="minorHAnsi" w:cstheme="minorBidi" w:eastAsiaTheme="minorEastAsia" w:hAnsiTheme="minorHAnsi"/>
              <w:b w:val="false"/>
              <w:bCs w:val="false"/>
            </w:rPr>
          </w:pPr>
          <w:hyperlink w:anchor="_Toc54643712">
            <w:r>
              <w:rPr>
                <w:webHidden/>
                <w:rStyle w:val="Style16"/>
                <w:rFonts w:eastAsia="新細明體" w:cs="Arial" w:ascii="Calibri" w:hAnsi="Calibri" w:asciiTheme="minorHAnsi" w:cstheme="minorBidi" w:eastAsiaTheme="minorEastAsia" w:hAnsiTheme="minorHAnsi"/>
                <w:b w:val="false"/>
                <w:bCs w:val="false"/>
              </w:rPr>
              <w:tab/>
            </w:r>
            <w:r>
              <w:rPr>
                <w:rStyle w:val="Style16"/>
                <w:iCs/>
              </w:rPr>
              <w:t>Приложение№1</w:t>
            </w:r>
            <w:r>
              <w:rPr>
                <w:rStyle w:val="Style16"/>
                <w:vanish w:val="false"/>
              </w:rPr>
              <w:tab/>
              <w:t>1</w:t>
            </w:r>
          </w:hyperlink>
          <w:r>
            <w:rPr/>
            <w:t>2</w:t>
          </w:r>
        </w:p>
        <w:p>
          <w:pPr>
            <w:pStyle w:val="TOC1"/>
            <w:tabs>
              <w:tab w:val="clear" w:pos="708"/>
              <w:tab w:val="right" w:pos="9911" w:leader="dot"/>
            </w:tabs>
            <w:rPr>
              <w:rFonts w:ascii="Calibri" w:hAnsi="Calibri" w:eastAsia="新細明體" w:cs="Arial" w:asciiTheme="minorHAnsi" w:cstheme="minorBidi" w:eastAsiaTheme="minorEastAsia" w:hAnsiTheme="minorHAnsi"/>
              <w:b w:val="false"/>
              <w:bCs w:val="false"/>
            </w:rPr>
          </w:pPr>
          <w:r>
            <w:rPr/>
          </w:r>
          <w:r>
            <w:rPr/>
            <w:fldChar w:fldCharType="end"/>
          </w:r>
        </w:p>
      </w:sdtContent>
    </w:sdt>
    <w:p>
      <w:pPr>
        <w:pStyle w:val="Heading2"/>
        <w:numPr>
          <w:ilvl w:val="0"/>
          <w:numId w:val="0"/>
        </w:numPr>
        <w:ind w:left="0" w:hanging="0"/>
        <w:rPr/>
      </w:pPr>
      <w:r>
        <w:rPr/>
      </w:r>
    </w:p>
    <w:p>
      <w:pPr>
        <w:pStyle w:val="Normal"/>
        <w:keepNext w:val="true"/>
        <w:keepLines/>
        <w:jc w:val="center"/>
        <w:rPr>
          <w:rFonts w:eastAsia="Calibri"/>
          <w:b/>
          <w:i/>
          <w:i/>
          <w:sz w:val="24"/>
          <w:szCs w:val="24"/>
        </w:rPr>
      </w:pPr>
      <w:r>
        <w:rPr>
          <w:rFonts w:eastAsia="Calibri"/>
          <w:b/>
          <w:i/>
          <w:sz w:val="24"/>
          <w:szCs w:val="24"/>
        </w:rPr>
      </w:r>
      <w:r>
        <w:br w:type="page"/>
      </w:r>
    </w:p>
    <w:p>
      <w:pPr>
        <w:pStyle w:val="Heading1"/>
        <w:numPr>
          <w:ilvl w:val="0"/>
          <w:numId w:val="3"/>
        </w:numPr>
        <w:ind w:left="0" w:hanging="0"/>
        <w:rPr>
          <w:caps/>
        </w:rPr>
      </w:pPr>
      <w:bookmarkStart w:id="0" w:name="_Toc54643694"/>
      <w:r>
        <w:rPr/>
        <w:t>Общие сведения</w:t>
      </w:r>
      <w:bookmarkEnd w:id="0"/>
    </w:p>
    <w:p>
      <w:pPr>
        <w:pStyle w:val="Heading4"/>
        <w:numPr>
          <w:ilvl w:val="1"/>
          <w:numId w:val="3"/>
        </w:numPr>
        <w:ind w:left="0" w:hanging="0"/>
        <w:rPr>
          <w:rStyle w:val="Style8"/>
          <w:iCs/>
          <w:sz w:val="26"/>
          <w:szCs w:val="26"/>
        </w:rPr>
      </w:pPr>
      <w:bookmarkStart w:id="1" w:name="_Toc46743505"/>
      <w:bookmarkStart w:id="2" w:name="_Toc54643695"/>
      <w:r>
        <w:rPr/>
        <w:t>Обозначения и сокращения</w:t>
      </w:r>
      <w:bookmarkEnd w:id="1"/>
      <w:bookmarkEnd w:id="2"/>
    </w:p>
    <w:tbl>
      <w:tblPr>
        <w:tblW w:w="9783"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2404"/>
        <w:gridCol w:w="7378"/>
      </w:tblGrid>
      <w:tr>
        <w:trPr>
          <w:cantSplit w:val="true"/>
        </w:trPr>
        <w:tc>
          <w:tcPr>
            <w:tcW w:w="240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pacing w:before="120" w:after="120"/>
              <w:jc w:val="center"/>
              <w:rPr>
                <w:rStyle w:val="Style8"/>
                <w:b w:val="false"/>
                <w:bCs/>
                <w:i w:val="false"/>
                <w:i w:val="false"/>
                <w:sz w:val="24"/>
                <w:szCs w:val="24"/>
              </w:rPr>
            </w:pPr>
            <w:r>
              <w:rPr>
                <w:sz w:val="24"/>
                <w:szCs w:val="24"/>
              </w:rPr>
              <w:t>Новосибирская ГЭС</w:t>
            </w:r>
          </w:p>
        </w:tc>
        <w:tc>
          <w:tcPr>
            <w:tcW w:w="737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pacing w:before="120" w:after="120"/>
              <w:jc w:val="both"/>
              <w:rPr>
                <w:rStyle w:val="Style8"/>
                <w:b w:val="false"/>
                <w:bCs/>
                <w:i w:val="false"/>
                <w:i w:val="false"/>
                <w:sz w:val="24"/>
                <w:szCs w:val="24"/>
              </w:rPr>
            </w:pPr>
            <w:r>
              <w:rPr>
                <w:sz w:val="24"/>
                <w:szCs w:val="24"/>
              </w:rPr>
              <w:t>Филиала ПАО «РусГидро» – «Новосибирская ГЭС».</w:t>
            </w:r>
          </w:p>
        </w:tc>
      </w:tr>
      <w:tr>
        <w:trPr>
          <w:cantSplit w:val="true"/>
        </w:trPr>
        <w:tc>
          <w:tcPr>
            <w:tcW w:w="240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pacing w:before="120" w:after="120"/>
              <w:jc w:val="center"/>
              <w:rPr>
                <w:sz w:val="24"/>
                <w:szCs w:val="24"/>
              </w:rPr>
            </w:pPr>
            <w:r>
              <w:rPr>
                <w:sz w:val="24"/>
                <w:szCs w:val="24"/>
              </w:rPr>
              <w:t xml:space="preserve">РФ </w:t>
            </w:r>
          </w:p>
        </w:tc>
        <w:tc>
          <w:tcPr>
            <w:tcW w:w="737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pacing w:before="120" w:after="120"/>
              <w:jc w:val="both"/>
              <w:rPr>
                <w:sz w:val="24"/>
                <w:szCs w:val="24"/>
              </w:rPr>
            </w:pPr>
            <w:r>
              <w:rPr>
                <w:sz w:val="24"/>
                <w:szCs w:val="24"/>
              </w:rPr>
              <w:t>Российская Федерация</w:t>
            </w:r>
          </w:p>
        </w:tc>
      </w:tr>
      <w:tr>
        <w:trPr>
          <w:cantSplit w:val="true"/>
        </w:trPr>
        <w:tc>
          <w:tcPr>
            <w:tcW w:w="240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pacing w:before="120" w:after="120"/>
              <w:jc w:val="center"/>
              <w:rPr>
                <w:sz w:val="24"/>
                <w:szCs w:val="24"/>
              </w:rPr>
            </w:pPr>
            <w:r>
              <w:rPr>
                <w:sz w:val="24"/>
                <w:szCs w:val="24"/>
              </w:rPr>
              <w:t>Филиал</w:t>
            </w:r>
          </w:p>
        </w:tc>
        <w:tc>
          <w:tcPr>
            <w:tcW w:w="737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pacing w:before="120" w:after="120"/>
              <w:jc w:val="both"/>
              <w:rPr>
                <w:sz w:val="24"/>
                <w:szCs w:val="24"/>
              </w:rPr>
            </w:pPr>
            <w:r>
              <w:rPr>
                <w:bCs/>
                <w:sz w:val="24"/>
                <w:szCs w:val="24"/>
              </w:rPr>
              <w:t>Саяно-Шушенский филиал АО «Гидроремонт-ВКК» в п. Черемушки</w:t>
            </w:r>
          </w:p>
        </w:tc>
      </w:tr>
      <w:tr>
        <w:trPr>
          <w:cantSplit w:val="true"/>
        </w:trPr>
        <w:tc>
          <w:tcPr>
            <w:tcW w:w="240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pacing w:before="120" w:after="120"/>
              <w:jc w:val="center"/>
              <w:rPr>
                <w:sz w:val="24"/>
                <w:szCs w:val="24"/>
              </w:rPr>
            </w:pPr>
            <w:r>
              <w:rPr>
                <w:sz w:val="24"/>
                <w:szCs w:val="24"/>
              </w:rPr>
              <w:t>ТТ</w:t>
            </w:r>
          </w:p>
        </w:tc>
        <w:tc>
          <w:tcPr>
            <w:tcW w:w="7378" w:type="dxa"/>
            <w:tcBorders>
              <w:top w:val="single" w:sz="4" w:space="0" w:color="000000"/>
              <w:left w:val="single" w:sz="4" w:space="0" w:color="000000"/>
              <w:bottom w:val="single" w:sz="4" w:space="0" w:color="000000"/>
              <w:right w:val="single" w:sz="4" w:space="0" w:color="000000"/>
            </w:tcBorders>
            <w:shd w:color="auto" w:fill="auto" w:val="clear"/>
          </w:tcPr>
          <w:p>
            <w:pPr>
              <w:pStyle w:val="19"/>
              <w:widowControl w:val="false"/>
              <w:jc w:val="both"/>
              <w:rPr>
                <w:bCs/>
                <w:sz w:val="24"/>
                <w:szCs w:val="24"/>
              </w:rPr>
            </w:pPr>
            <w:r>
              <w:rPr>
                <w:sz w:val="24"/>
                <w:szCs w:val="24"/>
              </w:rPr>
              <w:t>Технические требования на оказание услуг по предоставлению автотранспорта с экипажем для перевозки сотрудников производственного участка в г. Новосибирск для нужд Саяно-Шушенского филиала АО "Гидроремонт-ВКК" в п. Черемушки</w:t>
            </w:r>
          </w:p>
        </w:tc>
      </w:tr>
      <w:tr>
        <w:trPr>
          <w:cantSplit w:val="true"/>
        </w:trPr>
        <w:tc>
          <w:tcPr>
            <w:tcW w:w="240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pacing w:before="120" w:after="120"/>
              <w:jc w:val="center"/>
              <w:rPr>
                <w:sz w:val="24"/>
                <w:szCs w:val="24"/>
              </w:rPr>
            </w:pPr>
            <w:r>
              <w:rPr>
                <w:sz w:val="24"/>
                <w:szCs w:val="24"/>
              </w:rPr>
              <w:t>ГР</w:t>
            </w:r>
          </w:p>
        </w:tc>
        <w:tc>
          <w:tcPr>
            <w:tcW w:w="737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pacing w:before="120" w:after="120"/>
              <w:jc w:val="both"/>
              <w:rPr>
                <w:bCs/>
                <w:sz w:val="24"/>
                <w:szCs w:val="24"/>
              </w:rPr>
            </w:pPr>
            <w:r>
              <w:rPr>
                <w:bCs/>
                <w:sz w:val="24"/>
                <w:szCs w:val="24"/>
              </w:rPr>
              <w:t>АО «Гидроремонт-ВКК»</w:t>
            </w:r>
          </w:p>
        </w:tc>
      </w:tr>
      <w:tr>
        <w:trPr>
          <w:cantSplit w:val="true"/>
        </w:trPr>
        <w:tc>
          <w:tcPr>
            <w:tcW w:w="240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pacing w:before="120" w:after="120"/>
              <w:jc w:val="center"/>
              <w:rPr>
                <w:iCs/>
                <w:sz w:val="24"/>
                <w:szCs w:val="24"/>
              </w:rPr>
            </w:pPr>
            <w:r>
              <w:rPr>
                <w:iCs/>
                <w:sz w:val="24"/>
                <w:szCs w:val="24"/>
              </w:rPr>
              <w:t>ТС</w:t>
            </w:r>
          </w:p>
        </w:tc>
        <w:tc>
          <w:tcPr>
            <w:tcW w:w="737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426" w:leader="none"/>
              </w:tabs>
              <w:spacing w:before="120" w:after="120"/>
              <w:rPr>
                <w:sz w:val="24"/>
                <w:szCs w:val="24"/>
              </w:rPr>
            </w:pPr>
            <w:r>
              <w:rPr>
                <w:sz w:val="24"/>
                <w:szCs w:val="24"/>
              </w:rPr>
              <w:t>Транспортные средства</w:t>
            </w:r>
          </w:p>
        </w:tc>
      </w:tr>
    </w:tbl>
    <w:p>
      <w:pPr>
        <w:pStyle w:val="Normal"/>
        <w:keepNext w:val="true"/>
        <w:keepLines/>
        <w:jc w:val="both"/>
        <w:rPr>
          <w:sz w:val="24"/>
          <w:szCs w:val="24"/>
        </w:rPr>
      </w:pPr>
      <w:r>
        <w:rPr>
          <w:sz w:val="24"/>
          <w:szCs w:val="24"/>
        </w:rPr>
      </w:r>
    </w:p>
    <w:p>
      <w:pPr>
        <w:pStyle w:val="Normal"/>
        <w:keepNext w:val="true"/>
        <w:keepLines/>
        <w:jc w:val="both"/>
        <w:rPr>
          <w:sz w:val="24"/>
          <w:szCs w:val="24"/>
        </w:rPr>
      </w:pPr>
      <w:r>
        <w:rPr>
          <w:sz w:val="24"/>
          <w:szCs w:val="24"/>
        </w:rPr>
      </w:r>
    </w:p>
    <w:p>
      <w:pPr>
        <w:pStyle w:val="Normal"/>
        <w:keepNext w:val="true"/>
        <w:keepLines/>
        <w:rPr>
          <w:sz w:val="24"/>
          <w:szCs w:val="24"/>
        </w:rPr>
      </w:pPr>
      <w:r>
        <w:rPr>
          <w:sz w:val="24"/>
          <w:szCs w:val="24"/>
        </w:rPr>
      </w:r>
      <w:bookmarkStart w:id="3" w:name="_Toc46743506"/>
      <w:bookmarkStart w:id="4" w:name="_Toc46743506"/>
      <w:r>
        <w:br w:type="page"/>
      </w:r>
    </w:p>
    <w:p>
      <w:pPr>
        <w:pStyle w:val="Heading4"/>
        <w:numPr>
          <w:ilvl w:val="1"/>
          <w:numId w:val="3"/>
        </w:numPr>
        <w:ind w:left="0" w:hanging="0"/>
        <w:rPr/>
      </w:pPr>
      <w:bookmarkStart w:id="5" w:name="_Toc46743506"/>
      <w:bookmarkStart w:id="6" w:name="_Toc54643696"/>
      <w:r>
        <w:rPr/>
        <w:t>Наименование закупаем</w:t>
      </w:r>
      <w:bookmarkEnd w:id="5"/>
      <w:bookmarkEnd w:id="6"/>
      <w:r>
        <w:rPr>
          <w:lang w:val="ru-RU"/>
        </w:rPr>
        <w:t>ых услуг</w:t>
      </w:r>
    </w:p>
    <w:p>
      <w:pPr>
        <w:pStyle w:val="Normal"/>
        <w:bidi w:val="0"/>
        <w:jc w:val="left"/>
        <w:rPr>
          <w:color w:val="000000"/>
          <w:sz w:val="28"/>
          <w:szCs w:val="28"/>
        </w:rPr>
      </w:pPr>
      <w:r>
        <w:rPr>
          <w:rFonts w:eastAsia="Calibri"/>
          <w:b w:val="false"/>
          <w:i w:val="false"/>
          <w:strike w:val="false"/>
          <w:dstrike w:val="false"/>
          <w:outline w:val="false"/>
          <w:shadow w:val="false"/>
          <w:color w:val="000000"/>
          <w:sz w:val="24"/>
          <w:szCs w:val="24"/>
          <w:u w:val="none"/>
          <w:em w:val="none"/>
          <w:lang w:eastAsia="x-none"/>
        </w:rPr>
        <w:t xml:space="preserve">ОКПД2 49.39.13.000 Оказание услуг по перевозке сотрудников производственного участка АО "Гидроремонт-ВКК" в г. Новосибирск </w:t>
      </w:r>
      <w:r>
        <w:rPr>
          <w:rFonts w:eastAsia="Calibri"/>
          <w:b w:val="false"/>
          <w:i w:val="false"/>
          <w:strike w:val="false"/>
          <w:dstrike w:val="false"/>
          <w:outline w:val="false"/>
          <w:shadow w:val="false"/>
          <w:color w:val="000000"/>
          <w:sz w:val="24"/>
          <w:szCs w:val="24"/>
          <w:u w:val="none"/>
          <w:em w:val="none"/>
          <w:lang w:eastAsia="x-none"/>
        </w:rPr>
        <w:t>(Далее — услуги).</w:t>
      </w:r>
      <w:bookmarkStart w:id="7" w:name="_Toc46743507"/>
    </w:p>
    <w:p>
      <w:pPr>
        <w:pStyle w:val="Heading4"/>
        <w:numPr>
          <w:ilvl w:val="1"/>
          <w:numId w:val="3"/>
        </w:numPr>
        <w:ind w:left="0" w:hanging="0"/>
        <w:rPr/>
      </w:pPr>
      <w:bookmarkStart w:id="8" w:name="_Toc54643697"/>
      <w:r>
        <w:rPr/>
        <w:t xml:space="preserve">Цель </w:t>
      </w:r>
      <w:bookmarkEnd w:id="7"/>
      <w:r>
        <w:rPr/>
        <w:t xml:space="preserve">оказания услуг </w:t>
      </w:r>
      <w:bookmarkEnd w:id="8"/>
    </w:p>
    <w:p>
      <w:pPr>
        <w:pStyle w:val="BodyText"/>
        <w:tabs>
          <w:tab w:val="clear" w:pos="708"/>
          <w:tab w:val="left" w:pos="142" w:leader="none"/>
          <w:tab w:val="left" w:pos="426" w:leader="none"/>
          <w:tab w:val="left" w:pos="8789" w:leader="none"/>
        </w:tabs>
        <w:spacing w:before="0" w:after="0"/>
        <w:ind w:hanging="6"/>
        <w:jc w:val="both"/>
        <w:rPr>
          <w:bCs/>
          <w:sz w:val="24"/>
          <w:szCs w:val="24"/>
        </w:rPr>
      </w:pPr>
      <w:bookmarkStart w:id="9" w:name="_Toc46743508"/>
      <w:bookmarkStart w:id="10" w:name="_Toc54643698"/>
      <w:r>
        <w:rPr>
          <w:bCs/>
          <w:sz w:val="24"/>
          <w:szCs w:val="24"/>
        </w:rPr>
        <w:t xml:space="preserve">Целью является обеспечение производственного участка в г. Новосибирск Саяно-Шушенского филиала АО «Гидроремонт-ВКК» в п. Черемушки» </w:t>
      </w:r>
      <w:r>
        <w:rPr>
          <w:bCs/>
          <w:color w:val="000000" w:themeColor="text1"/>
          <w:sz w:val="24"/>
          <w:szCs w:val="24"/>
        </w:rPr>
        <w:t xml:space="preserve">автотранспортом </w:t>
      </w:r>
      <w:r>
        <w:rPr>
          <w:color w:val="000000" w:themeColor="text1"/>
          <w:sz w:val="24"/>
          <w:szCs w:val="24"/>
        </w:rPr>
        <w:t>с экипажем для перевозки сотрудников производственного участка в г. Новосибирск на работу и с работы.</w:t>
      </w:r>
    </w:p>
    <w:p>
      <w:pPr>
        <w:pStyle w:val="Heading4"/>
        <w:numPr>
          <w:ilvl w:val="1"/>
          <w:numId w:val="3"/>
        </w:numPr>
        <w:ind w:left="0" w:hanging="0"/>
        <w:rPr>
          <w:rStyle w:val="Style8"/>
          <w:b/>
          <w:i w:val="false"/>
          <w:i w:val="false"/>
          <w:color w:val="000000" w:themeColor="text1"/>
          <w:shd w:fill="auto" w:val="clear"/>
        </w:rPr>
      </w:pPr>
      <w:bookmarkStart w:id="11" w:name="_Toc46743508"/>
      <w:bookmarkStart w:id="12" w:name="_Toc54643698"/>
      <w:r>
        <w:rPr/>
        <w:t>Существующее положение</w:t>
      </w:r>
      <w:bookmarkStart w:id="13" w:name="_Toc54643699"/>
      <w:bookmarkEnd w:id="11"/>
      <w:bookmarkEnd w:id="12"/>
      <w:r>
        <w:rPr>
          <w:lang w:val="ru-RU"/>
        </w:rPr>
        <w:t>.</w:t>
      </w:r>
    </w:p>
    <w:p>
      <w:pPr>
        <w:pStyle w:val="Heading3"/>
        <w:numPr>
          <w:ilvl w:val="2"/>
          <w:numId w:val="3"/>
        </w:numPr>
        <w:ind w:left="0" w:hanging="0"/>
        <w:rPr/>
      </w:pPr>
      <w:r>
        <w:rPr/>
        <w:t>Заказчик</w:t>
      </w:r>
      <w:r>
        <w:rPr>
          <w:lang w:val="ru-RU"/>
        </w:rPr>
        <w:t>.</w:t>
      </w:r>
    </w:p>
    <w:p>
      <w:pPr>
        <w:pStyle w:val="Normal"/>
        <w:jc w:val="both"/>
        <w:rPr>
          <w:color w:val="000000" w:themeColor="text1"/>
          <w:sz w:val="24"/>
          <w:szCs w:val="24"/>
        </w:rPr>
      </w:pPr>
      <w:r>
        <w:rPr>
          <w:color w:val="000000" w:themeColor="text1"/>
          <w:sz w:val="24"/>
          <w:szCs w:val="24"/>
        </w:rPr>
        <w:t>АО «Гидроремонт-ВКК», 603140, Нижегородская обл., г.о. город Нижний Новгород, г.Нижний Новгород, пер. Мотальный, д.8 помещ. ВП31, офис С1А.</w:t>
      </w:r>
    </w:p>
    <w:p>
      <w:pPr>
        <w:pStyle w:val="Normal"/>
        <w:jc w:val="both"/>
        <w:rPr>
          <w:color w:val="000000" w:themeColor="text1"/>
          <w:sz w:val="24"/>
          <w:szCs w:val="24"/>
        </w:rPr>
      </w:pPr>
      <w:r>
        <w:rPr>
          <w:color w:val="000000" w:themeColor="text1"/>
          <w:sz w:val="24"/>
          <w:szCs w:val="24"/>
        </w:rPr>
        <w:t xml:space="preserve">Саяно-Шушенский Филиал АО «Гидроремонт-ВКК» в п. Черёмушки. </w:t>
      </w:r>
    </w:p>
    <w:p>
      <w:pPr>
        <w:pStyle w:val="Normal"/>
        <w:ind w:left="567" w:hanging="567"/>
        <w:jc w:val="both"/>
        <w:rPr>
          <w:color w:val="000000" w:themeColor="text1"/>
          <w:sz w:val="24"/>
          <w:szCs w:val="24"/>
        </w:rPr>
      </w:pPr>
      <w:r>
        <w:rPr>
          <w:color w:val="000000" w:themeColor="text1"/>
          <w:sz w:val="24"/>
          <w:szCs w:val="24"/>
        </w:rPr>
        <w:t>Адрес филиала: адрес: 655619, Республика Хакасия, г. Саяногорск, р.п. Черемушки, д. 103.</w:t>
      </w:r>
    </w:p>
    <w:p>
      <w:pPr>
        <w:pStyle w:val="Heading1"/>
        <w:numPr>
          <w:ilvl w:val="0"/>
          <w:numId w:val="0"/>
        </w:numPr>
        <w:ind w:left="284" w:hanging="0"/>
        <w:rPr>
          <w:rStyle w:val="Style8"/>
          <w:b/>
          <w:bCs/>
          <w:color w:val="000000" w:themeColor="text1"/>
          <w:sz w:val="24"/>
          <w:szCs w:val="24"/>
        </w:rPr>
      </w:pPr>
      <w:r>
        <w:rPr/>
        <w:t>Таблица 1. Перечень объектов заказчика</w:t>
      </w:r>
      <w:bookmarkEnd w:id="13"/>
      <w:r>
        <w:rPr/>
        <w:t>.</w:t>
      </w:r>
    </w:p>
    <w:tbl>
      <w:tblPr>
        <w:tblW w:w="9638"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817"/>
        <w:gridCol w:w="2017"/>
        <w:gridCol w:w="2694"/>
        <w:gridCol w:w="3118"/>
        <w:gridCol w:w="992"/>
      </w:tblGrid>
      <w:tr>
        <w:trPr/>
        <w:tc>
          <w:tcPr>
            <w:tcW w:w="817" w:type="dxa"/>
            <w:tcBorders>
              <w:top w:val="single" w:sz="4" w:space="0" w:color="000000"/>
              <w:left w:val="single" w:sz="4" w:space="0" w:color="000000"/>
              <w:bottom w:val="single" w:sz="4" w:space="0" w:color="000000"/>
              <w:right w:val="single" w:sz="4" w:space="0" w:color="000000"/>
            </w:tcBorders>
          </w:tcPr>
          <w:p>
            <w:pPr>
              <w:pStyle w:val="Normal"/>
              <w:widowControl w:val="false"/>
              <w:rPr>
                <w:i w:val="false"/>
                <w:i w:val="false"/>
                <w:iCs w:val="false"/>
                <w:sz w:val="24"/>
                <w:szCs w:val="24"/>
              </w:rPr>
            </w:pPr>
            <w:r>
              <w:rPr>
                <w:i w:val="false"/>
                <w:iCs w:val="false"/>
                <w:color w:val="000000" w:themeColor="text1"/>
                <w:sz w:val="24"/>
                <w:szCs w:val="24"/>
              </w:rPr>
              <w:t>№</w:t>
            </w:r>
          </w:p>
          <w:p>
            <w:pPr>
              <w:pStyle w:val="Normal"/>
              <w:widowControl w:val="false"/>
              <w:ind w:hanging="6"/>
              <w:jc w:val="center"/>
              <w:rPr>
                <w:i w:val="false"/>
                <w:i w:val="false"/>
                <w:iCs w:val="false"/>
                <w:sz w:val="24"/>
                <w:szCs w:val="24"/>
              </w:rPr>
            </w:pPr>
            <w:r>
              <w:rPr>
                <w:i w:val="false"/>
                <w:iCs w:val="false"/>
                <w:color w:val="000000" w:themeColor="text1"/>
                <w:sz w:val="24"/>
                <w:szCs w:val="24"/>
              </w:rPr>
              <w:t>п/п</w:t>
            </w:r>
          </w:p>
        </w:tc>
        <w:tc>
          <w:tcPr>
            <w:tcW w:w="2017" w:type="dxa"/>
            <w:tcBorders>
              <w:top w:val="single" w:sz="4" w:space="0" w:color="000000"/>
              <w:left w:val="single" w:sz="4" w:space="0" w:color="000000"/>
              <w:bottom w:val="single" w:sz="4" w:space="0" w:color="000000"/>
              <w:right w:val="single" w:sz="4" w:space="0" w:color="000000"/>
            </w:tcBorders>
          </w:tcPr>
          <w:p>
            <w:pPr>
              <w:pStyle w:val="Normal"/>
              <w:widowControl w:val="false"/>
              <w:ind w:hanging="6"/>
              <w:jc w:val="center"/>
              <w:rPr>
                <w:i w:val="false"/>
                <w:i w:val="false"/>
                <w:iCs w:val="false"/>
                <w:sz w:val="24"/>
                <w:szCs w:val="24"/>
              </w:rPr>
            </w:pPr>
            <w:r>
              <w:rPr>
                <w:i w:val="false"/>
                <w:iCs w:val="false"/>
                <w:color w:val="000000" w:themeColor="text1"/>
                <w:sz w:val="24"/>
                <w:szCs w:val="24"/>
              </w:rPr>
              <w:t>Наименование объекта</w:t>
            </w:r>
          </w:p>
          <w:p>
            <w:pPr>
              <w:pStyle w:val="Normal"/>
              <w:widowControl w:val="false"/>
              <w:ind w:left="284" w:hanging="6"/>
              <w:jc w:val="center"/>
              <w:rPr>
                <w:i w:val="false"/>
                <w:i w:val="false"/>
                <w:iCs w:val="false"/>
                <w:color w:val="000000" w:themeColor="text1"/>
                <w:sz w:val="24"/>
                <w:szCs w:val="24"/>
              </w:rPr>
            </w:pPr>
            <w:r>
              <w:rPr>
                <w:i w:val="false"/>
                <w:iCs w:val="false"/>
                <w:color w:val="000000" w:themeColor="text1"/>
                <w:sz w:val="24"/>
                <w:szCs w:val="24"/>
              </w:rPr>
            </w:r>
          </w:p>
        </w:tc>
        <w:tc>
          <w:tcPr>
            <w:tcW w:w="2694" w:type="dxa"/>
            <w:tcBorders>
              <w:top w:val="single" w:sz="4" w:space="0" w:color="000000"/>
              <w:left w:val="single" w:sz="4" w:space="0" w:color="000000"/>
              <w:bottom w:val="single" w:sz="4" w:space="0" w:color="000000"/>
              <w:right w:val="single" w:sz="4" w:space="0" w:color="000000"/>
            </w:tcBorders>
          </w:tcPr>
          <w:p>
            <w:pPr>
              <w:pStyle w:val="Normal"/>
              <w:widowControl w:val="false"/>
              <w:ind w:hanging="6"/>
              <w:jc w:val="center"/>
              <w:rPr>
                <w:i w:val="false"/>
                <w:i w:val="false"/>
                <w:iCs w:val="false"/>
                <w:sz w:val="24"/>
                <w:szCs w:val="24"/>
              </w:rPr>
            </w:pPr>
            <w:r>
              <w:rPr>
                <w:i w:val="false"/>
                <w:iCs w:val="false"/>
                <w:color w:val="000000" w:themeColor="text1"/>
                <w:sz w:val="24"/>
                <w:szCs w:val="24"/>
              </w:rPr>
              <w:t xml:space="preserve">Расположение объекта </w:t>
              <w:br/>
              <w:t>(место оказания услуг)</w:t>
            </w:r>
          </w:p>
        </w:tc>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6"/>
              <w:jc w:val="center"/>
              <w:rPr>
                <w:i w:val="false"/>
                <w:i w:val="false"/>
                <w:iCs w:val="false"/>
                <w:sz w:val="24"/>
                <w:szCs w:val="24"/>
              </w:rPr>
            </w:pPr>
            <w:r>
              <w:rPr>
                <w:i w:val="false"/>
                <w:iCs w:val="false"/>
                <w:color w:val="000000" w:themeColor="text1"/>
                <w:sz w:val="24"/>
                <w:szCs w:val="24"/>
              </w:rPr>
              <w:t xml:space="preserve">Наименование основного средства </w:t>
              <w:br/>
              <w:t>(в отношении которого оказываются услуги)</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ind w:left="35" w:hanging="6"/>
              <w:jc w:val="center"/>
              <w:rPr>
                <w:i w:val="false"/>
                <w:i w:val="false"/>
                <w:iCs w:val="false"/>
                <w:sz w:val="24"/>
                <w:szCs w:val="24"/>
              </w:rPr>
            </w:pPr>
            <w:r>
              <w:rPr>
                <w:i w:val="false"/>
                <w:iCs w:val="false"/>
                <w:color w:val="000000" w:themeColor="text1"/>
                <w:sz w:val="24"/>
                <w:szCs w:val="24"/>
              </w:rPr>
              <w:t>Примечания</w:t>
            </w:r>
          </w:p>
        </w:tc>
      </w:tr>
      <w:tr>
        <w:trPr>
          <w:trHeight w:val="881" w:hRule="atLeast"/>
        </w:trPr>
        <w:tc>
          <w:tcPr>
            <w:tcW w:w="817"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7"/>
              </w:numPr>
              <w:suppressAutoHyphens w:val="true"/>
              <w:ind w:left="284" w:hanging="6"/>
              <w:rPr>
                <w:i w:val="false"/>
                <w:i w:val="false"/>
                <w:iCs w:val="false"/>
                <w:color w:val="000000" w:themeColor="text1"/>
                <w:sz w:val="24"/>
                <w:szCs w:val="24"/>
              </w:rPr>
            </w:pPr>
            <w:r>
              <w:rPr>
                <w:i w:val="false"/>
                <w:iCs w:val="false"/>
                <w:color w:val="000000" w:themeColor="text1"/>
                <w:sz w:val="24"/>
                <w:szCs w:val="24"/>
              </w:rPr>
            </w:r>
          </w:p>
        </w:tc>
        <w:tc>
          <w:tcPr>
            <w:tcW w:w="20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73" w:hanging="6"/>
              <w:jc w:val="both"/>
              <w:rPr>
                <w:i w:val="false"/>
                <w:i w:val="false"/>
                <w:iCs w:val="false"/>
                <w:sz w:val="24"/>
                <w:szCs w:val="24"/>
              </w:rPr>
            </w:pPr>
            <w:r>
              <w:rPr>
                <w:i w:val="false"/>
                <w:iCs w:val="false"/>
                <w:color w:val="000000" w:themeColor="text1"/>
                <w:sz w:val="24"/>
                <w:szCs w:val="24"/>
              </w:rPr>
              <w:t>Предоставление автотранспорта с экипажем (круглосуточно)</w:t>
            </w:r>
          </w:p>
        </w:tc>
        <w:tc>
          <w:tcPr>
            <w:tcW w:w="26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6"/>
              <w:rPr>
                <w:i w:val="false"/>
                <w:i w:val="false"/>
                <w:iCs w:val="false"/>
                <w:sz w:val="24"/>
                <w:szCs w:val="24"/>
              </w:rPr>
            </w:pPr>
            <w:r>
              <w:rPr>
                <w:i w:val="false"/>
                <w:iCs w:val="false"/>
                <w:color w:val="000000" w:themeColor="text1"/>
                <w:sz w:val="24"/>
                <w:szCs w:val="24"/>
              </w:rPr>
              <w:t>Новосибирская область</w:t>
            </w:r>
          </w:p>
        </w:tc>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6"/>
              <w:jc w:val="both"/>
              <w:rPr>
                <w:i w:val="false"/>
                <w:i w:val="false"/>
                <w:iCs w:val="false"/>
                <w:sz w:val="24"/>
                <w:szCs w:val="24"/>
              </w:rPr>
            </w:pPr>
            <w:r>
              <w:rPr>
                <w:i w:val="false"/>
                <w:iCs w:val="false"/>
                <w:color w:val="000000" w:themeColor="text1"/>
                <w:sz w:val="24"/>
                <w:szCs w:val="24"/>
              </w:rPr>
              <w:t>Перевозка сотрудников производственного участка в г. Новосибирск Саяно-Шушенского филиала АО «Гидроремонт-ВКК» в п. Черемушки»</w:t>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284" w:hanging="6"/>
              <w:jc w:val="center"/>
              <w:rPr>
                <w:i w:val="false"/>
                <w:i w:val="false"/>
                <w:iCs w:val="false"/>
                <w:color w:val="000000" w:themeColor="text1"/>
                <w:sz w:val="24"/>
                <w:szCs w:val="24"/>
              </w:rPr>
            </w:pPr>
            <w:r>
              <w:rPr>
                <w:i w:val="false"/>
                <w:iCs w:val="false"/>
                <w:color w:val="000000" w:themeColor="text1"/>
                <w:sz w:val="24"/>
                <w:szCs w:val="24"/>
              </w:rPr>
            </w:r>
          </w:p>
        </w:tc>
      </w:tr>
    </w:tbl>
    <w:p>
      <w:pPr>
        <w:pStyle w:val="Heading4"/>
        <w:numPr>
          <w:ilvl w:val="0"/>
          <w:numId w:val="0"/>
        </w:numPr>
        <w:ind w:left="0" w:hanging="0"/>
        <w:rPr>
          <w:lang w:val="ru-RU"/>
        </w:rPr>
      </w:pPr>
      <w:r>
        <w:rPr/>
      </w:r>
    </w:p>
    <w:p>
      <w:pPr>
        <w:pStyle w:val="Heading3"/>
        <w:numPr>
          <w:ilvl w:val="0"/>
          <w:numId w:val="0"/>
        </w:numPr>
        <w:ind w:left="0" w:hanging="0"/>
        <w:rPr>
          <w:b w:val="false"/>
        </w:rPr>
      </w:pPr>
      <w:r>
        <w:rPr/>
      </w:r>
    </w:p>
    <w:p>
      <w:pPr>
        <w:pStyle w:val="Heading3"/>
        <w:numPr>
          <w:ilvl w:val="0"/>
          <w:numId w:val="0"/>
        </w:numPr>
        <w:ind w:left="0" w:hanging="0"/>
        <w:rPr>
          <w:b w:val="false"/>
        </w:rPr>
      </w:pPr>
      <w:r>
        <w:rPr/>
      </w:r>
    </w:p>
    <w:p>
      <w:pPr>
        <w:pStyle w:val="Heading3"/>
        <w:numPr>
          <w:ilvl w:val="0"/>
          <w:numId w:val="0"/>
        </w:numPr>
        <w:ind w:left="0" w:hanging="0"/>
        <w:rPr>
          <w:b w:val="false"/>
        </w:rPr>
      </w:pPr>
      <w:r>
        <w:rPr/>
      </w:r>
    </w:p>
    <w:p>
      <w:pPr>
        <w:pStyle w:val="Heading3"/>
        <w:numPr>
          <w:ilvl w:val="0"/>
          <w:numId w:val="0"/>
        </w:numPr>
        <w:ind w:left="0" w:hanging="0"/>
        <w:rPr>
          <w:b w:val="false"/>
        </w:rPr>
      </w:pPr>
      <w:r>
        <w:rPr/>
      </w:r>
    </w:p>
    <w:p>
      <w:pPr>
        <w:pStyle w:val="Heading3"/>
        <w:numPr>
          <w:ilvl w:val="0"/>
          <w:numId w:val="0"/>
        </w:numPr>
        <w:ind w:left="0" w:hanging="0"/>
        <w:rPr>
          <w:b w:val="false"/>
        </w:rPr>
      </w:pPr>
      <w:r>
        <w:rPr/>
      </w:r>
    </w:p>
    <w:p>
      <w:pPr>
        <w:pStyle w:val="Heading3"/>
        <w:numPr>
          <w:ilvl w:val="0"/>
          <w:numId w:val="0"/>
        </w:numPr>
        <w:ind w:left="0" w:hanging="0"/>
        <w:rPr>
          <w:b w:val="false"/>
        </w:rPr>
      </w:pPr>
      <w:r>
        <w:rPr/>
      </w:r>
    </w:p>
    <w:p>
      <w:pPr>
        <w:pStyle w:val="Heading3"/>
        <w:numPr>
          <w:ilvl w:val="0"/>
          <w:numId w:val="0"/>
        </w:numPr>
        <w:ind w:left="0" w:hanging="0"/>
        <w:rPr>
          <w:b w:val="false"/>
        </w:rPr>
      </w:pPr>
      <w:r>
        <w:rPr/>
      </w:r>
    </w:p>
    <w:p>
      <w:pPr>
        <w:pStyle w:val="Heading3"/>
        <w:numPr>
          <w:ilvl w:val="0"/>
          <w:numId w:val="0"/>
        </w:numPr>
        <w:ind w:left="0" w:hanging="0"/>
        <w:rPr>
          <w:b w:val="false"/>
        </w:rPr>
      </w:pPr>
      <w:r>
        <w:rPr/>
      </w:r>
    </w:p>
    <w:p>
      <w:pPr>
        <w:pStyle w:val="Heading3"/>
        <w:numPr>
          <w:ilvl w:val="0"/>
          <w:numId w:val="0"/>
        </w:numPr>
        <w:ind w:left="0" w:hanging="0"/>
        <w:rPr>
          <w:b w:val="false"/>
        </w:rPr>
      </w:pPr>
      <w:r>
        <w:rPr/>
      </w:r>
    </w:p>
    <w:p>
      <w:pPr>
        <w:pStyle w:val="Heading3"/>
        <w:numPr>
          <w:ilvl w:val="0"/>
          <w:numId w:val="0"/>
        </w:numPr>
        <w:ind w:left="0" w:hanging="0"/>
        <w:rPr>
          <w:b w:val="false"/>
        </w:rPr>
      </w:pPr>
      <w:r>
        <w:rPr/>
      </w:r>
    </w:p>
    <w:p>
      <w:pPr>
        <w:pStyle w:val="Normal"/>
        <w:rPr>
          <w:lang w:val="x-none" w:eastAsia="x-none"/>
        </w:rPr>
      </w:pPr>
      <w:r>
        <w:rPr/>
      </w:r>
    </w:p>
    <w:p>
      <w:pPr>
        <w:pStyle w:val="Heading1"/>
        <w:numPr>
          <w:ilvl w:val="0"/>
          <w:numId w:val="3"/>
        </w:numPr>
        <w:ind w:left="0" w:hanging="0"/>
        <w:rPr>
          <w:sz w:val="24"/>
          <w:szCs w:val="24"/>
        </w:rPr>
      </w:pPr>
      <w:bookmarkStart w:id="14" w:name="_Toc51339693"/>
      <w:bookmarkStart w:id="15" w:name="_Toc50125126"/>
      <w:bookmarkStart w:id="16" w:name="_Toc46743510"/>
      <w:bookmarkStart w:id="17" w:name="_Toc54643702"/>
      <w:bookmarkEnd w:id="15"/>
      <w:bookmarkEnd w:id="16"/>
      <w:r>
        <w:rPr>
          <w:sz w:val="24"/>
          <w:szCs w:val="24"/>
          <w:lang w:val="ru-RU"/>
        </w:rPr>
        <w:t>Требования</w:t>
      </w:r>
      <w:r>
        <w:rPr>
          <w:sz w:val="24"/>
          <w:szCs w:val="24"/>
        </w:rPr>
        <w:t xml:space="preserve"> к </w:t>
      </w:r>
      <w:bookmarkEnd w:id="14"/>
      <w:bookmarkEnd w:id="17"/>
      <w:r>
        <w:rPr>
          <w:sz w:val="24"/>
          <w:szCs w:val="24"/>
        </w:rPr>
        <w:t>услугам</w:t>
      </w:r>
    </w:p>
    <w:p>
      <w:pPr>
        <w:pStyle w:val="Heading4"/>
        <w:numPr>
          <w:ilvl w:val="1"/>
          <w:numId w:val="3"/>
        </w:numPr>
        <w:ind w:left="0" w:hanging="0"/>
        <w:rPr>
          <w:sz w:val="24"/>
          <w:szCs w:val="24"/>
        </w:rPr>
      </w:pPr>
      <w:bookmarkStart w:id="18" w:name="_Toc54643703"/>
      <w:r>
        <w:rPr>
          <w:sz w:val="24"/>
          <w:szCs w:val="24"/>
        </w:rPr>
        <w:t xml:space="preserve">Требования к объемам и срокам </w:t>
      </w:r>
      <w:r>
        <w:rPr>
          <w:sz w:val="24"/>
          <w:szCs w:val="24"/>
          <w:lang w:val="ru-RU"/>
        </w:rPr>
        <w:t>оказания услуг</w:t>
      </w:r>
      <w:bookmarkEnd w:id="18"/>
    </w:p>
    <w:p>
      <w:pPr>
        <w:pStyle w:val="Heading3"/>
        <w:numPr>
          <w:ilvl w:val="2"/>
          <w:numId w:val="3"/>
        </w:numPr>
        <w:ind w:left="0" w:hanging="0"/>
        <w:rPr>
          <w:sz w:val="24"/>
          <w:szCs w:val="24"/>
        </w:rPr>
      </w:pPr>
      <w:bookmarkStart w:id="19" w:name="_Toc54643704"/>
      <w:r>
        <w:rPr>
          <w:sz w:val="24"/>
          <w:szCs w:val="24"/>
        </w:rPr>
        <w:t>Требования к перечню и объему услуг</w:t>
      </w:r>
      <w:bookmarkEnd w:id="19"/>
    </w:p>
    <w:p>
      <w:pPr>
        <w:pStyle w:val="Heading1"/>
        <w:numPr>
          <w:ilvl w:val="0"/>
          <w:numId w:val="0"/>
        </w:numPr>
        <w:ind w:left="426" w:hanging="0"/>
        <w:rPr>
          <w:sz w:val="24"/>
          <w:szCs w:val="24"/>
        </w:rPr>
      </w:pPr>
      <w:bookmarkStart w:id="20" w:name="_Toc54643705"/>
      <w:bookmarkStart w:id="21" w:name="_Toc51339695"/>
      <w:r>
        <w:rPr>
          <w:sz w:val="24"/>
          <w:szCs w:val="24"/>
        </w:rPr>
        <w:t xml:space="preserve">Таблица 2. Перечень </w:t>
      </w:r>
      <w:bookmarkEnd w:id="21"/>
      <w:r>
        <w:rPr>
          <w:sz w:val="24"/>
          <w:szCs w:val="24"/>
        </w:rPr>
        <w:t>и объем оказываемых услуг</w:t>
      </w:r>
      <w:bookmarkEnd w:id="20"/>
    </w:p>
    <w:tbl>
      <w:tblPr>
        <w:tblW w:w="9639" w:type="dxa"/>
        <w:jc w:val="left"/>
        <w:tblInd w:w="250" w:type="dxa"/>
        <w:tblLayout w:type="fixed"/>
        <w:tblCellMar>
          <w:top w:w="0" w:type="dxa"/>
          <w:left w:w="108" w:type="dxa"/>
          <w:bottom w:w="0" w:type="dxa"/>
          <w:right w:w="108" w:type="dxa"/>
        </w:tblCellMar>
        <w:tblLook w:noVBand="1" w:val="04a0" w:noHBand="0" w:lastColumn="0" w:firstColumn="1" w:lastRow="0" w:firstRow="1"/>
      </w:tblPr>
      <w:tblGrid>
        <w:gridCol w:w="566"/>
        <w:gridCol w:w="2693"/>
        <w:gridCol w:w="4537"/>
        <w:gridCol w:w="1842"/>
      </w:tblGrid>
      <w:tr>
        <w:trPr>
          <w:trHeight w:val="725"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Наименование техники</w:t>
            </w:r>
          </w:p>
          <w:p>
            <w:pPr>
              <w:pStyle w:val="Normal"/>
              <w:widowControl w:val="false"/>
              <w:jc w:val="center"/>
              <w:rPr>
                <w:i/>
                <w:i/>
                <w:sz w:val="24"/>
                <w:szCs w:val="24"/>
              </w:rPr>
            </w:pPr>
            <w:r>
              <w:rPr>
                <w:i/>
                <w:sz w:val="24"/>
                <w:szCs w:val="24"/>
              </w:rPr>
            </w:r>
          </w:p>
        </w:tc>
        <w:tc>
          <w:tcPr>
            <w:tcW w:w="45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 xml:space="preserve">Требования к техническим характеристикам </w:t>
            </w:r>
          </w:p>
          <w:p>
            <w:pPr>
              <w:pStyle w:val="Normal"/>
              <w:widowControl w:val="false"/>
              <w:jc w:val="center"/>
              <w:rPr>
                <w:b/>
                <w:bCs/>
                <w:sz w:val="24"/>
                <w:szCs w:val="24"/>
              </w:rPr>
            </w:pPr>
            <w:r>
              <w:rPr>
                <w:b/>
                <w:bCs/>
                <w:sz w:val="24"/>
                <w:szCs w:val="24"/>
              </w:rPr>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84" w:leader="none"/>
                <w:tab w:val="left" w:pos="426" w:leader="none"/>
              </w:tabs>
              <w:jc w:val="center"/>
              <w:rPr>
                <w:sz w:val="24"/>
                <w:szCs w:val="24"/>
              </w:rPr>
            </w:pPr>
            <w:r>
              <w:rPr>
                <w:sz w:val="24"/>
                <w:szCs w:val="24"/>
              </w:rPr>
              <w:t>Ориентировочный расчетный объем,  маш-час</w:t>
            </w:r>
          </w:p>
        </w:tc>
      </w:tr>
      <w:tr>
        <w:trPr>
          <w:trHeight w:val="351"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1</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2</w:t>
            </w:r>
          </w:p>
        </w:tc>
        <w:tc>
          <w:tcPr>
            <w:tcW w:w="45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3</w:t>
            </w:r>
          </w:p>
        </w:tc>
        <w:tc>
          <w:tcPr>
            <w:tcW w:w="184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4</w:t>
            </w:r>
          </w:p>
        </w:tc>
      </w:tr>
      <w:tr>
        <w:trPr>
          <w:trHeight w:val="838" w:hRule="atLeast"/>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9"/>
              </w:numPr>
              <w:spacing w:lineRule="auto" w:line="360"/>
              <w:ind w:left="34" w:hanging="6"/>
              <w:jc w:val="center"/>
              <w:rPr>
                <w:bCs/>
                <w:sz w:val="24"/>
                <w:szCs w:val="24"/>
              </w:rPr>
            </w:pPr>
            <w:r>
              <w:rPr>
                <w:bCs/>
                <w:sz w:val="24"/>
                <w:szCs w:val="24"/>
              </w:rPr>
            </w:r>
          </w:p>
        </w:tc>
        <w:tc>
          <w:tcPr>
            <w:tcW w:w="269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shd w:val="clear" w:color="auto" w:fill="FFFFFF"/>
              <w:spacing w:before="0" w:after="75"/>
              <w:outlineLvl w:val="0"/>
              <w:rPr>
                <w:kern w:val="2"/>
                <w:sz w:val="24"/>
                <w:szCs w:val="24"/>
              </w:rPr>
            </w:pPr>
            <w:r>
              <w:rPr>
                <w:rFonts w:eastAsia="Calibri"/>
                <w:bCs/>
                <w:sz w:val="24"/>
                <w:lang w:eastAsia="en-US"/>
              </w:rPr>
              <w:t>Автобус/Микроавтобус</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bCs/>
                <w:sz w:val="24"/>
              </w:rPr>
            </w:pPr>
            <w:r>
              <w:rPr>
                <w:bCs/>
                <w:sz w:val="24"/>
              </w:rPr>
              <w:t>Количество посадочных мест:</w:t>
            </w:r>
          </w:p>
          <w:p>
            <w:pPr>
              <w:pStyle w:val="Normal"/>
              <w:widowControl w:val="false"/>
              <w:suppressAutoHyphens w:val="true"/>
              <w:jc w:val="both"/>
              <w:rPr>
                <w:sz w:val="24"/>
                <w:szCs w:val="24"/>
              </w:rPr>
            </w:pPr>
            <w:r>
              <w:rPr>
                <w:bCs/>
                <w:sz w:val="24"/>
              </w:rPr>
              <w:t>Автобус не менее 23/ Микроавтобус не менее 19</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highlight w:val="none"/>
                <w:shd w:fill="FFFFFF" w:val="clear"/>
              </w:rPr>
            </w:pPr>
            <w:r>
              <w:rPr>
                <w:sz w:val="24"/>
                <w:szCs w:val="24"/>
                <w:shd w:fill="FFFFFF" w:val="clear"/>
              </w:rPr>
              <w:t>421</w:t>
            </w:r>
          </w:p>
        </w:tc>
      </w:tr>
      <w:tr>
        <w:trPr>
          <w:trHeight w:val="293" w:hRule="atLeast"/>
        </w:trPr>
        <w:tc>
          <w:tcPr>
            <w:tcW w:w="5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spacing w:lineRule="auto" w:line="360"/>
              <w:ind w:left="34" w:hanging="0"/>
              <w:jc w:val="center"/>
              <w:rPr>
                <w:bCs/>
                <w:sz w:val="24"/>
                <w:szCs w:val="24"/>
              </w:rPr>
            </w:pPr>
            <w:r>
              <w:rPr>
                <w:bCs/>
                <w:sz w:val="24"/>
                <w:szCs w:val="24"/>
              </w:rPr>
            </w:r>
          </w:p>
        </w:tc>
        <w:tc>
          <w:tcPr>
            <w:tcW w:w="269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shd w:val="clear" w:color="auto" w:fill="FFFFFF"/>
              <w:spacing w:before="0" w:after="75"/>
              <w:outlineLvl w:val="0"/>
              <w:rPr>
                <w:rFonts w:eastAsia="Calibri"/>
                <w:bCs/>
                <w:sz w:val="24"/>
                <w:lang w:eastAsia="en-US"/>
              </w:rPr>
            </w:pPr>
            <w:r>
              <w:rPr>
                <w:rFonts w:eastAsia="Calibri"/>
                <w:bCs/>
                <w:sz w:val="24"/>
                <w:lang w:eastAsia="en-US"/>
              </w:rPr>
            </w:r>
          </w:p>
        </w:tc>
        <w:tc>
          <w:tcPr>
            <w:tcW w:w="45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both"/>
              <w:rPr>
                <w:sz w:val="24"/>
                <w:szCs w:val="24"/>
              </w:rPr>
            </w:pPr>
            <w:r>
              <w:rPr>
                <w:bCs/>
                <w:sz w:val="24"/>
              </w:rPr>
              <w:t>Температура воздуха в салоне не ниже +15 Сº</w:t>
            </w:r>
          </w:p>
        </w:tc>
        <w:tc>
          <w:tcPr>
            <w:tcW w:w="184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sz w:val="24"/>
                <w:szCs w:val="24"/>
              </w:rPr>
            </w:pPr>
            <w:r>
              <w:rPr>
                <w:sz w:val="24"/>
                <w:szCs w:val="24"/>
              </w:rPr>
            </w:r>
          </w:p>
        </w:tc>
      </w:tr>
      <w:tr>
        <w:trPr>
          <w:trHeight w:val="292" w:hRule="atLeast"/>
        </w:trPr>
        <w:tc>
          <w:tcPr>
            <w:tcW w:w="5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spacing w:lineRule="auto" w:line="360"/>
              <w:ind w:left="34" w:hanging="0"/>
              <w:jc w:val="center"/>
              <w:rPr>
                <w:bCs/>
                <w:sz w:val="24"/>
                <w:szCs w:val="24"/>
              </w:rPr>
            </w:pPr>
            <w:r>
              <w:rPr>
                <w:bCs/>
                <w:sz w:val="24"/>
                <w:szCs w:val="24"/>
              </w:rPr>
            </w:r>
          </w:p>
        </w:tc>
        <w:tc>
          <w:tcPr>
            <w:tcW w:w="269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shd w:val="clear" w:color="auto" w:fill="FFFFFF"/>
              <w:spacing w:before="0" w:after="75"/>
              <w:outlineLvl w:val="0"/>
              <w:rPr>
                <w:rFonts w:eastAsia="Calibri"/>
                <w:bCs/>
                <w:sz w:val="24"/>
                <w:lang w:eastAsia="en-US"/>
              </w:rPr>
            </w:pPr>
            <w:r>
              <w:rPr>
                <w:rFonts w:eastAsia="Calibri"/>
                <w:bCs/>
                <w:sz w:val="24"/>
                <w:lang w:eastAsia="en-US"/>
              </w:rPr>
            </w:r>
          </w:p>
        </w:tc>
        <w:tc>
          <w:tcPr>
            <w:tcW w:w="45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both"/>
              <w:rPr>
                <w:bCs/>
                <w:sz w:val="24"/>
              </w:rPr>
            </w:pPr>
            <w:r>
              <w:rPr>
                <w:bCs/>
                <w:sz w:val="24"/>
              </w:rPr>
              <w:t>Срок эксплуатации автотранспорта со дня изготовления на 01.01.2026 не должен превышать пять (5) лет</w:t>
            </w:r>
          </w:p>
        </w:tc>
        <w:tc>
          <w:tcPr>
            <w:tcW w:w="184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sz w:val="24"/>
                <w:szCs w:val="24"/>
              </w:rPr>
            </w:pPr>
            <w:r>
              <w:rPr>
                <w:sz w:val="24"/>
                <w:szCs w:val="24"/>
              </w:rPr>
            </w:r>
          </w:p>
        </w:tc>
      </w:tr>
    </w:tbl>
    <w:p>
      <w:pPr>
        <w:pStyle w:val="Heading3"/>
        <w:numPr>
          <w:ilvl w:val="0"/>
          <w:numId w:val="0"/>
        </w:numPr>
        <w:ind w:left="567" w:hanging="0"/>
        <w:rPr/>
      </w:pPr>
      <w:r>
        <w:rPr/>
      </w:r>
    </w:p>
    <w:p>
      <w:pPr>
        <w:pStyle w:val="Heading3"/>
        <w:numPr>
          <w:ilvl w:val="2"/>
          <w:numId w:val="3"/>
        </w:numPr>
        <w:ind w:left="0" w:hanging="0"/>
        <w:rPr>
          <w:sz w:val="24"/>
          <w:szCs w:val="24"/>
        </w:rPr>
      </w:pPr>
      <w:r>
        <w:rPr>
          <w:sz w:val="24"/>
          <w:szCs w:val="24"/>
        </w:rPr>
        <w:t>Требования к срокам оказания услуг</w:t>
      </w:r>
    </w:p>
    <w:p>
      <w:pPr>
        <w:pStyle w:val="Heading1"/>
        <w:numPr>
          <w:ilvl w:val="0"/>
          <w:numId w:val="0"/>
        </w:numPr>
        <w:ind w:left="426" w:hanging="0"/>
        <w:rPr>
          <w:sz w:val="24"/>
          <w:szCs w:val="24"/>
        </w:rPr>
      </w:pPr>
      <w:bookmarkStart w:id="22" w:name="_Toc50125126"/>
      <w:bookmarkStart w:id="23" w:name="_Toc54643707"/>
      <w:bookmarkStart w:id="24" w:name="_Toc51339697"/>
      <w:bookmarkStart w:id="25" w:name="_Toc50125127"/>
      <w:bookmarkEnd w:id="22"/>
      <w:r>
        <w:rPr>
          <w:sz w:val="24"/>
          <w:szCs w:val="24"/>
        </w:rPr>
        <w:t xml:space="preserve">Таблица </w:t>
      </w:r>
      <w:r>
        <w:rPr>
          <w:sz w:val="24"/>
          <w:szCs w:val="24"/>
          <w:lang w:val="ru-RU"/>
        </w:rPr>
        <w:t>3</w:t>
      </w:r>
      <w:r>
        <w:rPr>
          <w:sz w:val="24"/>
          <w:szCs w:val="24"/>
        </w:rPr>
        <w:t xml:space="preserve">. </w:t>
      </w:r>
      <w:bookmarkStart w:id="26" w:name="_Hlk50465284"/>
      <w:r>
        <w:rPr>
          <w:sz w:val="24"/>
          <w:szCs w:val="24"/>
        </w:rPr>
        <w:t xml:space="preserve">Требования </w:t>
      </w:r>
      <w:r>
        <w:rPr>
          <w:sz w:val="24"/>
          <w:szCs w:val="24"/>
          <w:lang w:val="ru-RU"/>
        </w:rPr>
        <w:t>к</w:t>
      </w:r>
      <w:r>
        <w:rPr>
          <w:sz w:val="24"/>
          <w:szCs w:val="24"/>
        </w:rPr>
        <w:t xml:space="preserve"> срокам </w:t>
      </w:r>
      <w:bookmarkEnd w:id="24"/>
      <w:bookmarkEnd w:id="25"/>
      <w:bookmarkEnd w:id="26"/>
      <w:r>
        <w:rPr>
          <w:sz w:val="24"/>
          <w:szCs w:val="24"/>
          <w:lang w:val="ru-RU"/>
        </w:rPr>
        <w:t>оказания услуг</w:t>
      </w:r>
      <w:bookmarkEnd w:id="23"/>
    </w:p>
    <w:tbl>
      <w:tblPr>
        <w:tblW w:w="9633" w:type="dxa"/>
        <w:jc w:val="left"/>
        <w:tblInd w:w="250" w:type="dxa"/>
        <w:tblLayout w:type="fixed"/>
        <w:tblCellMar>
          <w:top w:w="0" w:type="dxa"/>
          <w:left w:w="108" w:type="dxa"/>
          <w:bottom w:w="0" w:type="dxa"/>
          <w:right w:w="108" w:type="dxa"/>
        </w:tblCellMar>
        <w:tblLook w:noVBand="1" w:val="04a0" w:noHBand="0" w:lastColumn="0" w:firstColumn="1" w:lastRow="0" w:firstRow="1"/>
      </w:tblPr>
      <w:tblGrid>
        <w:gridCol w:w="850"/>
        <w:gridCol w:w="4678"/>
        <w:gridCol w:w="1983"/>
        <w:gridCol w:w="2121"/>
      </w:tblGrid>
      <w:tr>
        <w:trPr/>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46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услуг/ этапа услуг</w:t>
            </w:r>
          </w:p>
        </w:tc>
        <w:tc>
          <w:tcPr>
            <w:tcW w:w="19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оказания услуг/ этапа услуг</w:t>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оказания услуг / этапа услуг</w:t>
            </w:r>
          </w:p>
        </w:tc>
      </w:tr>
      <w:tr>
        <w:trPr/>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8"/>
              </w:numPr>
              <w:suppressAutoHyphens w:val="true"/>
              <w:rPr/>
            </w:pPr>
            <w:r>
              <w:rPr/>
            </w:r>
          </w:p>
        </w:tc>
        <w:tc>
          <w:tcPr>
            <w:tcW w:w="4678" w:type="dxa"/>
            <w:tcBorders>
              <w:top w:val="single" w:sz="4" w:space="0" w:color="000000"/>
              <w:left w:val="single" w:sz="4" w:space="0" w:color="000000"/>
              <w:bottom w:val="single" w:sz="4" w:space="0" w:color="000000"/>
              <w:right w:val="single" w:sz="4" w:space="0" w:color="000000"/>
            </w:tcBorders>
            <w:shd w:color="auto" w:fill="auto" w:val="clear"/>
          </w:tcPr>
          <w:p>
            <w:pPr>
              <w:pStyle w:val="Normal"/>
              <w:bidi w:val="0"/>
              <w:jc w:val="left"/>
              <w:rPr>
                <w:color w:val="000000"/>
                <w:sz w:val="28"/>
                <w:szCs w:val="28"/>
              </w:rPr>
            </w:pPr>
            <w:r>
              <w:rPr>
                <w:rFonts w:eastAsia="Calibri"/>
                <w:b w:val="false"/>
                <w:i w:val="false"/>
                <w:strike w:val="false"/>
                <w:dstrike w:val="false"/>
                <w:outline w:val="false"/>
                <w:shadow w:val="false"/>
                <w:color w:val="000000"/>
                <w:sz w:val="24"/>
                <w:szCs w:val="24"/>
                <w:u w:val="none"/>
                <w:em w:val="none"/>
                <w:lang w:eastAsia="x-none"/>
              </w:rPr>
              <w:t>ОКПД2 49.39.13.000 Оказание услуг по перевозке сотрудников производственного участка АО "Гидроремонт-ВКК" в г. Новосибирск</w:t>
            </w:r>
          </w:p>
        </w:tc>
        <w:tc>
          <w:tcPr>
            <w:tcW w:w="19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 xml:space="preserve">с даты заключения договора </w:t>
            </w:r>
          </w:p>
        </w:tc>
        <w:tc>
          <w:tcPr>
            <w:tcW w:w="21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 xml:space="preserve">До </w:t>
            </w:r>
            <w:r>
              <w:rPr>
                <w:sz w:val="24"/>
                <w:szCs w:val="24"/>
              </w:rPr>
              <w:t xml:space="preserve">31.12.2026 </w:t>
            </w:r>
            <w:r>
              <w:rPr>
                <w:sz w:val="24"/>
                <w:szCs w:val="24"/>
              </w:rPr>
              <w:t>с даты подписания Договора</w:t>
            </w:r>
          </w:p>
        </w:tc>
      </w:tr>
    </w:tbl>
    <w:p>
      <w:pPr>
        <w:sectPr>
          <w:headerReference w:type="even" r:id="rId2"/>
          <w:headerReference w:type="default" r:id="rId3"/>
          <w:footerReference w:type="default" r:id="rId4"/>
          <w:type w:val="nextPage"/>
          <w:pgSz w:w="11906" w:h="16838"/>
          <w:pgMar w:left="1418" w:right="849" w:gutter="0" w:header="680" w:top="737" w:footer="737" w:bottom="794"/>
          <w:pgNumType w:fmt="decimal"/>
          <w:formProt w:val="false"/>
          <w:titlePg/>
          <w:textDirection w:val="lrTb"/>
          <w:docGrid w:type="default" w:linePitch="360" w:charSpace="0"/>
        </w:sectPr>
      </w:pPr>
    </w:p>
    <w:p>
      <w:pPr>
        <w:pStyle w:val="Heading1"/>
        <w:numPr>
          <w:ilvl w:val="0"/>
          <w:numId w:val="0"/>
        </w:numPr>
        <w:ind w:left="0" w:hanging="0"/>
        <w:rPr>
          <w:lang w:val="ru-RU"/>
        </w:rPr>
      </w:pPr>
      <w:bookmarkStart w:id="27" w:name="_Toc46743510"/>
      <w:bookmarkEnd w:id="27"/>
      <w:r>
        <w:rPr>
          <w:lang w:val="ru-RU"/>
        </w:rPr>
        <w:t>3</w:t>
      </w:r>
      <w:bookmarkStart w:id="28" w:name="_Toc54643709"/>
      <w:bookmarkStart w:id="29" w:name="_Toc51339698"/>
      <w:r>
        <w:rPr/>
        <w:t xml:space="preserve">. Требования к </w:t>
      </w:r>
      <w:bookmarkEnd w:id="29"/>
      <w:r>
        <w:rPr>
          <w:lang w:val="ru-RU"/>
        </w:rPr>
        <w:t>качеству услуг</w:t>
      </w:r>
      <w:bookmarkEnd w:id="28"/>
      <w:r>
        <w:rPr/>
        <w:t xml:space="preserve"> </w:t>
      </w:r>
    </w:p>
    <w:p>
      <w:pPr>
        <w:pStyle w:val="Heading1"/>
        <w:keepLines/>
        <w:numPr>
          <w:ilvl w:val="0"/>
          <w:numId w:val="0"/>
        </w:numPr>
        <w:spacing w:before="240" w:after="60"/>
        <w:ind w:left="0" w:hanging="0"/>
        <w:rPr>
          <w:sz w:val="24"/>
          <w:szCs w:val="24"/>
        </w:rPr>
      </w:pPr>
      <w:r>
        <w:rPr>
          <w:sz w:val="24"/>
          <w:szCs w:val="24"/>
        </w:rPr>
        <w:t>Таблица </w:t>
      </w:r>
      <w:r>
        <w:rPr>
          <w:sz w:val="24"/>
          <w:szCs w:val="24"/>
          <w:lang w:val="ru-RU"/>
        </w:rPr>
        <w:t>4</w:t>
      </w:r>
      <w:r>
        <w:rPr>
          <w:sz w:val="24"/>
          <w:szCs w:val="24"/>
        </w:rPr>
        <w:t xml:space="preserve">. Требования к </w:t>
      </w:r>
      <w:r>
        <w:rPr>
          <w:sz w:val="24"/>
          <w:szCs w:val="24"/>
          <w:lang w:val="ru-RU"/>
        </w:rPr>
        <w:t xml:space="preserve">качеству </w:t>
      </w:r>
      <w:r>
        <w:rPr>
          <w:sz w:val="24"/>
          <w:szCs w:val="24"/>
          <w:lang w:val="ru-RU"/>
        </w:rPr>
        <w:t>услуг</w:t>
      </w:r>
    </w:p>
    <w:p>
      <w:pPr>
        <w:pStyle w:val="Normal"/>
        <w:rPr>
          <w:i/>
          <w:i/>
          <w:iCs/>
          <w:shd w:fill="FFFF99" w:val="clear"/>
        </w:rPr>
      </w:pPr>
      <w:r>
        <w:rPr>
          <w:b/>
          <w:bCs/>
          <w:sz w:val="24"/>
          <w:szCs w:val="24"/>
          <w:lang w:val="ru-RU"/>
        </w:rPr>
        <w:t xml:space="preserve">Наименование услуг (позиция </w:t>
      </w:r>
      <w:r>
        <w:rPr>
          <w:b/>
          <w:bCs/>
          <w:sz w:val="24"/>
          <w:szCs w:val="24"/>
          <w:shd w:fill="FFFFFF" w:val="clear"/>
          <w:lang w:val="ru-RU"/>
        </w:rPr>
        <w:t>№</w:t>
      </w:r>
      <w:r>
        <w:rPr>
          <w:b/>
          <w:bCs/>
          <w:sz w:val="24"/>
          <w:szCs w:val="24"/>
          <w:shd w:fill="FFFFFF" w:val="clear"/>
          <w:lang w:val="ru-RU"/>
        </w:rPr>
        <w:t>1</w:t>
      </w:r>
      <w:r>
        <w:rPr>
          <w:rStyle w:val="Style8"/>
          <w:b w:val="false"/>
          <w:bCs/>
          <w:sz w:val="24"/>
          <w:szCs w:val="24"/>
          <w:shd w:fill="FFFFFF" w:val="clear"/>
          <w:lang w:val="ru-RU"/>
        </w:rPr>
        <w:t xml:space="preserve"> </w:t>
      </w:r>
      <w:r>
        <w:rPr>
          <w:b/>
          <w:bCs/>
          <w:sz w:val="24"/>
          <w:szCs w:val="24"/>
          <w:shd w:fill="FFFFFF" w:val="clear"/>
          <w:lang w:val="ru-RU"/>
        </w:rPr>
        <w:t xml:space="preserve">Таблицы 2): </w:t>
      </w:r>
      <w:r>
        <w:rPr>
          <w:rFonts w:eastAsia="Calibri"/>
          <w:b/>
          <w:bCs/>
          <w:i w:val="false"/>
          <w:strike w:val="false"/>
          <w:dstrike w:val="false"/>
          <w:outline w:val="false"/>
          <w:shadow w:val="false"/>
          <w:color w:val="000000"/>
          <w:sz w:val="24"/>
          <w:szCs w:val="24"/>
          <w:u w:val="none"/>
          <w:shd w:fill="FFFFFF" w:val="clear"/>
          <w:em w:val="none"/>
          <w:lang w:val="ru-RU" w:eastAsia="x-none"/>
        </w:rPr>
        <w:t>ОКПД2 49.39.13.000 Оказание услуг по перевозке сотрудников производственного участка АО "Гидроремонт-ВКК" в г. Новосибирск</w:t>
      </w:r>
    </w:p>
    <w:tbl>
      <w:tblPr>
        <w:tblStyle w:val="af"/>
        <w:tblW w:w="10065" w:type="dxa"/>
        <w:jc w:val="left"/>
        <w:tblInd w:w="108" w:type="dxa"/>
        <w:tblLayout w:type="fixed"/>
        <w:tblCellMar>
          <w:top w:w="0" w:type="dxa"/>
          <w:left w:w="108" w:type="dxa"/>
          <w:bottom w:w="0" w:type="dxa"/>
          <w:right w:w="108" w:type="dxa"/>
        </w:tblCellMar>
        <w:tblLook w:noVBand="1" w:val="04a0" w:noHBand="0" w:lastColumn="0" w:firstColumn="1" w:lastRow="0" w:firstRow="1"/>
      </w:tblPr>
      <w:tblGrid>
        <w:gridCol w:w="851"/>
        <w:gridCol w:w="1822"/>
        <w:gridCol w:w="7392"/>
      </w:tblGrid>
      <w:tr>
        <w:trPr/>
        <w:tc>
          <w:tcPr>
            <w:tcW w:w="851" w:type="dxa"/>
            <w:tcBorders/>
            <w:vAlign w:val="center"/>
          </w:tcPr>
          <w:p>
            <w:pPr>
              <w:pStyle w:val="Normal"/>
              <w:widowControl/>
              <w:spacing w:before="0" w:after="0"/>
              <w:jc w:val="center"/>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bCs/>
                <w:i w:val="false"/>
                <w:iCs w:val="false"/>
                <w:kern w:val="0"/>
                <w:sz w:val="24"/>
                <w:szCs w:val="24"/>
                <w:lang w:val="ru-RU" w:eastAsia="ru-RU" w:bidi="ar-SA"/>
              </w:rPr>
              <w:t xml:space="preserve">№ </w:t>
            </w:r>
            <w:r>
              <w:rPr>
                <w:rFonts w:eastAsia="Times New Roman" w:cs="Times New Roman"/>
                <w:b/>
                <w:bCs/>
                <w:i w:val="false"/>
                <w:iCs w:val="false"/>
                <w:kern w:val="0"/>
                <w:sz w:val="24"/>
                <w:szCs w:val="24"/>
                <w:lang w:val="ru-RU" w:eastAsia="ru-RU" w:bidi="ar-SA"/>
              </w:rPr>
              <w:t>п/п</w:t>
            </w:r>
          </w:p>
        </w:tc>
        <w:tc>
          <w:tcPr>
            <w:tcW w:w="1822" w:type="dxa"/>
            <w:tcBorders/>
            <w:vAlign w:val="center"/>
          </w:tcPr>
          <w:p>
            <w:pPr>
              <w:pStyle w:val="Normal"/>
              <w:widowControl/>
              <w:spacing w:before="0" w:after="0"/>
              <w:jc w:val="center"/>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bCs/>
                <w:i w:val="false"/>
                <w:iCs w:val="false"/>
                <w:kern w:val="0"/>
                <w:sz w:val="24"/>
                <w:szCs w:val="24"/>
                <w:lang w:val="ru-RU" w:eastAsia="ru-RU" w:bidi="ar-SA"/>
              </w:rPr>
              <w:t>Наименование параметра</w:t>
            </w:r>
          </w:p>
        </w:tc>
        <w:tc>
          <w:tcPr>
            <w:tcW w:w="7392" w:type="dxa"/>
            <w:tcBorders/>
            <w:vAlign w:val="center"/>
          </w:tcPr>
          <w:p>
            <w:pPr>
              <w:pStyle w:val="Normal"/>
              <w:widowControl/>
              <w:spacing w:before="0" w:after="0"/>
              <w:jc w:val="center"/>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bCs/>
                <w:i w:val="false"/>
                <w:iCs w:val="false"/>
                <w:kern w:val="0"/>
                <w:sz w:val="24"/>
                <w:szCs w:val="24"/>
                <w:lang w:val="ru-RU" w:eastAsia="ru-RU" w:bidi="ar-SA"/>
              </w:rPr>
              <w:t>Требование заказчика</w:t>
            </w:r>
          </w:p>
        </w:tc>
      </w:tr>
      <w:tr>
        <w:trPr/>
        <w:tc>
          <w:tcPr>
            <w:tcW w:w="851" w:type="dxa"/>
            <w:tcBorders/>
            <w:vAlign w:val="center"/>
          </w:tcPr>
          <w:p>
            <w:pPr>
              <w:pStyle w:val="Normal"/>
              <w:widowControl/>
              <w:spacing w:before="0" w:after="0"/>
              <w:jc w:val="center"/>
              <w:rPr>
                <w:rFonts w:ascii="Times New Roman" w:hAnsi="Times New Roman" w:eastAsia="Times New Roman" w:cs="Times New Roman"/>
                <w:i w:val="false"/>
                <w:i w:val="false"/>
                <w:iCs w:val="false"/>
                <w:kern w:val="0"/>
                <w:sz w:val="24"/>
                <w:szCs w:val="24"/>
                <w:lang w:val="ru-RU" w:eastAsia="ru-RU" w:bidi="ar-SA"/>
              </w:rPr>
            </w:pPr>
            <w:bookmarkStart w:id="30" w:name="_Toc53499667"/>
            <w:r>
              <w:rPr>
                <w:rFonts w:eastAsia="Times New Roman" w:cs="Times New Roman"/>
                <w:b/>
                <w:bCs/>
                <w:i w:val="false"/>
                <w:iCs w:val="false"/>
                <w:kern w:val="0"/>
                <w:sz w:val="24"/>
                <w:szCs w:val="24"/>
                <w:lang w:val="ru-RU" w:eastAsia="ru-RU" w:bidi="ar-SA"/>
              </w:rPr>
              <w:t>1</w:t>
            </w:r>
            <w:bookmarkEnd w:id="30"/>
          </w:p>
        </w:tc>
        <w:tc>
          <w:tcPr>
            <w:tcW w:w="1822" w:type="dxa"/>
            <w:tcBorders/>
            <w:vAlign w:val="center"/>
          </w:tcPr>
          <w:p>
            <w:pPr>
              <w:pStyle w:val="Normal"/>
              <w:widowControl/>
              <w:spacing w:before="0" w:after="0"/>
              <w:jc w:val="center"/>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bCs/>
                <w:i w:val="false"/>
                <w:iCs w:val="false"/>
                <w:kern w:val="0"/>
                <w:sz w:val="24"/>
                <w:szCs w:val="24"/>
                <w:lang w:val="ru-RU" w:eastAsia="ru-RU" w:bidi="ar-SA"/>
              </w:rPr>
              <w:t>2</w:t>
            </w:r>
          </w:p>
        </w:tc>
        <w:tc>
          <w:tcPr>
            <w:tcW w:w="7392" w:type="dxa"/>
            <w:tcBorders/>
            <w:vAlign w:val="center"/>
          </w:tcPr>
          <w:p>
            <w:pPr>
              <w:pStyle w:val="Normal"/>
              <w:widowControl/>
              <w:spacing w:before="0" w:after="0"/>
              <w:jc w:val="center"/>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bCs/>
                <w:i w:val="false"/>
                <w:iCs w:val="false"/>
                <w:kern w:val="0"/>
                <w:sz w:val="24"/>
                <w:szCs w:val="24"/>
                <w:lang w:val="ru-RU" w:eastAsia="ru-RU" w:bidi="ar-SA"/>
              </w:rPr>
              <w:t>3</w:t>
            </w:r>
          </w:p>
        </w:tc>
      </w:tr>
      <w:tr>
        <w:trPr/>
        <w:tc>
          <w:tcPr>
            <w:tcW w:w="851" w:type="dxa"/>
            <w:tcBorders/>
            <w:vAlign w:val="center"/>
          </w:tcPr>
          <w:p>
            <w:pPr>
              <w:pStyle w:val="ListParagraph"/>
              <w:widowControl/>
              <w:numPr>
                <w:ilvl w:val="0"/>
                <w:numId w:val="6"/>
              </w:numPr>
              <w:spacing w:before="60" w:after="60"/>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9214" w:type="dxa"/>
            <w:gridSpan w:val="2"/>
            <w:tcBorders/>
            <w:vAlign w:val="center"/>
          </w:tcPr>
          <w:p>
            <w:pPr>
              <w:pStyle w:val="Normal"/>
              <w:widowControl/>
              <w:spacing w:before="0" w:after="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i w:val="false"/>
                <w:iCs w:val="false"/>
                <w:kern w:val="0"/>
                <w:sz w:val="24"/>
                <w:szCs w:val="24"/>
                <w:lang w:val="ru-RU" w:eastAsia="ru-RU" w:bidi="ar-SA"/>
              </w:rPr>
              <w:t xml:space="preserve">Требования к оказанию услуг </w:t>
            </w:r>
          </w:p>
        </w:tc>
      </w:tr>
      <w:tr>
        <w:trPr/>
        <w:tc>
          <w:tcPr>
            <w:tcW w:w="851" w:type="dxa"/>
            <w:tcBorders/>
            <w:vAlign w:val="center"/>
          </w:tcPr>
          <w:p>
            <w:pPr>
              <w:pStyle w:val="ListParagraph"/>
              <w:widowControl/>
              <w:numPr>
                <w:ilvl w:val="2"/>
                <w:numId w:val="6"/>
              </w:numPr>
              <w:spacing w:before="60" w:after="60"/>
              <w:ind w:left="1224" w:hanging="1199"/>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1822" w:type="dxa"/>
            <w:tcBorders/>
            <w:shd w:color="auto" w:fill="auto" w:val="clear"/>
          </w:tcPr>
          <w:p>
            <w:pPr>
              <w:pStyle w:val="Normal"/>
              <w:widowControl/>
              <w:spacing w:before="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Наличие разрешающих документов на выполнение деятельности в рамках Договора</w:t>
            </w:r>
          </w:p>
        </w:tc>
        <w:tc>
          <w:tcPr>
            <w:tcW w:w="7392" w:type="dxa"/>
            <w:tcBorders/>
            <w:shd w:color="auto" w:fill="auto" w:val="clear"/>
          </w:tcPr>
          <w:p>
            <w:pPr>
              <w:pStyle w:val="Normal"/>
              <w:widowControl/>
              <w:spacing w:before="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Исполнитель должен обязательно иметь лицензию на право выполнения пассажирских перевозок на автотранспорте, который рассчитан минимум на 8 и более человек (в соответствии с Федеральным законом №386 от 30 октября 2018).</w:t>
            </w:r>
          </w:p>
          <w:p>
            <w:pPr>
              <w:pStyle w:val="Normal"/>
              <w:widowControl/>
              <w:spacing w:before="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r>
          </w:p>
          <w:p>
            <w:pPr>
              <w:pStyle w:val="Normal"/>
              <w:widowControl/>
              <w:spacing w:before="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Исполнитель обязан оформлять путевые листы в соответствии с требованиями статьи 6 Федерального закона №259-ФЗ от 08.11.2007 «Устав автомобильного транспорта и городского наземного электрического транспорта» (с изменениями и дополнениями). Предъявление оригиналов путевых листов по окончанию месяца – обязательно.</w:t>
            </w:r>
          </w:p>
        </w:tc>
      </w:tr>
      <w:tr>
        <w:trPr/>
        <w:tc>
          <w:tcPr>
            <w:tcW w:w="851" w:type="dxa"/>
            <w:tcBorders/>
            <w:vAlign w:val="center"/>
          </w:tcPr>
          <w:p>
            <w:pPr>
              <w:pStyle w:val="ListParagraph"/>
              <w:widowControl/>
              <w:numPr>
                <w:ilvl w:val="1"/>
                <w:numId w:val="6"/>
              </w:numPr>
              <w:spacing w:before="60" w:after="60"/>
              <w:ind w:left="-117" w:firstLine="142"/>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9214" w:type="dxa"/>
            <w:gridSpan w:val="2"/>
            <w:tcBorders/>
            <w:vAlign w:val="center"/>
          </w:tcPr>
          <w:p>
            <w:pPr>
              <w:pStyle w:val="Normal"/>
              <w:widowControl/>
              <w:spacing w:before="60" w:after="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i w:val="false"/>
                <w:iCs w:val="false"/>
                <w:kern w:val="0"/>
                <w:sz w:val="24"/>
                <w:szCs w:val="24"/>
                <w:lang w:val="ru-RU" w:eastAsia="ru-RU" w:bidi="ar-SA"/>
              </w:rPr>
              <w:t>Требования к процедурам оказания услуг</w:t>
            </w:r>
          </w:p>
        </w:tc>
      </w:tr>
      <w:tr>
        <w:trPr/>
        <w:tc>
          <w:tcPr>
            <w:tcW w:w="851" w:type="dxa"/>
            <w:tcBorders/>
            <w:vAlign w:val="center"/>
          </w:tcPr>
          <w:p>
            <w:pPr>
              <w:pStyle w:val="ListParagraph"/>
              <w:widowControl/>
              <w:numPr>
                <w:ilvl w:val="2"/>
                <w:numId w:val="6"/>
              </w:numPr>
              <w:spacing w:before="60" w:after="60"/>
              <w:ind w:left="1224" w:hanging="1199"/>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1822" w:type="dxa"/>
            <w:tcBorders/>
          </w:tcPr>
          <w:p>
            <w:pPr>
              <w:pStyle w:val="Normal"/>
              <w:widowControl w:val="false"/>
              <w:tabs>
                <w:tab w:val="clear" w:pos="708"/>
                <w:tab w:val="left" w:pos="426" w:leader="none"/>
              </w:tabs>
              <w:spacing w:before="6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Ответственность Исполнителя в части оказания услуг</w:t>
            </w:r>
          </w:p>
        </w:tc>
        <w:tc>
          <w:tcPr>
            <w:tcW w:w="7392" w:type="dxa"/>
            <w:tcBorders/>
          </w:tcPr>
          <w:p>
            <w:pPr>
              <w:pStyle w:val="Default"/>
              <w:widowControl/>
              <w:spacing w:before="0" w:after="0"/>
              <w:jc w:val="both"/>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t>Исполнитель несет ответственность за качество, работоспособность, функциональные свойства и технические характеристики автотранспорта, используемого для оказания услуг в соответствии с настоящими техническими требованиями и действующих нормативных актов РФ, сроков исполнения, в полном объеме, с надлежащим качеством.</w:t>
            </w:r>
          </w:p>
          <w:p>
            <w:pPr>
              <w:pStyle w:val="Default"/>
              <w:widowControl/>
              <w:spacing w:before="0" w:after="0"/>
              <w:jc w:val="both"/>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p>
            <w:pPr>
              <w:pStyle w:val="Default"/>
              <w:widowControl/>
              <w:spacing w:before="0" w:after="0"/>
              <w:jc w:val="both"/>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t>Исполнитель обязан при невозможности предоставления автотранспорта, согласованной в Заявке (ДТП, постановка в ремонт/ на техническое обслуживание, угон ТС, иные причины) незамедлительно уведомить об этом Заказчика и по согласованию с Заказчиком предоставить подменный автотранспорт с аналогичными техническими характеристиками, соответствующими условиями Договора и на условиях, согласованных в Заявках. Время простоя, по причине неисправной техники, не оплачивается.</w:t>
            </w:r>
          </w:p>
          <w:p>
            <w:pPr>
              <w:pStyle w:val="Default"/>
              <w:widowControl/>
              <w:spacing w:before="0" w:after="0"/>
              <w:jc w:val="both"/>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p>
            <w:pPr>
              <w:pStyle w:val="Default"/>
              <w:widowControl/>
              <w:spacing w:before="0" w:after="0"/>
              <w:jc w:val="both"/>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t>В расходы Исполнителя входят: расходы на зарплату водителя, обеспечение Исполнителем ежедневного технического осмотра автомобиля, услуги по техническому обслуживанию и ремонту предоставленных транспортных средств, обеспечение безопасных мест стоянки, обязательное наличие ОСАГО, обеспечение горюче-смазочными и расходными материалами, налоги, пошлины, а также прочие расходы, связанные с эксплуатацией автомобилей.</w:t>
            </w:r>
          </w:p>
          <w:p>
            <w:pPr>
              <w:pStyle w:val="Default"/>
              <w:widowControl/>
              <w:spacing w:before="0" w:after="0"/>
              <w:jc w:val="both"/>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p>
            <w:pPr>
              <w:pStyle w:val="Default"/>
              <w:widowControl/>
              <w:spacing w:before="0" w:after="0"/>
              <w:jc w:val="both"/>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t>Маршруты движения – определяются заявкой Заказчика (на день или на период), которая отправляется Перевозчику по электронной почте (возможно согласование маршрутов по телефону). Режим работы определяется количеством смен за рабочий день. Наибольшее количество смен за один рабочий день – три (3).</w:t>
            </w:r>
          </w:p>
          <w:p>
            <w:pPr>
              <w:pStyle w:val="Default"/>
              <w:widowControl/>
              <w:tabs>
                <w:tab w:val="clear" w:pos="708"/>
                <w:tab w:val="left" w:pos="426" w:leader="none"/>
                <w:tab w:val="left" w:pos="567" w:leader="none"/>
              </w:tabs>
              <w:spacing w:before="0" w:after="0"/>
              <w:jc w:val="both"/>
              <w:rPr>
                <w:rFonts w:ascii="Times New Roman" w:hAnsi="Times New Roman" w:cs="Times New Roman"/>
                <w:bCs/>
                <w:i w:val="false"/>
                <w:i w:val="false"/>
                <w:iCs w:val="false"/>
                <w:kern w:val="0"/>
                <w:sz w:val="24"/>
                <w:szCs w:val="24"/>
                <w:lang w:val="ru-RU" w:eastAsia="ru-RU" w:bidi="ar-SA"/>
              </w:rPr>
            </w:pPr>
            <w:r>
              <w:rPr>
                <w:rFonts w:cs="Times New Roman"/>
                <w:bCs/>
                <w:i w:val="false"/>
                <w:iCs w:val="false"/>
                <w:kern w:val="0"/>
                <w:sz w:val="24"/>
                <w:szCs w:val="24"/>
                <w:lang w:val="ru-RU" w:eastAsia="ru-RU" w:bidi="ar-SA"/>
              </w:rPr>
            </w:r>
          </w:p>
          <w:p>
            <w:pPr>
              <w:pStyle w:val="Default"/>
              <w:widowControl/>
              <w:tabs>
                <w:tab w:val="clear" w:pos="708"/>
                <w:tab w:val="left" w:pos="426" w:leader="none"/>
                <w:tab w:val="left" w:pos="567" w:leader="none"/>
              </w:tabs>
              <w:spacing w:before="0" w:after="0"/>
              <w:jc w:val="both"/>
              <w:rPr>
                <w:rFonts w:ascii="Times New Roman" w:hAnsi="Times New Roman" w:cs="Times New Roman"/>
                <w:i w:val="false"/>
                <w:i w:val="false"/>
                <w:iCs w:val="false"/>
                <w:kern w:val="0"/>
                <w:sz w:val="24"/>
                <w:szCs w:val="24"/>
                <w:lang w:val="ru-RU" w:eastAsia="ru-RU" w:bidi="ar-SA"/>
              </w:rPr>
            </w:pPr>
            <w:r>
              <w:rPr>
                <w:rFonts w:cs="Times New Roman"/>
                <w:bCs/>
                <w:i w:val="false"/>
                <w:iCs w:val="false"/>
                <w:kern w:val="0"/>
                <w:sz w:val="24"/>
                <w:szCs w:val="24"/>
                <w:lang w:val="ru-RU" w:eastAsia="ru-RU" w:bidi="ar-SA"/>
              </w:rPr>
              <w:t>Маршруты движения, время отправления могут незначительно меняться – изменения указываются в Заявке Заказчика.</w:t>
            </w:r>
          </w:p>
        </w:tc>
      </w:tr>
      <w:tr>
        <w:trPr/>
        <w:tc>
          <w:tcPr>
            <w:tcW w:w="851" w:type="dxa"/>
            <w:tcBorders/>
            <w:vAlign w:val="center"/>
          </w:tcPr>
          <w:p>
            <w:pPr>
              <w:pStyle w:val="ListParagraph"/>
              <w:widowControl/>
              <w:numPr>
                <w:ilvl w:val="1"/>
                <w:numId w:val="6"/>
              </w:numPr>
              <w:spacing w:before="60" w:after="60"/>
              <w:ind w:left="-117" w:firstLine="142"/>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9214" w:type="dxa"/>
            <w:gridSpan w:val="2"/>
            <w:tcBorders/>
            <w:vAlign w:val="center"/>
          </w:tcPr>
          <w:p>
            <w:pPr>
              <w:pStyle w:val="Normal"/>
              <w:widowControl/>
              <w:spacing w:before="6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i w:val="false"/>
                <w:iCs w:val="false"/>
                <w:kern w:val="0"/>
                <w:sz w:val="24"/>
                <w:szCs w:val="24"/>
                <w:lang w:val="ru-RU" w:eastAsia="ru-RU" w:bidi="ar-SA"/>
              </w:rPr>
              <w:t>Требования к применяемым при оказании услуг оборудованию и материалам</w:t>
            </w:r>
          </w:p>
        </w:tc>
      </w:tr>
      <w:tr>
        <w:trPr/>
        <w:tc>
          <w:tcPr>
            <w:tcW w:w="851" w:type="dxa"/>
            <w:tcBorders/>
            <w:vAlign w:val="center"/>
          </w:tcPr>
          <w:p>
            <w:pPr>
              <w:pStyle w:val="ListParagraph"/>
              <w:widowControl/>
              <w:numPr>
                <w:ilvl w:val="2"/>
                <w:numId w:val="6"/>
              </w:numPr>
              <w:spacing w:before="60" w:after="60"/>
              <w:ind w:left="1224" w:hanging="1199"/>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1822" w:type="dxa"/>
            <w:tcBorders/>
          </w:tcPr>
          <w:p>
            <w:pPr>
              <w:pStyle w:val="Normal"/>
              <w:widowControl w:val="false"/>
              <w:tabs>
                <w:tab w:val="clear" w:pos="708"/>
                <w:tab w:val="left" w:pos="426" w:leader="none"/>
              </w:tabs>
              <w:spacing w:before="60" w:after="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Соответствие ТС законодательству РФ</w:t>
            </w:r>
          </w:p>
        </w:tc>
        <w:tc>
          <w:tcPr>
            <w:tcW w:w="7392" w:type="dxa"/>
            <w:tcBorders/>
          </w:tcPr>
          <w:p>
            <w:pPr>
              <w:pStyle w:val="Normal"/>
              <w:widowControl/>
              <w:spacing w:before="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Исполнитель должен соблюдать законодательство РФ при эксплуатации, обслуживании и предоставлении транспортных средств, предоставляемых Заказчику.</w:t>
            </w:r>
          </w:p>
        </w:tc>
      </w:tr>
      <w:tr>
        <w:trPr/>
        <w:tc>
          <w:tcPr>
            <w:tcW w:w="851" w:type="dxa"/>
            <w:tcBorders/>
            <w:vAlign w:val="center"/>
          </w:tcPr>
          <w:p>
            <w:pPr>
              <w:pStyle w:val="ListParagraph"/>
              <w:widowControl/>
              <w:numPr>
                <w:ilvl w:val="1"/>
                <w:numId w:val="6"/>
              </w:numPr>
              <w:spacing w:before="60" w:after="60"/>
              <w:ind w:left="-117" w:firstLine="142"/>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9214" w:type="dxa"/>
            <w:gridSpan w:val="2"/>
            <w:tcBorders/>
          </w:tcPr>
          <w:p>
            <w:pPr>
              <w:pStyle w:val="Normal"/>
              <w:widowControl/>
              <w:spacing w:before="0" w:after="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i w:val="false"/>
                <w:iCs w:val="false"/>
                <w:kern w:val="0"/>
                <w:sz w:val="24"/>
                <w:szCs w:val="24"/>
                <w:lang w:val="ru-RU" w:eastAsia="ru-RU" w:bidi="ar-SA"/>
              </w:rPr>
              <w:t>Требования к персоналу исполнителя</w:t>
            </w:r>
          </w:p>
        </w:tc>
      </w:tr>
      <w:tr>
        <w:trPr/>
        <w:tc>
          <w:tcPr>
            <w:tcW w:w="851" w:type="dxa"/>
            <w:tcBorders/>
            <w:vAlign w:val="center"/>
          </w:tcPr>
          <w:p>
            <w:pPr>
              <w:pStyle w:val="ListParagraph"/>
              <w:widowControl/>
              <w:numPr>
                <w:ilvl w:val="2"/>
                <w:numId w:val="6"/>
              </w:numPr>
              <w:spacing w:before="60" w:after="60"/>
              <w:ind w:left="1224" w:hanging="1199"/>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1822" w:type="dxa"/>
            <w:tcBorders/>
          </w:tcPr>
          <w:p>
            <w:pPr>
              <w:pStyle w:val="Normal"/>
              <w:widowControl/>
              <w:spacing w:before="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Требования к персоналу исполнителя</w:t>
            </w:r>
          </w:p>
        </w:tc>
        <w:tc>
          <w:tcPr>
            <w:tcW w:w="7392" w:type="dxa"/>
            <w:tcBorders/>
          </w:tcPr>
          <w:p>
            <w:pPr>
              <w:pStyle w:val="Normal"/>
              <w:widowControl/>
              <w:spacing w:before="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Лица, управляющие автотранспортом, должны иметь действующее водительское удостоверение с разрешенной категорией.</w:t>
            </w:r>
          </w:p>
          <w:p>
            <w:pPr>
              <w:pStyle w:val="Normal"/>
              <w:widowControl/>
              <w:spacing w:before="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r>
          </w:p>
          <w:p>
            <w:pPr>
              <w:pStyle w:val="Default"/>
              <w:widowControl/>
              <w:tabs>
                <w:tab w:val="clear" w:pos="708"/>
                <w:tab w:val="left" w:pos="0" w:leader="none"/>
                <w:tab w:val="left" w:pos="426" w:leader="none"/>
                <w:tab w:val="left" w:pos="851" w:leader="none"/>
              </w:tabs>
              <w:spacing w:before="0" w:after="0"/>
              <w:jc w:val="both"/>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t>Лица, управляющие автотранспортом, до начала перевозки должны проходить ежедневный периодический медицинский осмотр в аттестованной медицинской организации, с обязательной отметкой в путевом листе о прохождении данного осмотра.</w:t>
            </w:r>
          </w:p>
        </w:tc>
      </w:tr>
      <w:tr>
        <w:trPr/>
        <w:tc>
          <w:tcPr>
            <w:tcW w:w="851" w:type="dxa"/>
            <w:tcBorders/>
            <w:vAlign w:val="center"/>
          </w:tcPr>
          <w:p>
            <w:pPr>
              <w:pStyle w:val="ListParagraph"/>
              <w:widowControl/>
              <w:numPr>
                <w:ilvl w:val="0"/>
                <w:numId w:val="6"/>
              </w:numPr>
              <w:spacing w:before="60" w:after="60"/>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9214" w:type="dxa"/>
            <w:gridSpan w:val="2"/>
            <w:tcBorders/>
            <w:vAlign w:val="center"/>
          </w:tcPr>
          <w:p>
            <w:pPr>
              <w:pStyle w:val="Normal"/>
              <w:widowControl/>
              <w:spacing w:before="0" w:after="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bCs/>
                <w:i w:val="false"/>
                <w:iCs w:val="false"/>
                <w:kern w:val="0"/>
                <w:sz w:val="24"/>
                <w:szCs w:val="24"/>
                <w:lang w:val="ru-RU" w:eastAsia="ru-RU" w:bidi="ar-SA"/>
              </w:rPr>
              <w:t>Требования к результатам у</w:t>
            </w:r>
            <w:r>
              <w:rPr>
                <w:rFonts w:eastAsia="Times New Roman" w:cs="Times New Roman"/>
                <w:b/>
                <w:i w:val="false"/>
                <w:iCs w:val="false"/>
                <w:kern w:val="0"/>
                <w:sz w:val="24"/>
                <w:szCs w:val="24"/>
                <w:lang w:val="ru-RU" w:eastAsia="ru-RU" w:bidi="ar-SA"/>
              </w:rPr>
              <w:t>слуг</w:t>
            </w:r>
          </w:p>
        </w:tc>
      </w:tr>
      <w:tr>
        <w:trPr/>
        <w:tc>
          <w:tcPr>
            <w:tcW w:w="851" w:type="dxa"/>
            <w:tcBorders/>
            <w:vAlign w:val="center"/>
          </w:tcPr>
          <w:p>
            <w:pPr>
              <w:pStyle w:val="ListParagraph"/>
              <w:widowControl/>
              <w:numPr>
                <w:ilvl w:val="1"/>
                <w:numId w:val="6"/>
              </w:numPr>
              <w:spacing w:before="60" w:after="60"/>
              <w:ind w:left="-117" w:firstLine="142"/>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9214" w:type="dxa"/>
            <w:gridSpan w:val="2"/>
            <w:tcBorders/>
            <w:vAlign w:val="center"/>
          </w:tcPr>
          <w:p>
            <w:pPr>
              <w:pStyle w:val="Normal"/>
              <w:widowControl/>
              <w:spacing w:before="0" w:after="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bCs/>
                <w:i w:val="false"/>
                <w:iCs w:val="false"/>
                <w:kern w:val="0"/>
                <w:sz w:val="24"/>
                <w:szCs w:val="24"/>
                <w:lang w:val="ru-RU" w:eastAsia="ru-RU" w:bidi="ar-SA"/>
              </w:rPr>
              <w:t>Общие требования к результатам услуг</w:t>
            </w:r>
          </w:p>
        </w:tc>
      </w:tr>
      <w:tr>
        <w:trPr/>
        <w:tc>
          <w:tcPr>
            <w:tcW w:w="851" w:type="dxa"/>
            <w:tcBorders/>
            <w:vAlign w:val="center"/>
          </w:tcPr>
          <w:p>
            <w:pPr>
              <w:pStyle w:val="ListParagraph"/>
              <w:widowControl/>
              <w:numPr>
                <w:ilvl w:val="2"/>
                <w:numId w:val="6"/>
              </w:numPr>
              <w:spacing w:before="60" w:after="60"/>
              <w:ind w:left="1224" w:hanging="1199"/>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1822" w:type="dxa"/>
            <w:tcBorders/>
          </w:tcPr>
          <w:p>
            <w:pPr>
              <w:pStyle w:val="Normal"/>
              <w:widowControl w:val="false"/>
              <w:tabs>
                <w:tab w:val="clear" w:pos="708"/>
                <w:tab w:val="left" w:pos="426" w:leader="none"/>
              </w:tabs>
              <w:spacing w:before="60" w:after="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Требования к соблюдению Исполнителя технологической, производственной и трудовой дисциплин</w:t>
            </w:r>
          </w:p>
        </w:tc>
        <w:tc>
          <w:tcPr>
            <w:tcW w:w="7392" w:type="dxa"/>
            <w:tcBorders/>
          </w:tcPr>
          <w:p>
            <w:pPr>
              <w:pStyle w:val="Normal"/>
              <w:widowControl/>
              <w:spacing w:before="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Исполнитель должен соблюдать требования технологической, производственной и трудовой дисциплины.</w:t>
            </w:r>
          </w:p>
          <w:p>
            <w:pPr>
              <w:pStyle w:val="Normal"/>
              <w:widowControl/>
              <w:spacing w:before="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r>
          </w:p>
          <w:p>
            <w:pPr>
              <w:pStyle w:val="Normal"/>
              <w:widowControl/>
              <w:spacing w:before="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Исполнитель должен вести и ежемесячно предоставлять Заказчику путевые листы и реестр по всем предоставляемым по договору транспортным средствам за отчетный период.</w:t>
            </w:r>
          </w:p>
        </w:tc>
      </w:tr>
      <w:tr>
        <w:trPr/>
        <w:tc>
          <w:tcPr>
            <w:tcW w:w="851" w:type="dxa"/>
            <w:tcBorders/>
            <w:vAlign w:val="center"/>
          </w:tcPr>
          <w:p>
            <w:pPr>
              <w:pStyle w:val="ListParagraph"/>
              <w:widowControl/>
              <w:numPr>
                <w:ilvl w:val="0"/>
                <w:numId w:val="6"/>
              </w:numPr>
              <w:spacing w:before="60" w:after="60"/>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9214" w:type="dxa"/>
            <w:gridSpan w:val="2"/>
            <w:tcBorders/>
            <w:vAlign w:val="center"/>
          </w:tcPr>
          <w:p>
            <w:pPr>
              <w:pStyle w:val="Normal"/>
              <w:widowControl/>
              <w:spacing w:before="4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i w:val="false"/>
                <w:iCs w:val="false"/>
                <w:kern w:val="0"/>
                <w:sz w:val="24"/>
                <w:szCs w:val="24"/>
                <w:lang w:val="ru-RU" w:eastAsia="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r>
      <w:tr>
        <w:trPr/>
        <w:tc>
          <w:tcPr>
            <w:tcW w:w="851" w:type="dxa"/>
            <w:tcBorders/>
            <w:vAlign w:val="center"/>
          </w:tcPr>
          <w:p>
            <w:pPr>
              <w:pStyle w:val="ListParagraph"/>
              <w:widowControl/>
              <w:numPr>
                <w:ilvl w:val="2"/>
                <w:numId w:val="6"/>
              </w:numPr>
              <w:spacing w:before="60" w:after="60"/>
              <w:ind w:left="1224" w:hanging="1199"/>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1822" w:type="dxa"/>
            <w:tcBorders/>
          </w:tcPr>
          <w:p>
            <w:pPr>
              <w:pStyle w:val="Normal"/>
              <w:widowControl w:val="false"/>
              <w:tabs>
                <w:tab w:val="clear" w:pos="708"/>
                <w:tab w:val="left" w:pos="426" w:leader="none"/>
              </w:tabs>
              <w:spacing w:before="60" w:after="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Соответствие ТС законодательству РФ</w:t>
            </w:r>
          </w:p>
        </w:tc>
        <w:tc>
          <w:tcPr>
            <w:tcW w:w="7392" w:type="dxa"/>
            <w:tcBorders/>
          </w:tcPr>
          <w:p>
            <w:pPr>
              <w:pStyle w:val="Normal"/>
              <w:widowControl w:val="false"/>
              <w:tabs>
                <w:tab w:val="clear" w:pos="708"/>
                <w:tab w:val="left" w:pos="426" w:leader="none"/>
              </w:tabs>
              <w:spacing w:before="6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Исполнитель должен соблюдать законодательство РФ при эксплуатации, обслуживании и предоставлении транспортных средств предоставляемых Заказчику.</w:t>
            </w:r>
          </w:p>
        </w:tc>
      </w:tr>
      <w:tr>
        <w:trPr/>
        <w:tc>
          <w:tcPr>
            <w:tcW w:w="851" w:type="dxa"/>
            <w:tcBorders/>
            <w:vAlign w:val="center"/>
          </w:tcPr>
          <w:p>
            <w:pPr>
              <w:pStyle w:val="ListParagraph"/>
              <w:widowControl/>
              <w:numPr>
                <w:ilvl w:val="0"/>
                <w:numId w:val="6"/>
              </w:numPr>
              <w:spacing w:before="60" w:after="60"/>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9214" w:type="dxa"/>
            <w:gridSpan w:val="2"/>
            <w:tcBorders/>
            <w:vAlign w:val="center"/>
          </w:tcPr>
          <w:p>
            <w:pPr>
              <w:pStyle w:val="Normal"/>
              <w:widowControl/>
              <w:spacing w:before="20" w:after="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i w:val="false"/>
                <w:iCs w:val="false"/>
                <w:kern w:val="0"/>
                <w:sz w:val="24"/>
                <w:szCs w:val="24"/>
                <w:lang w:val="ru-RU" w:eastAsia="ru-RU" w:bidi="ar-SA"/>
              </w:rPr>
              <w:t>Требования к ответственности и гарантиям исполнителя</w:t>
            </w:r>
          </w:p>
        </w:tc>
      </w:tr>
      <w:tr>
        <w:trPr/>
        <w:tc>
          <w:tcPr>
            <w:tcW w:w="851" w:type="dxa"/>
            <w:tcBorders/>
            <w:vAlign w:val="center"/>
          </w:tcPr>
          <w:p>
            <w:pPr>
              <w:pStyle w:val="ListParagraph"/>
              <w:widowControl/>
              <w:numPr>
                <w:ilvl w:val="2"/>
                <w:numId w:val="6"/>
              </w:numPr>
              <w:spacing w:before="60" w:after="60"/>
              <w:ind w:left="1224" w:hanging="1199"/>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1822" w:type="dxa"/>
            <w:tcBorders/>
          </w:tcPr>
          <w:p>
            <w:pPr>
              <w:pStyle w:val="Normal"/>
              <w:widowControl/>
              <w:spacing w:before="40" w:after="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Обязанности Исполнителя</w:t>
            </w:r>
          </w:p>
        </w:tc>
        <w:tc>
          <w:tcPr>
            <w:tcW w:w="7392" w:type="dxa"/>
            <w:tcBorders/>
          </w:tcPr>
          <w:p>
            <w:pPr>
              <w:pStyle w:val="Default"/>
              <w:widowControl/>
              <w:tabs>
                <w:tab w:val="clear" w:pos="708"/>
                <w:tab w:val="left" w:pos="426" w:leader="none"/>
                <w:tab w:val="left" w:pos="567" w:leader="none"/>
              </w:tabs>
              <w:spacing w:before="0" w:after="0"/>
              <w:jc w:val="both"/>
              <w:rPr>
                <w:rFonts w:ascii="Times New Roman" w:hAnsi="Times New Roman" w:cs="Times New Roman"/>
                <w:i w:val="false"/>
                <w:i w:val="false"/>
                <w:iCs w:val="false"/>
                <w:kern w:val="0"/>
                <w:sz w:val="24"/>
                <w:szCs w:val="24"/>
                <w:lang w:val="ru-RU" w:eastAsia="ru-RU" w:bidi="ar-SA"/>
              </w:rPr>
            </w:pPr>
            <w:r>
              <w:rPr>
                <w:rFonts w:cs="Times New Roman"/>
                <w:bCs/>
                <w:i w:val="false"/>
                <w:iCs w:val="false"/>
                <w:kern w:val="0"/>
                <w:sz w:val="24"/>
                <w:szCs w:val="24"/>
                <w:lang w:val="ru-RU" w:eastAsia="ru-RU" w:bidi="ar-SA"/>
              </w:rPr>
              <w:t>Предъявление путевых листов (заверенных копий) по окончанию месяца – обязательно.</w:t>
            </w:r>
          </w:p>
          <w:p>
            <w:pPr>
              <w:pStyle w:val="Default"/>
              <w:widowControl/>
              <w:tabs>
                <w:tab w:val="clear" w:pos="708"/>
                <w:tab w:val="left" w:pos="426" w:leader="none"/>
                <w:tab w:val="left" w:pos="567" w:leader="none"/>
              </w:tabs>
              <w:spacing w:before="0" w:after="0"/>
              <w:jc w:val="both"/>
              <w:rPr>
                <w:rFonts w:ascii="Times New Roman" w:hAnsi="Times New Roman" w:cs="Times New Roman"/>
                <w:bCs/>
                <w:i w:val="false"/>
                <w:i w:val="false"/>
                <w:iCs w:val="false"/>
                <w:kern w:val="0"/>
                <w:sz w:val="24"/>
                <w:szCs w:val="24"/>
                <w:lang w:val="ru-RU" w:eastAsia="ru-RU" w:bidi="ar-SA"/>
              </w:rPr>
            </w:pPr>
            <w:r>
              <w:rPr>
                <w:rFonts w:cs="Times New Roman"/>
                <w:bCs/>
                <w:i w:val="false"/>
                <w:iCs w:val="false"/>
                <w:kern w:val="0"/>
                <w:sz w:val="24"/>
                <w:szCs w:val="24"/>
                <w:lang w:val="ru-RU" w:eastAsia="ru-RU" w:bidi="ar-SA"/>
              </w:rPr>
            </w:r>
          </w:p>
          <w:p>
            <w:pPr>
              <w:pStyle w:val="Default"/>
              <w:widowControl/>
              <w:tabs>
                <w:tab w:val="clear" w:pos="708"/>
                <w:tab w:val="left" w:pos="426" w:leader="none"/>
                <w:tab w:val="left" w:pos="567" w:leader="none"/>
              </w:tabs>
              <w:spacing w:before="0" w:after="0"/>
              <w:jc w:val="both"/>
              <w:rPr>
                <w:rFonts w:ascii="Times New Roman" w:hAnsi="Times New Roman" w:cs="Times New Roman"/>
                <w:i w:val="false"/>
                <w:i w:val="false"/>
                <w:iCs w:val="false"/>
                <w:kern w:val="0"/>
                <w:sz w:val="24"/>
                <w:szCs w:val="24"/>
                <w:lang w:val="ru-RU" w:eastAsia="ru-RU" w:bidi="ar-SA"/>
              </w:rPr>
            </w:pPr>
            <w:r>
              <w:rPr>
                <w:rFonts w:cs="Times New Roman"/>
                <w:bCs/>
                <w:i w:val="false"/>
                <w:iCs w:val="false"/>
                <w:kern w:val="0"/>
                <w:sz w:val="24"/>
                <w:szCs w:val="24"/>
                <w:lang w:val="ru-RU" w:eastAsia="ru-RU" w:bidi="ar-SA"/>
              </w:rPr>
              <w:t>Стоимость рейса (машино-часа) является фиксированной и постоянной на протяжении всего срока действия договора.</w:t>
            </w:r>
          </w:p>
          <w:p>
            <w:pPr>
              <w:pStyle w:val="Default"/>
              <w:widowControl/>
              <w:tabs>
                <w:tab w:val="clear" w:pos="708"/>
                <w:tab w:val="left" w:pos="426" w:leader="none"/>
                <w:tab w:val="left" w:pos="567" w:leader="none"/>
              </w:tabs>
              <w:spacing w:before="0" w:after="0"/>
              <w:jc w:val="both"/>
              <w:rPr>
                <w:rFonts w:ascii="Times New Roman" w:hAnsi="Times New Roman" w:cs="Times New Roman"/>
                <w:bCs/>
                <w:i w:val="false"/>
                <w:i w:val="false"/>
                <w:iCs w:val="false"/>
                <w:kern w:val="0"/>
                <w:sz w:val="24"/>
                <w:szCs w:val="24"/>
                <w:lang w:val="ru-RU" w:eastAsia="ru-RU" w:bidi="ar-SA"/>
              </w:rPr>
            </w:pPr>
            <w:r>
              <w:rPr>
                <w:rFonts w:cs="Times New Roman"/>
                <w:bCs/>
                <w:i w:val="false"/>
                <w:iCs w:val="false"/>
                <w:kern w:val="0"/>
                <w:sz w:val="24"/>
                <w:szCs w:val="24"/>
                <w:lang w:val="ru-RU" w:eastAsia="ru-RU" w:bidi="ar-SA"/>
              </w:rPr>
            </w:r>
          </w:p>
          <w:p>
            <w:pPr>
              <w:pStyle w:val="Default"/>
              <w:widowControl/>
              <w:tabs>
                <w:tab w:val="clear" w:pos="708"/>
                <w:tab w:val="left" w:pos="426" w:leader="none"/>
                <w:tab w:val="left" w:pos="567" w:leader="none"/>
              </w:tabs>
              <w:spacing w:before="0" w:after="0"/>
              <w:jc w:val="both"/>
              <w:rPr>
                <w:rFonts w:ascii="Times New Roman" w:hAnsi="Times New Roman" w:cs="Times New Roman"/>
                <w:i w:val="false"/>
                <w:i w:val="false"/>
                <w:iCs w:val="false"/>
                <w:kern w:val="0"/>
                <w:sz w:val="24"/>
                <w:szCs w:val="24"/>
                <w:lang w:val="ru-RU" w:eastAsia="ru-RU" w:bidi="ar-SA"/>
              </w:rPr>
            </w:pPr>
            <w:r>
              <w:rPr>
                <w:rFonts w:cs="Times New Roman"/>
                <w:bCs/>
                <w:i w:val="false"/>
                <w:iCs w:val="false"/>
                <w:kern w:val="0"/>
                <w:sz w:val="24"/>
                <w:szCs w:val="24"/>
                <w:lang w:val="ru-RU" w:eastAsia="ru-RU" w:bidi="ar-SA"/>
              </w:rPr>
              <w:t>Исполнитель обязан нести все расходы, связанные с эксплуатацией автотранспорта, включая, но не ограничиваясь расходы на заработную плату членам экипажей, оплату топлива, горюче-смазочных материалов и эксплуатационных жидкостей, оплату ремонта и запасных частей для спецтехники, оплату стоимости налоговых пошлин, страховых сборов, оплату штрафов, и иных расходов, возникающих в связи с эксплуатацией автотранспорта.</w:t>
            </w:r>
          </w:p>
          <w:p>
            <w:pPr>
              <w:pStyle w:val="Default"/>
              <w:widowControl/>
              <w:tabs>
                <w:tab w:val="clear" w:pos="708"/>
                <w:tab w:val="left" w:pos="426" w:leader="none"/>
                <w:tab w:val="left" w:pos="567" w:leader="none"/>
              </w:tabs>
              <w:spacing w:before="0" w:after="0"/>
              <w:jc w:val="both"/>
              <w:rPr>
                <w:rFonts w:ascii="Times New Roman" w:hAnsi="Times New Roman" w:cs="Times New Roman"/>
                <w:bCs/>
                <w:i w:val="false"/>
                <w:i w:val="false"/>
                <w:iCs w:val="false"/>
                <w:kern w:val="0"/>
                <w:sz w:val="24"/>
                <w:szCs w:val="24"/>
                <w:lang w:val="ru-RU" w:eastAsia="ru-RU" w:bidi="ar-SA"/>
              </w:rPr>
            </w:pPr>
            <w:r>
              <w:rPr>
                <w:rFonts w:cs="Times New Roman"/>
                <w:bCs/>
                <w:i w:val="false"/>
                <w:iCs w:val="false"/>
                <w:kern w:val="0"/>
                <w:sz w:val="24"/>
                <w:szCs w:val="24"/>
                <w:lang w:val="ru-RU" w:eastAsia="ru-RU" w:bidi="ar-SA"/>
              </w:rPr>
            </w:r>
          </w:p>
          <w:p>
            <w:pPr>
              <w:pStyle w:val="Default"/>
              <w:widowControl/>
              <w:tabs>
                <w:tab w:val="clear" w:pos="708"/>
                <w:tab w:val="left" w:pos="426" w:leader="none"/>
                <w:tab w:val="left" w:pos="567" w:leader="none"/>
              </w:tabs>
              <w:spacing w:before="0" w:after="0"/>
              <w:jc w:val="both"/>
              <w:rPr>
                <w:rFonts w:ascii="Times New Roman" w:hAnsi="Times New Roman" w:cs="Times New Roman"/>
                <w:i w:val="false"/>
                <w:i w:val="false"/>
                <w:iCs w:val="false"/>
                <w:kern w:val="0"/>
                <w:sz w:val="24"/>
                <w:szCs w:val="24"/>
                <w:lang w:val="ru-RU" w:eastAsia="ru-RU" w:bidi="ar-SA"/>
              </w:rPr>
            </w:pPr>
            <w:r>
              <w:rPr>
                <w:rFonts w:cs="Times New Roman"/>
                <w:bCs/>
                <w:i w:val="false"/>
                <w:iCs w:val="false"/>
                <w:kern w:val="0"/>
                <w:sz w:val="24"/>
                <w:szCs w:val="24"/>
                <w:lang w:val="ru-RU" w:eastAsia="ru-RU" w:bidi="ar-SA"/>
              </w:rPr>
              <w:t>Предоставляемый автотранспорт должен находиться в технически исправном состоянии с заправкой ГСМ и необходимой документацией (в том числе путевым листом), укомплектован необходимыми вспомогательными средствами: огнетушителем, аварийным знаком, аптечкой с медикаментами, в соответствии с согласованными Сторонами в заявке временем и местом подачи.</w:t>
            </w:r>
          </w:p>
          <w:p>
            <w:pPr>
              <w:pStyle w:val="Default"/>
              <w:widowControl/>
              <w:tabs>
                <w:tab w:val="clear" w:pos="708"/>
                <w:tab w:val="left" w:pos="426" w:leader="none"/>
                <w:tab w:val="left" w:pos="567" w:leader="none"/>
              </w:tabs>
              <w:spacing w:before="0" w:after="0"/>
              <w:jc w:val="both"/>
              <w:rPr>
                <w:rFonts w:ascii="Times New Roman" w:hAnsi="Times New Roman" w:cs="Times New Roman"/>
                <w:bCs/>
                <w:i w:val="false"/>
                <w:i w:val="false"/>
                <w:iCs w:val="false"/>
                <w:kern w:val="0"/>
                <w:sz w:val="24"/>
                <w:szCs w:val="24"/>
                <w:lang w:val="ru-RU" w:eastAsia="ru-RU" w:bidi="ar-SA"/>
              </w:rPr>
            </w:pPr>
            <w:r>
              <w:rPr>
                <w:rFonts w:cs="Times New Roman"/>
                <w:bCs/>
                <w:i w:val="false"/>
                <w:iCs w:val="false"/>
                <w:kern w:val="0"/>
                <w:sz w:val="24"/>
                <w:szCs w:val="24"/>
                <w:lang w:val="ru-RU" w:eastAsia="ru-RU" w:bidi="ar-SA"/>
              </w:rPr>
            </w:r>
          </w:p>
          <w:p>
            <w:pPr>
              <w:pStyle w:val="Default"/>
              <w:widowControl/>
              <w:tabs>
                <w:tab w:val="clear" w:pos="708"/>
                <w:tab w:val="left" w:pos="426" w:leader="none"/>
                <w:tab w:val="left" w:pos="567" w:leader="none"/>
              </w:tabs>
              <w:spacing w:before="0" w:after="0"/>
              <w:jc w:val="both"/>
              <w:rPr>
                <w:rFonts w:ascii="Times New Roman" w:hAnsi="Times New Roman" w:cs="Times New Roman"/>
                <w:i w:val="false"/>
                <w:i w:val="false"/>
                <w:iCs w:val="false"/>
                <w:kern w:val="0"/>
                <w:sz w:val="24"/>
                <w:szCs w:val="24"/>
                <w:lang w:val="ru-RU" w:eastAsia="ru-RU" w:bidi="ar-SA"/>
              </w:rPr>
            </w:pPr>
            <w:r>
              <w:rPr>
                <w:rFonts w:cs="Times New Roman"/>
                <w:bCs/>
                <w:i w:val="false"/>
                <w:iCs w:val="false"/>
                <w:kern w:val="0"/>
                <w:sz w:val="24"/>
                <w:szCs w:val="24"/>
                <w:lang w:val="ru-RU" w:eastAsia="ru-RU" w:bidi="ar-SA"/>
              </w:rPr>
              <w:t>Исполнитель несет ответственность за техническое состояние техники.</w:t>
            </w:r>
          </w:p>
          <w:p>
            <w:pPr>
              <w:pStyle w:val="Heading3"/>
              <w:numPr>
                <w:ilvl w:val="0"/>
                <w:numId w:val="0"/>
              </w:numPr>
              <w:ind w:left="0" w:hanging="0"/>
              <w:rPr>
                <w:b w:val="false"/>
              </w:rPr>
            </w:pPr>
            <w:r>
              <w:rPr>
                <w:b w:val="false"/>
              </w:rPr>
              <w:t>Риск случайной гибели и повреждения автомобиля лежит на Исполнителе.</w:t>
            </w:r>
          </w:p>
          <w:p>
            <w:pPr>
              <w:pStyle w:val="Heading3"/>
              <w:numPr>
                <w:ilvl w:val="0"/>
                <w:numId w:val="0"/>
              </w:numPr>
              <w:ind w:left="0" w:hanging="0"/>
              <w:rPr>
                <w:b w:val="false"/>
              </w:rPr>
            </w:pPr>
            <w:r>
              <w:rPr>
                <w:b w:val="false"/>
              </w:rPr>
              <w:t>Исполнитель несет установленную гражданскую ответственность за жизнь и здоровье пассажиров и должен обеспечить в рамках предоставления услуги Заказчику – безопасность передвижения, точность и своевременность предоставления автомобиля, комфортабельность пассажирам.</w:t>
            </w:r>
          </w:p>
          <w:p>
            <w:pPr>
              <w:pStyle w:val="Default"/>
              <w:widowControl/>
              <w:tabs>
                <w:tab w:val="clear" w:pos="708"/>
                <w:tab w:val="left" w:pos="426" w:leader="none"/>
                <w:tab w:val="left" w:pos="567" w:leader="none"/>
              </w:tabs>
              <w:spacing w:before="0" w:after="0"/>
              <w:jc w:val="both"/>
              <w:rPr>
                <w:rFonts w:ascii="Times New Roman" w:hAnsi="Times New Roman" w:cs="Times New Roman"/>
                <w:i w:val="false"/>
                <w:i w:val="false"/>
                <w:iCs w:val="false"/>
                <w:kern w:val="0"/>
                <w:sz w:val="24"/>
                <w:szCs w:val="24"/>
                <w:lang w:val="ru-RU" w:eastAsia="ru-RU" w:bidi="ar-SA"/>
              </w:rPr>
            </w:pPr>
            <w:r>
              <w:rPr>
                <w:rFonts w:cs="Times New Roman"/>
                <w:bCs/>
                <w:i w:val="false"/>
                <w:iCs w:val="false"/>
                <w:kern w:val="0"/>
                <w:sz w:val="24"/>
                <w:szCs w:val="24"/>
                <w:lang w:val="ru-RU" w:eastAsia="ru-RU" w:bidi="ar-SA"/>
              </w:rPr>
              <w:t>Исполнитель должен обеспечить соблюдение водителями правил и инструкций, безопасности дорожного движения, пожарной безопасности во время оказания услуг.</w:t>
            </w:r>
          </w:p>
          <w:p>
            <w:pPr>
              <w:pStyle w:val="Default"/>
              <w:widowControl/>
              <w:tabs>
                <w:tab w:val="clear" w:pos="708"/>
                <w:tab w:val="left" w:pos="426" w:leader="none"/>
                <w:tab w:val="left" w:pos="567" w:leader="none"/>
              </w:tabs>
              <w:spacing w:before="0" w:after="0"/>
              <w:jc w:val="both"/>
              <w:rPr>
                <w:bCs/>
              </w:rPr>
            </w:pPr>
            <w:r>
              <w:rPr>
                <w:rFonts w:cs="Times New Roman"/>
                <w:i w:val="false"/>
                <w:iCs w:val="false"/>
                <w:kern w:val="0"/>
                <w:sz w:val="24"/>
                <w:szCs w:val="24"/>
                <w:lang w:val="ru-RU" w:eastAsia="ru-RU" w:bidi="ar-SA"/>
              </w:rPr>
            </w:r>
          </w:p>
          <w:p>
            <w:pPr>
              <w:pStyle w:val="Default"/>
              <w:widowControl/>
              <w:tabs>
                <w:tab w:val="clear" w:pos="708"/>
                <w:tab w:val="left" w:pos="426" w:leader="none"/>
                <w:tab w:val="left" w:pos="567" w:leader="none"/>
              </w:tabs>
              <w:spacing w:before="0" w:after="0"/>
              <w:jc w:val="both"/>
              <w:rPr>
                <w:rFonts w:ascii="Times New Roman" w:hAnsi="Times New Roman" w:cs="Times New Roman"/>
                <w:i w:val="false"/>
                <w:i w:val="false"/>
                <w:iCs w:val="false"/>
                <w:kern w:val="0"/>
                <w:sz w:val="24"/>
                <w:szCs w:val="24"/>
                <w:lang w:val="ru-RU" w:eastAsia="ru-RU" w:bidi="ar-SA"/>
              </w:rPr>
            </w:pPr>
            <w:r>
              <w:rPr>
                <w:rFonts w:cs="Times New Roman"/>
                <w:bCs/>
                <w:i w:val="false"/>
                <w:iCs w:val="false"/>
                <w:kern w:val="0"/>
                <w:sz w:val="24"/>
                <w:szCs w:val="24"/>
                <w:lang w:val="ru-RU" w:eastAsia="ru-RU" w:bidi="ar-SA"/>
              </w:rPr>
              <w:t>Планируемое к использованию количество рейсов (машино-часов) указывается в подаваемых Заказчиком заявках на оказание услуг.</w:t>
            </w:r>
          </w:p>
          <w:p>
            <w:pPr>
              <w:pStyle w:val="Default"/>
              <w:widowControl/>
              <w:tabs>
                <w:tab w:val="clear" w:pos="708"/>
                <w:tab w:val="left" w:pos="426" w:leader="none"/>
                <w:tab w:val="left" w:pos="567" w:leader="none"/>
              </w:tabs>
              <w:spacing w:before="0" w:after="0"/>
              <w:jc w:val="both"/>
              <w:rPr>
                <w:rFonts w:ascii="Times New Roman" w:hAnsi="Times New Roman" w:cs="Times New Roman"/>
                <w:bCs/>
                <w:i w:val="false"/>
                <w:i w:val="false"/>
                <w:iCs w:val="false"/>
                <w:kern w:val="0"/>
                <w:sz w:val="24"/>
                <w:szCs w:val="24"/>
                <w:lang w:val="ru-RU" w:eastAsia="ru-RU" w:bidi="ar-SA"/>
              </w:rPr>
            </w:pPr>
            <w:r>
              <w:rPr>
                <w:rFonts w:cs="Times New Roman"/>
                <w:bCs/>
                <w:i w:val="false"/>
                <w:iCs w:val="false"/>
                <w:kern w:val="0"/>
                <w:sz w:val="24"/>
                <w:szCs w:val="24"/>
                <w:lang w:val="ru-RU" w:eastAsia="ru-RU" w:bidi="ar-SA"/>
              </w:rPr>
            </w:r>
          </w:p>
          <w:p>
            <w:pPr>
              <w:pStyle w:val="Default"/>
              <w:widowControl/>
              <w:tabs>
                <w:tab w:val="clear" w:pos="708"/>
                <w:tab w:val="left" w:pos="426" w:leader="none"/>
                <w:tab w:val="left" w:pos="567" w:leader="none"/>
              </w:tabs>
              <w:spacing w:before="0" w:after="0"/>
              <w:jc w:val="both"/>
              <w:rPr>
                <w:rFonts w:ascii="Times New Roman" w:hAnsi="Times New Roman" w:cs="Times New Roman"/>
                <w:i w:val="false"/>
                <w:i w:val="false"/>
                <w:iCs w:val="false"/>
                <w:kern w:val="0"/>
                <w:sz w:val="24"/>
                <w:szCs w:val="24"/>
                <w:lang w:val="ru-RU" w:eastAsia="ru-RU" w:bidi="ar-SA"/>
              </w:rPr>
            </w:pPr>
            <w:r>
              <w:rPr>
                <w:rFonts w:cs="Times New Roman"/>
                <w:bCs/>
                <w:i w:val="false"/>
                <w:iCs w:val="false"/>
                <w:kern w:val="0"/>
                <w:sz w:val="24"/>
                <w:szCs w:val="24"/>
                <w:lang w:val="ru-RU" w:eastAsia="ru-RU" w:bidi="ar-SA"/>
              </w:rPr>
              <w:t>Минимальная продолжительность заявки – один рейс (два часа).</w:t>
            </w:r>
          </w:p>
          <w:p>
            <w:pPr>
              <w:pStyle w:val="Default"/>
              <w:widowControl/>
              <w:tabs>
                <w:tab w:val="clear" w:pos="708"/>
                <w:tab w:val="left" w:pos="426" w:leader="none"/>
                <w:tab w:val="left" w:pos="567" w:leader="none"/>
              </w:tabs>
              <w:spacing w:before="0" w:after="0"/>
              <w:jc w:val="both"/>
              <w:rPr>
                <w:rFonts w:ascii="Times New Roman" w:hAnsi="Times New Roman" w:cs="Times New Roman"/>
                <w:bCs/>
                <w:i w:val="false"/>
                <w:i w:val="false"/>
                <w:iCs w:val="false"/>
                <w:kern w:val="0"/>
                <w:sz w:val="24"/>
                <w:szCs w:val="24"/>
                <w:lang w:val="ru-RU" w:eastAsia="ru-RU" w:bidi="ar-SA"/>
              </w:rPr>
            </w:pPr>
            <w:r>
              <w:rPr>
                <w:rFonts w:cs="Times New Roman"/>
                <w:bCs/>
                <w:i w:val="false"/>
                <w:iCs w:val="false"/>
                <w:kern w:val="0"/>
                <w:sz w:val="24"/>
                <w:szCs w:val="24"/>
                <w:lang w:val="ru-RU" w:eastAsia="ru-RU" w:bidi="ar-SA"/>
              </w:rPr>
            </w:r>
          </w:p>
          <w:p>
            <w:pPr>
              <w:pStyle w:val="Default"/>
              <w:widowControl/>
              <w:tabs>
                <w:tab w:val="clear" w:pos="708"/>
                <w:tab w:val="left" w:pos="426" w:leader="none"/>
                <w:tab w:val="left" w:pos="567" w:leader="none"/>
              </w:tabs>
              <w:spacing w:before="0" w:after="0"/>
              <w:jc w:val="both"/>
              <w:rPr>
                <w:rFonts w:ascii="Times New Roman" w:hAnsi="Times New Roman" w:cs="Times New Roman"/>
                <w:i w:val="false"/>
                <w:i w:val="false"/>
                <w:iCs w:val="false"/>
                <w:kern w:val="0"/>
                <w:sz w:val="24"/>
                <w:szCs w:val="24"/>
                <w:lang w:val="ru-RU" w:eastAsia="ru-RU" w:bidi="ar-SA"/>
              </w:rPr>
            </w:pPr>
            <w:r>
              <w:rPr>
                <w:rFonts w:cs="Times New Roman"/>
                <w:bCs/>
                <w:i w:val="false"/>
                <w:iCs w:val="false"/>
                <w:kern w:val="0"/>
                <w:sz w:val="24"/>
                <w:szCs w:val="24"/>
                <w:lang w:val="ru-RU" w:eastAsia="ru-RU" w:bidi="ar-SA"/>
              </w:rPr>
              <w:t>Исполнитель обязан при невозможности предоставления автотранспорта, согласованной в Заявке (ДТП, постановка в ремонт/ на техническое обслуживание, угон ТС, иные причины) незамедлительно уведомить об этом Заказчика и по согласованию с Заказчиком предоставить подменный автотранспорт с аналогичными техническими характеристиками, соответствующими условиями Договора и на условиях, согласованных в Заявках. Время простоя, по причине неисправной техники, не оплачивается.</w:t>
            </w:r>
          </w:p>
        </w:tc>
      </w:tr>
      <w:tr>
        <w:trPr/>
        <w:tc>
          <w:tcPr>
            <w:tcW w:w="851" w:type="dxa"/>
            <w:tcBorders/>
            <w:vAlign w:val="center"/>
          </w:tcPr>
          <w:p>
            <w:pPr>
              <w:pStyle w:val="ListParagraph"/>
              <w:widowControl/>
              <w:numPr>
                <w:ilvl w:val="0"/>
                <w:numId w:val="6"/>
              </w:numPr>
              <w:spacing w:before="60" w:after="60"/>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9214" w:type="dxa"/>
            <w:gridSpan w:val="2"/>
            <w:tcBorders/>
            <w:vAlign w:val="center"/>
          </w:tcPr>
          <w:p>
            <w:pPr>
              <w:pStyle w:val="Normal"/>
              <w:keepNext w:val="true"/>
              <w:widowControl/>
              <w:spacing w:before="60" w:after="60"/>
              <w:jc w:val="both"/>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i w:val="false"/>
                <w:iCs w:val="false"/>
                <w:kern w:val="0"/>
                <w:sz w:val="24"/>
                <w:szCs w:val="24"/>
                <w:lang w:val="ru-RU" w:eastAsia="ru-RU" w:bidi="ar-SA"/>
              </w:rPr>
              <w:t>Требования к исполнителю (и соисполнителям) и его обязательствам, влияющим на исполнение договора</w:t>
            </w:r>
          </w:p>
        </w:tc>
      </w:tr>
      <w:tr>
        <w:trPr/>
        <w:tc>
          <w:tcPr>
            <w:tcW w:w="851" w:type="dxa"/>
            <w:tcBorders/>
            <w:vAlign w:val="center"/>
          </w:tcPr>
          <w:p>
            <w:pPr>
              <w:pStyle w:val="ListParagraph"/>
              <w:widowControl/>
              <w:numPr>
                <w:ilvl w:val="2"/>
                <w:numId w:val="6"/>
              </w:numPr>
              <w:spacing w:before="60" w:after="60"/>
              <w:ind w:left="1224" w:hanging="1199"/>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1822" w:type="dxa"/>
            <w:tcBorders/>
          </w:tcPr>
          <w:p>
            <w:pPr>
              <w:pStyle w:val="Normal"/>
              <w:widowControl/>
              <w:spacing w:before="0" w:after="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i w:val="false"/>
                <w:iCs w:val="false"/>
                <w:kern w:val="0"/>
                <w:sz w:val="24"/>
                <w:szCs w:val="24"/>
                <w:lang w:val="ru-RU" w:eastAsia="ru-RU" w:bidi="ar-SA"/>
              </w:rPr>
              <w:t>Обязанности Исполнителя</w:t>
            </w:r>
          </w:p>
        </w:tc>
        <w:tc>
          <w:tcPr>
            <w:tcW w:w="7392" w:type="dxa"/>
            <w:tcBorders/>
            <w:shd w:color="auto" w:fill="auto" w:val="clear"/>
          </w:tcPr>
          <w:p>
            <w:pPr>
              <w:pStyle w:val="Normal"/>
              <w:widowControl/>
              <w:spacing w:before="0" w:after="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Cs/>
                <w:i w:val="false"/>
                <w:iCs w:val="false"/>
                <w:kern w:val="0"/>
                <w:sz w:val="24"/>
                <w:szCs w:val="24"/>
                <w:lang w:val="ru-RU" w:eastAsia="ru-RU" w:bidi="ar-SA"/>
              </w:rPr>
              <w:t>Исполнитель обязан при невозможности предоставления автотранспорта, согласованной в Заявке (ДТП, постановка в ремонт/ на техническое обслуживание, угон ТС, иные причины) незамедлительно уведомить об этом Заказчика и по согласованию с Заказчиком предоставить подменный автотранспорт с аналогичными техническими характеристиками, соответствующими условиями Договора и на условиях, согласованных в Заявках. Время простоя, по причине неисправной техники, не оплачивается.</w:t>
            </w:r>
          </w:p>
          <w:p>
            <w:pPr>
              <w:pStyle w:val="Normal"/>
              <w:widowControl/>
              <w:spacing w:before="0" w:after="0"/>
              <w:jc w:val="left"/>
              <w:rPr>
                <w:rFonts w:ascii="Times New Roman" w:hAnsi="Times New Roman" w:eastAsia="Times New Roman" w:cs="Times New Roman"/>
                <w:bCs/>
                <w:i w:val="false"/>
                <w:i w:val="false"/>
                <w:iCs w:val="false"/>
                <w:kern w:val="0"/>
                <w:sz w:val="24"/>
                <w:szCs w:val="24"/>
                <w:lang w:val="ru-RU" w:eastAsia="ru-RU" w:bidi="ar-SA"/>
              </w:rPr>
            </w:pPr>
            <w:r>
              <w:rPr>
                <w:rFonts w:eastAsia="Times New Roman" w:cs="Times New Roman"/>
                <w:bCs/>
                <w:i w:val="false"/>
                <w:iCs w:val="false"/>
                <w:kern w:val="0"/>
                <w:sz w:val="24"/>
                <w:szCs w:val="24"/>
                <w:lang w:val="ru-RU" w:eastAsia="ru-RU" w:bidi="ar-SA"/>
              </w:rPr>
            </w:r>
          </w:p>
          <w:p>
            <w:pPr>
              <w:pStyle w:val="Default"/>
              <w:widowControl/>
              <w:tabs>
                <w:tab w:val="clear" w:pos="708"/>
                <w:tab w:val="left" w:pos="426" w:leader="none"/>
                <w:tab w:val="left" w:pos="567" w:leader="none"/>
              </w:tabs>
              <w:spacing w:before="0" w:after="0"/>
              <w:jc w:val="both"/>
              <w:rPr>
                <w:rFonts w:ascii="Times New Roman" w:hAnsi="Times New Roman" w:cs="Times New Roman"/>
                <w:i w:val="false"/>
                <w:i w:val="false"/>
                <w:iCs w:val="false"/>
                <w:kern w:val="0"/>
                <w:sz w:val="24"/>
                <w:szCs w:val="24"/>
                <w:lang w:val="ru-RU" w:eastAsia="ru-RU" w:bidi="ar-SA"/>
              </w:rPr>
            </w:pPr>
            <w:r>
              <w:rPr>
                <w:rFonts w:cs="Times New Roman"/>
                <w:bCs/>
                <w:i w:val="false"/>
                <w:iCs w:val="false"/>
                <w:kern w:val="0"/>
                <w:sz w:val="24"/>
                <w:szCs w:val="24"/>
                <w:lang w:val="ru-RU" w:eastAsia="ru-RU" w:bidi="ar-SA"/>
              </w:rPr>
              <w:t>Исполнитель обязан нести все расходы, связанные с эксплуатацией автотранспорта, включая, но не ограничиваясь расходы на заработную плату членам экипажей, оплату топлива, горюче-смазочных материалов и эксплуатационных жидкостей, оплату ремонта и запасных частей для спецтехники, оплату стоимости налоговых пошлин, страховых сборов, оплату штрафов, и иных расходов, возникающих в связи с эксплуатацией автотранспорта.</w:t>
            </w:r>
          </w:p>
        </w:tc>
      </w:tr>
      <w:tr>
        <w:trPr/>
        <w:tc>
          <w:tcPr>
            <w:tcW w:w="851" w:type="dxa"/>
            <w:tcBorders/>
            <w:vAlign w:val="center"/>
          </w:tcPr>
          <w:p>
            <w:pPr>
              <w:pStyle w:val="ListParagraph"/>
              <w:widowControl/>
              <w:numPr>
                <w:ilvl w:val="0"/>
                <w:numId w:val="6"/>
              </w:numPr>
              <w:spacing w:before="60" w:after="60"/>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9214" w:type="dxa"/>
            <w:gridSpan w:val="2"/>
            <w:tcBorders/>
            <w:vAlign w:val="center"/>
          </w:tcPr>
          <w:p>
            <w:pPr>
              <w:pStyle w:val="Normal"/>
              <w:widowControl/>
              <w:spacing w:before="60" w:after="60"/>
              <w:jc w:val="left"/>
              <w:rPr>
                <w:rFonts w:ascii="Times New Roman" w:hAnsi="Times New Roman" w:eastAsia="Times New Roman" w:cs="Times New Roman"/>
                <w:i w:val="false"/>
                <w:i w:val="false"/>
                <w:iCs w:val="false"/>
                <w:kern w:val="0"/>
                <w:sz w:val="24"/>
                <w:szCs w:val="24"/>
                <w:lang w:val="ru-RU" w:eastAsia="ru-RU" w:bidi="ar-SA"/>
              </w:rPr>
            </w:pPr>
            <w:r>
              <w:rPr>
                <w:rFonts w:eastAsia="Times New Roman" w:cs="Times New Roman"/>
                <w:b/>
                <w:i w:val="false"/>
                <w:iCs w:val="false"/>
                <w:kern w:val="0"/>
                <w:sz w:val="24"/>
                <w:szCs w:val="24"/>
                <w:lang w:val="ru-RU" w:eastAsia="ru-RU" w:bidi="ar-SA"/>
              </w:rPr>
              <w:t xml:space="preserve">Прочие требования к оказанию услуг </w:t>
            </w:r>
          </w:p>
        </w:tc>
      </w:tr>
      <w:tr>
        <w:trPr/>
        <w:tc>
          <w:tcPr>
            <w:tcW w:w="851" w:type="dxa"/>
            <w:tcBorders/>
            <w:vAlign w:val="center"/>
          </w:tcPr>
          <w:p>
            <w:pPr>
              <w:pStyle w:val="ListParagraph"/>
              <w:widowControl/>
              <w:numPr>
                <w:ilvl w:val="1"/>
                <w:numId w:val="6"/>
              </w:numPr>
              <w:spacing w:before="60" w:after="60"/>
              <w:ind w:left="-117" w:firstLine="142"/>
              <w:contextualSpacing/>
              <w:jc w:val="center"/>
              <w:rPr>
                <w:rFonts w:ascii="Times New Roman" w:hAnsi="Times New Roman" w:cs="Times New Roman"/>
                <w:i w:val="false"/>
                <w:i w:val="false"/>
                <w:iCs w:val="false"/>
                <w:kern w:val="0"/>
                <w:sz w:val="24"/>
                <w:szCs w:val="24"/>
                <w:lang w:val="ru-RU" w:eastAsia="ru-RU" w:bidi="ar-SA"/>
              </w:rPr>
            </w:pPr>
            <w:r>
              <w:rPr>
                <w:rFonts w:cs="Times New Roman"/>
                <w:i w:val="false"/>
                <w:iCs w:val="false"/>
                <w:kern w:val="0"/>
                <w:sz w:val="24"/>
                <w:szCs w:val="24"/>
                <w:lang w:val="ru-RU" w:eastAsia="ru-RU" w:bidi="ar-SA"/>
              </w:rPr>
            </w:r>
          </w:p>
        </w:tc>
        <w:tc>
          <w:tcPr>
            <w:tcW w:w="1822" w:type="dxa"/>
            <w:tcBorders/>
            <w:vAlign w:val="center"/>
          </w:tcPr>
          <w:p>
            <w:pPr>
              <w:pStyle w:val="Style29"/>
              <w:keepNext w:val="false"/>
              <w:widowControl/>
              <w:numPr>
                <w:ilvl w:val="0"/>
                <w:numId w:val="0"/>
              </w:numPr>
              <w:spacing w:before="0" w:after="60"/>
              <w:jc w:val="left"/>
              <w:outlineLvl w:val="2"/>
              <w:rPr>
                <w:rFonts w:ascii="Times New Roman" w:hAnsi="Times New Roman" w:eastAsia="Times New Roman" w:cs="Times New Roman"/>
                <w:i w:val="false"/>
                <w:i w:val="false"/>
                <w:iCs w:val="false"/>
                <w:kern w:val="0"/>
                <w:sz w:val="24"/>
                <w:szCs w:val="24"/>
                <w:lang w:eastAsia="ru-RU" w:bidi="ar-SA"/>
              </w:rPr>
            </w:pPr>
            <w:r>
              <w:rPr>
                <w:rFonts w:eastAsia="Times New Roman" w:cs="Times New Roman"/>
                <w:b w:val="false"/>
                <w:i w:val="false"/>
                <w:iCs w:val="false"/>
                <w:kern w:val="0"/>
                <w:sz w:val="24"/>
                <w:szCs w:val="24"/>
                <w:lang w:val="ru-RU" w:eastAsia="ru-RU" w:bidi="ar-SA"/>
              </w:rPr>
              <w:t>Стоимость за 1 рейс (2 машино-часа)</w:t>
            </w:r>
          </w:p>
        </w:tc>
        <w:tc>
          <w:tcPr>
            <w:tcW w:w="7392" w:type="dxa"/>
            <w:tcBorders/>
            <w:vAlign w:val="center"/>
          </w:tcPr>
          <w:p>
            <w:pPr>
              <w:pStyle w:val="Style29"/>
              <w:keepNext w:val="false"/>
              <w:widowControl/>
              <w:numPr>
                <w:ilvl w:val="0"/>
                <w:numId w:val="0"/>
              </w:numPr>
              <w:spacing w:before="0" w:after="60"/>
              <w:jc w:val="both"/>
              <w:outlineLvl w:val="2"/>
              <w:rPr>
                <w:rFonts w:ascii="Times New Roman" w:hAnsi="Times New Roman" w:eastAsia="Times New Roman" w:cs="Times New Roman"/>
                <w:i w:val="false"/>
                <w:i w:val="false"/>
                <w:iCs w:val="false"/>
                <w:kern w:val="0"/>
                <w:sz w:val="24"/>
                <w:szCs w:val="24"/>
                <w:lang w:eastAsia="ru-RU" w:bidi="ar-SA"/>
              </w:rPr>
            </w:pPr>
            <w:r>
              <w:rPr>
                <w:rFonts w:eastAsia="Times New Roman" w:cs="Times New Roman"/>
                <w:b w:val="false"/>
                <w:i w:val="false"/>
                <w:iCs w:val="false"/>
                <w:kern w:val="0"/>
                <w:sz w:val="24"/>
                <w:szCs w:val="24"/>
                <w:lang w:val="ru-RU" w:eastAsia="ru-RU" w:bidi="ar-SA"/>
              </w:rPr>
              <w:t>Стоимость 1 рейса (2 машино-часа) является фиксированной и постоянной на протяжении всего срока действия договора</w:t>
            </w:r>
          </w:p>
        </w:tc>
      </w:tr>
    </w:tbl>
    <w:p>
      <w:pPr>
        <w:pStyle w:val="Normal"/>
        <w:rPr>
          <w:rFonts w:eastAsia="Calibri"/>
          <w:b/>
          <w:iCs/>
          <w:caps/>
          <w:lang w:val="x-none" w:eastAsia="x-none"/>
        </w:rPr>
      </w:pPr>
      <w:r>
        <w:rPr>
          <w:rFonts w:eastAsia="Calibri"/>
          <w:b/>
          <w:iCs/>
          <w:caps/>
          <w:lang w:val="x-none" w:eastAsia="x-none"/>
        </w:rPr>
      </w:r>
    </w:p>
    <w:p>
      <w:pPr>
        <w:pStyle w:val="Heading3"/>
        <w:numPr>
          <w:ilvl w:val="0"/>
          <w:numId w:val="0"/>
        </w:numPr>
        <w:ind w:left="0" w:hanging="0"/>
        <w:rPr>
          <w:lang w:val="ru-RU"/>
        </w:rPr>
      </w:pPr>
      <w:r>
        <w:rPr/>
        <w:t>Приложения 1. Маршрут передвижения автотранспорта</w:t>
      </w:r>
      <w:r>
        <w:rPr>
          <w:lang w:val="ru-RU"/>
        </w:rPr>
        <w:t>.</w:t>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rPr>
          <w:rFonts w:eastAsia="Calibri"/>
          <w:lang w:eastAsia="x-none"/>
        </w:rPr>
      </w:pPr>
      <w:r>
        <w:rPr>
          <w:rFonts w:eastAsia="Calibri"/>
          <w:lang w:eastAsia="x-none"/>
        </w:rPr>
      </w:r>
    </w:p>
    <w:p>
      <w:pPr>
        <w:pStyle w:val="Normal"/>
        <w:jc w:val="right"/>
        <w:rPr>
          <w:rFonts w:eastAsia="Calibri"/>
          <w:b/>
          <w:sz w:val="24"/>
          <w:lang w:eastAsia="x-none"/>
        </w:rPr>
      </w:pPr>
      <w:r>
        <w:rPr>
          <w:rFonts w:eastAsia="Calibri"/>
          <w:b/>
          <w:sz w:val="24"/>
          <w:lang w:eastAsia="x-none"/>
        </w:rPr>
        <w:t xml:space="preserve">Приложение №1 </w:t>
      </w:r>
      <w:r>
        <w:rPr>
          <w:rFonts w:eastAsia="Calibri"/>
          <w:b/>
          <w:sz w:val="24"/>
          <w:lang w:eastAsia="x-none"/>
        </w:rPr>
        <w:t>к техническим требованиям</w:t>
      </w:r>
    </w:p>
    <w:p>
      <w:pPr>
        <w:pStyle w:val="Normal"/>
        <w:jc w:val="right"/>
        <w:rPr>
          <w:rFonts w:eastAsia="Calibri"/>
          <w:sz w:val="24"/>
          <w:lang w:eastAsia="x-none"/>
        </w:rPr>
      </w:pPr>
      <w:r>
        <w:rPr>
          <w:rFonts w:eastAsia="Calibri"/>
          <w:sz w:val="24"/>
          <w:lang w:eastAsia="x-none"/>
        </w:rPr>
        <w:t>Маршрут передвижения автотранспорта</w:t>
      </w:r>
    </w:p>
    <w:p>
      <w:pPr>
        <w:pStyle w:val="Normal"/>
        <w:suppressAutoHyphens w:val="true"/>
        <w:ind w:firstLine="708"/>
        <w:jc w:val="both"/>
        <w:rPr>
          <w:rFonts w:eastAsia="Calibri"/>
          <w:sz w:val="24"/>
          <w:lang w:eastAsia="en-US"/>
        </w:rPr>
      </w:pPr>
      <w:r>
        <w:rPr>
          <w:rFonts w:eastAsia="Calibri"/>
          <w:sz w:val="24"/>
          <w:lang w:eastAsia="en-US"/>
        </w:rPr>
      </w:r>
    </w:p>
    <w:p>
      <w:pPr>
        <w:pStyle w:val="Normal"/>
        <w:suppressAutoHyphens w:val="true"/>
        <w:ind w:firstLine="708"/>
        <w:jc w:val="both"/>
        <w:rPr>
          <w:rFonts w:eastAsia="Calibri"/>
          <w:sz w:val="24"/>
          <w:lang w:eastAsia="en-US"/>
        </w:rPr>
      </w:pPr>
      <w:r>
        <w:rPr>
          <w:rFonts w:eastAsia="Calibri"/>
          <w:sz w:val="24"/>
          <w:lang w:eastAsia="en-US"/>
        </w:rPr>
      </w:r>
    </w:p>
    <w:p>
      <w:pPr>
        <w:pStyle w:val="Normal"/>
        <w:suppressAutoHyphens w:val="true"/>
        <w:ind w:firstLine="708"/>
        <w:jc w:val="both"/>
        <w:rPr>
          <w:rFonts w:eastAsia="Calibri"/>
          <w:sz w:val="24"/>
          <w:lang w:eastAsia="en-US"/>
        </w:rPr>
      </w:pPr>
      <w:r>
        <w:rPr>
          <w:rFonts w:eastAsia="Calibri"/>
          <w:sz w:val="24"/>
          <w:lang w:eastAsia="en-US"/>
        </w:rPr>
        <w:t>При односменной работе:</w:t>
      </w:r>
    </w:p>
    <w:p>
      <w:pPr>
        <w:pStyle w:val="Normal"/>
        <w:suppressAutoHyphens w:val="true"/>
        <w:ind w:firstLine="708"/>
        <w:jc w:val="both"/>
        <w:rPr>
          <w:rFonts w:eastAsia="Calibri"/>
          <w:sz w:val="24"/>
          <w:lang w:eastAsia="en-US"/>
        </w:rPr>
      </w:pPr>
      <w:r>
        <w:rPr>
          <w:rFonts w:eastAsia="Calibri"/>
          <w:sz w:val="24"/>
          <w:lang w:eastAsia="en-US"/>
        </w:rPr>
        <w:t>- отправление в 06-30 по маршруту: остановка Клуб им.Чехова – остановка Ленинский ЗАГС – ДК Металлург – пл. Маркса (возможна замена на ГУМ Россия) – ост. Оловозавод (возможна замена на пл. Кирова) – Советское шоссе д.9 (ост. Пос. Элитный) – Новосибирская ГЭС.</w:t>
      </w:r>
    </w:p>
    <w:p>
      <w:pPr>
        <w:pStyle w:val="Normal"/>
        <w:suppressAutoHyphens w:val="true"/>
        <w:ind w:firstLine="708"/>
        <w:jc w:val="both"/>
        <w:rPr>
          <w:rFonts w:eastAsia="Calibri"/>
          <w:sz w:val="24"/>
          <w:lang w:eastAsia="en-US"/>
        </w:rPr>
      </w:pPr>
      <w:r>
        <w:rPr>
          <w:rFonts w:eastAsia="Calibri"/>
          <w:sz w:val="24"/>
          <w:lang w:eastAsia="en-US"/>
        </w:rPr>
        <w:t>- отправление от Новосибирской ГЭС в 17-15 по маршруту: Новосибирская ГЭС –  Советское шоссе д.9 (ост. Пос. Элитный) ост. – Оловозавод (возможна замена на пл. Кирова) –пл. Маркса (возможна замена на ГУМ Россия) – ДК Металлург – остановка Ленинский ЗАГС –остановка Клуб им.Чехова</w:t>
      </w:r>
    </w:p>
    <w:p>
      <w:pPr>
        <w:pStyle w:val="Normal"/>
        <w:suppressAutoHyphens w:val="true"/>
        <w:ind w:firstLine="708"/>
        <w:jc w:val="both"/>
        <w:rPr>
          <w:rFonts w:eastAsia="Calibri"/>
          <w:sz w:val="24"/>
          <w:lang w:eastAsia="en-US"/>
        </w:rPr>
      </w:pPr>
      <w:r>
        <w:rPr>
          <w:rFonts w:eastAsia="Calibri"/>
          <w:sz w:val="24"/>
          <w:lang w:eastAsia="en-US"/>
        </w:rPr>
      </w:r>
    </w:p>
    <w:p>
      <w:pPr>
        <w:pStyle w:val="Normal"/>
        <w:suppressAutoHyphens w:val="true"/>
        <w:ind w:firstLine="708"/>
        <w:jc w:val="both"/>
        <w:rPr>
          <w:rFonts w:eastAsia="Calibri"/>
          <w:sz w:val="24"/>
          <w:lang w:eastAsia="en-US"/>
        </w:rPr>
      </w:pPr>
      <w:r>
        <w:rPr>
          <w:rFonts w:eastAsia="Calibri"/>
          <w:sz w:val="24"/>
          <w:lang w:eastAsia="en-US"/>
        </w:rPr>
        <w:t>При двухсменной работе (вторая смена):</w:t>
      </w:r>
    </w:p>
    <w:p>
      <w:pPr>
        <w:pStyle w:val="Normal"/>
        <w:suppressAutoHyphens w:val="true"/>
        <w:ind w:firstLine="708"/>
        <w:jc w:val="both"/>
        <w:rPr>
          <w:rFonts w:eastAsia="Calibri"/>
          <w:sz w:val="24"/>
          <w:lang w:eastAsia="en-US"/>
        </w:rPr>
      </w:pPr>
      <w:r>
        <w:rPr>
          <w:rFonts w:eastAsia="Calibri"/>
          <w:sz w:val="24"/>
          <w:lang w:eastAsia="en-US"/>
        </w:rPr>
        <w:t>- отправление в 15-40 по маршруту: остановка Клуб им.Чехова – остановка Ленинский ЗАГС – ДК Металлург – пл. Маркса (возможна замена на ГУМ Россия) – ост. Оловозавод (возможна замена на пл. Кирова) – Советское шоссе д.9 (ост. Пос. Элитный) – Новосибирская ГЭС.</w:t>
      </w:r>
    </w:p>
    <w:p>
      <w:pPr>
        <w:pStyle w:val="Normal"/>
        <w:suppressAutoHyphens w:val="true"/>
        <w:ind w:firstLine="708"/>
        <w:jc w:val="both"/>
        <w:rPr>
          <w:rFonts w:eastAsia="Calibri"/>
          <w:sz w:val="24"/>
          <w:lang w:eastAsia="en-US"/>
        </w:rPr>
      </w:pPr>
      <w:r>
        <w:rPr>
          <w:rFonts w:eastAsia="Calibri"/>
          <w:sz w:val="24"/>
          <w:lang w:eastAsia="en-US"/>
        </w:rPr>
        <w:t>-отправление от Новосибирской ГЭС в 00-15 по маршруту: Новосибирская ГЭС –</w:t>
      </w:r>
      <w:r>
        <w:rPr/>
        <w:t xml:space="preserve">  </w:t>
      </w:r>
      <w:r>
        <w:rPr>
          <w:rFonts w:eastAsia="Calibri"/>
          <w:sz w:val="24"/>
          <w:lang w:eastAsia="en-US"/>
        </w:rPr>
        <w:t>Советское шоссе д.9 (ост. Пос. Элитный) ост. – Оловозавод (возможна замена на пл. Кирова) –пл. Маркса (возможна замена на ГУМ Россия) – ДК Ме</w:t>
      </w:r>
      <w:bookmarkStart w:id="31" w:name="_GoBack"/>
      <w:bookmarkEnd w:id="31"/>
      <w:r>
        <w:rPr>
          <w:rFonts w:eastAsia="Calibri"/>
          <w:sz w:val="24"/>
          <w:lang w:eastAsia="en-US"/>
        </w:rPr>
        <w:t>таллург – остановка Ленинский ЗАГС –остановка Клуб им.Чехова.</w:t>
      </w:r>
    </w:p>
    <w:p>
      <w:pPr>
        <w:pStyle w:val="Normal"/>
        <w:suppressAutoHyphens w:val="true"/>
        <w:ind w:firstLine="708"/>
        <w:jc w:val="both"/>
        <w:rPr>
          <w:rFonts w:eastAsia="Calibri"/>
          <w:sz w:val="24"/>
          <w:lang w:eastAsia="en-US"/>
        </w:rPr>
      </w:pPr>
      <w:r>
        <w:rPr>
          <w:rFonts w:eastAsia="Calibri"/>
          <w:sz w:val="24"/>
          <w:lang w:eastAsia="en-US"/>
        </w:rPr>
      </w:r>
    </w:p>
    <w:p>
      <w:pPr>
        <w:pStyle w:val="Normal"/>
        <w:suppressAutoHyphens w:val="true"/>
        <w:ind w:firstLine="708"/>
        <w:jc w:val="both"/>
        <w:rPr>
          <w:rFonts w:eastAsia="Calibri"/>
          <w:sz w:val="24"/>
          <w:lang w:eastAsia="en-US"/>
        </w:rPr>
      </w:pPr>
      <w:r>
        <w:rPr>
          <w:rFonts w:eastAsia="Calibri"/>
          <w:sz w:val="24"/>
          <w:lang w:eastAsia="en-US"/>
        </w:rPr>
        <w:t>При трёхсменной работе (третья смена):</w:t>
      </w:r>
    </w:p>
    <w:p>
      <w:pPr>
        <w:pStyle w:val="Normal"/>
        <w:suppressAutoHyphens w:val="true"/>
        <w:ind w:firstLine="708"/>
        <w:jc w:val="both"/>
        <w:rPr>
          <w:rFonts w:eastAsia="Calibri"/>
          <w:sz w:val="24"/>
          <w:lang w:eastAsia="en-US"/>
        </w:rPr>
      </w:pPr>
      <w:r>
        <w:rPr>
          <w:rFonts w:eastAsia="Calibri"/>
          <w:sz w:val="24"/>
          <w:lang w:eastAsia="en-US"/>
        </w:rPr>
        <w:t>-отправление в 22-30 по маршруту: остановка Клуб им.Чехова – остановка Ленинский ЗАГС – ДК Металлург – пл. Маркса (возможна замена на ГУМ Россия) – ост. Оловозавод (возможна замена на пл. Кирова) – Советское шоссе д.9 (ост. Пос. Элитный) – Новосибирская ГЭС.</w:t>
      </w:r>
    </w:p>
    <w:p>
      <w:pPr>
        <w:pStyle w:val="Normal"/>
        <w:suppressAutoHyphens w:val="true"/>
        <w:ind w:firstLine="708"/>
        <w:jc w:val="both"/>
        <w:rPr>
          <w:rFonts w:eastAsia="Calibri"/>
          <w:sz w:val="24"/>
          <w:lang w:eastAsia="en-US"/>
        </w:rPr>
      </w:pPr>
      <w:r>
        <w:rPr>
          <w:rFonts w:eastAsia="Calibri"/>
          <w:sz w:val="24"/>
          <w:lang w:eastAsia="en-US"/>
        </w:rPr>
        <w:t>- отправление от Новосибирской ГЭС в 08-15 по маршруту: Новосибирская ГЭС –</w:t>
      </w:r>
      <w:r>
        <w:rPr/>
        <w:t xml:space="preserve">  </w:t>
      </w:r>
      <w:r>
        <w:rPr>
          <w:rFonts w:eastAsia="Calibri"/>
          <w:sz w:val="24"/>
          <w:lang w:eastAsia="en-US"/>
        </w:rPr>
        <w:t>Советское шоссе д.9 (ост. Пос. Элитный) ост. – Оловозавод (возможна замена на пл. Кирова) –пл. Маркса (возможна замена на ГУМ Россия) – ДК Металлург – остановка Ленинский ЗАГС –остановка Клуб им.Чехова.</w:t>
      </w:r>
    </w:p>
    <w:p>
      <w:pPr>
        <w:pStyle w:val="Normal"/>
        <w:suppressAutoHyphens w:val="true"/>
        <w:ind w:firstLine="708"/>
        <w:jc w:val="both"/>
        <w:rPr>
          <w:rFonts w:eastAsia="Calibri"/>
          <w:sz w:val="24"/>
          <w:lang w:eastAsia="en-US"/>
        </w:rPr>
      </w:pPr>
      <w:r>
        <w:rPr>
          <w:rFonts w:eastAsia="Calibri"/>
          <w:sz w:val="24"/>
          <w:lang w:eastAsia="en-US"/>
        </w:rPr>
      </w:r>
    </w:p>
    <w:p>
      <w:pPr>
        <w:pStyle w:val="Normal"/>
        <w:suppressAutoHyphens w:val="true"/>
        <w:ind w:firstLine="708"/>
        <w:jc w:val="both"/>
        <w:rPr>
          <w:rFonts w:eastAsia="Calibri"/>
          <w:sz w:val="24"/>
          <w:lang w:eastAsia="en-US"/>
        </w:rPr>
      </w:pPr>
      <w:r>
        <w:rPr>
          <w:rFonts w:eastAsia="Calibri"/>
          <w:sz w:val="24"/>
          <w:lang w:eastAsia="en-US"/>
        </w:rPr>
        <w:t>Маршруты движения – определяются заявкой Заказчика (на день или на период), которая отправляется Перевозчику по электронной почте, либо возможно согласование маршрутов по телефону.</w:t>
      </w:r>
    </w:p>
    <w:p>
      <w:pPr>
        <w:pStyle w:val="Normal"/>
        <w:rPr>
          <w:rFonts w:eastAsia="Calibri"/>
          <w:lang w:eastAsia="x-none"/>
        </w:rPr>
      </w:pPr>
      <w:r>
        <w:rPr>
          <w:rFonts w:eastAsia="Calibri"/>
          <w:lang w:eastAsia="x-none"/>
        </w:rPr>
      </w:r>
    </w:p>
    <w:p>
      <w:pPr>
        <w:pStyle w:val="Normal"/>
        <w:rPr>
          <w:rFonts w:eastAsia="Calibri"/>
          <w:lang w:eastAsia="x-none"/>
        </w:rPr>
      </w:pPr>
      <w:r>
        <w:rPr/>
      </w:r>
    </w:p>
    <w:sectPr>
      <w:headerReference w:type="default" r:id="rId5"/>
      <w:headerReference w:type="first" r:id="rId6"/>
      <w:footerReference w:type="default" r:id="rId7"/>
      <w:footerReference w:type="first" r:id="rId8"/>
      <w:type w:val="nextPage"/>
      <w:pgSz w:w="11906" w:h="16838"/>
      <w:pgMar w:left="1134" w:right="851" w:gutter="0" w:header="680" w:top="1134" w:footer="737"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swiss"/>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75134700"/>
    </w:sdtPr>
    <w:sdtContent>
      <w:p>
        <w:pPr>
          <w:pStyle w:val="Footer"/>
          <w:jc w:val="right"/>
          <w:rPr>
            <w:sz w:val="24"/>
            <w:szCs w:val="24"/>
          </w:rPr>
        </w:pPr>
        <w:r>
          <w:rPr/>
          <w:fldChar w:fldCharType="begin"/>
        </w:r>
        <w:r>
          <w:rPr/>
          <w:instrText xml:space="preserve"> PAGE </w:instrText>
        </w:r>
        <w:r>
          <w:rPr/>
          <w:fldChar w:fldCharType="separate"/>
        </w:r>
        <w:r>
          <w:rPr/>
          <w:t>5</w:t>
        </w:r>
        <w:r>
          <w:rPr/>
          <w:fldChar w:fldCharType="end"/>
        </w:r>
      </w:p>
    </w:sdtContent>
  </w:sdt>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54281443"/>
    </w:sdtPr>
    <w:sdtContent>
      <w:p>
        <w:pPr>
          <w:pStyle w:val="Footer"/>
          <w:jc w:val="right"/>
          <w:rPr>
            <w:sz w:val="24"/>
            <w:szCs w:val="24"/>
          </w:rPr>
        </w:pPr>
        <w:r>
          <w:rPr/>
          <w:fldChar w:fldCharType="begin"/>
        </w:r>
        <w:r>
          <w:rPr/>
          <w:instrText xml:space="preserve"> PAGE </w:instrText>
        </w:r>
        <w:r>
          <w:rPr/>
          <w:fldChar w:fldCharType="separate"/>
        </w:r>
        <w:r>
          <w:rPr/>
          <w:t>10</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b w:val="false"/>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numPr>
        <w:ilvl w:val="0"/>
      </w:num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ba0367"/>
    <w:pPr>
      <w:keepNext w:val="true"/>
      <w:numPr>
        <w:ilvl w:val="2"/>
        <w:numId w:val="3"/>
      </w:numPr>
      <w:tabs>
        <w:tab w:val="clear" w:pos="708"/>
        <w:tab w:val="left" w:pos="851" w:leader="none"/>
        <w:tab w:val="left" w:pos="993" w:leader="none"/>
      </w:tabs>
      <w:spacing w:before="120" w:after="60"/>
      <w:ind w:left="0" w:hanging="0"/>
      <w:jc w:val="both"/>
      <w:outlineLvl w:val="2"/>
    </w:pPr>
    <w:rPr>
      <w:rFonts w:eastAsia="Calibri"/>
      <w:b/>
      <w:sz w:val="24"/>
      <w:szCs w:val="24"/>
      <w:lang w:val="x-none" w:eastAsia="x-none"/>
    </w:rPr>
  </w:style>
  <w:style w:type="paragraph" w:styleId="Heading4">
    <w:name w:val="Heading 4"/>
    <w:basedOn w:val="Heading3"/>
    <w:next w:val="Normal"/>
    <w:link w:val="4"/>
    <w:qFormat/>
    <w:rsid w:val="006629c9"/>
    <w:pPr>
      <w:numPr>
        <w:ilvl w:val="1"/>
      </w:num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name w:val="Символ сноски"/>
    <w:qFormat/>
    <w:rsid w:val="00d561d9"/>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semiHidden/>
    <w:qFormat/>
    <w:rsid w:val="00b714b0"/>
    <w:rPr>
      <w:sz w:val="16"/>
      <w:szCs w:val="16"/>
    </w:rPr>
  </w:style>
  <w:style w:type="character" w:styleId="Strong">
    <w:name w:val="Strong"/>
    <w:uiPriority w:val="22"/>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ba0367"/>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4"/>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3"/>
    <w:qFormat/>
    <w:locked/>
    <w:rsid w:val="00d22f6d"/>
    <w:rPr>
      <w:sz w:val="28"/>
    </w:rPr>
  </w:style>
  <w:style w:type="character" w:styleId="Style5" w:customStyle="1">
    <w:name w:val="Текст сноски Знак"/>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31"/>
    <w:qFormat/>
    <w:locked/>
    <w:rsid w:val="0025139e"/>
    <w:rPr>
      <w:sz w:val="26"/>
      <w:szCs w:val="26"/>
    </w:rPr>
  </w:style>
  <w:style w:type="character" w:styleId="31" w:customStyle="1">
    <w:name w:val="УРОВЕНЬ_Абзац_тип3 Знак"/>
    <w:link w:val="35"/>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name w:val="Символ концевой сноски"/>
    <w:basedOn w:val="DefaultParagraphFont"/>
    <w:qFormat/>
    <w:rsid w:val="003879d4"/>
    <w:rPr>
      <w:vertAlign w:val="superscript"/>
    </w:rPr>
  </w:style>
  <w:style w:type="character" w:styleId="EndnoteReference">
    <w:name w:val="Endnote Reference"/>
    <w:rPr>
      <w:vertAlign w:val="superscript"/>
    </w:rPr>
  </w:style>
  <w:style w:type="character" w:styleId="22" w:customStyle="1">
    <w:name w:val="Пункт2 Знак"/>
    <w:link w:val="24"/>
    <w:qFormat/>
    <w:rsid w:val="00de52bc"/>
    <w:rPr>
      <w:b/>
      <w:sz w:val="28"/>
    </w:rPr>
  </w:style>
  <w:style w:type="character" w:styleId="12" w:customStyle="1">
    <w:name w:val="УРОВЕНЬ_1. Знак"/>
    <w:link w:val="18"/>
    <w:qFormat/>
    <w:rsid w:val="004a17ae"/>
    <w:rPr>
      <w:rFonts w:eastAsia="Calibri"/>
      <w:caps/>
      <w:sz w:val="28"/>
      <w:szCs w:val="28"/>
      <w:lang w:eastAsia="en-US"/>
    </w:rPr>
  </w:style>
  <w:style w:type="character" w:styleId="Style14" w:customStyle="1">
    <w:name w:val="Основной текст_"/>
    <w:link w:val="19"/>
    <w:uiPriority w:val="99"/>
    <w:qFormat/>
    <w:locked/>
    <w:rsid w:val="003c12f6"/>
    <w:rPr>
      <w:sz w:val="28"/>
      <w:szCs w:val="28"/>
      <w:shd w:fill="FFFFFF" w:val="clear"/>
    </w:rPr>
  </w:style>
  <w:style w:type="character" w:styleId="Style15" w:customStyle="1">
    <w:name w:val="Нижний колонтитул Знак"/>
    <w:basedOn w:val="DefaultParagraphFont"/>
    <w:uiPriority w:val="99"/>
    <w:qFormat/>
    <w:rsid w:val="00fc560b"/>
    <w:rPr>
      <w:sz w:val="28"/>
      <w:szCs w:val="28"/>
    </w:rPr>
  </w:style>
  <w:style w:type="character" w:styleId="Style16">
    <w:name w:val="Ссылка указателя"/>
    <w:qForma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Style19" w:customStyle="1">
    <w:name w:val="Название раздела инструкции"/>
    <w:basedOn w:val="Normal"/>
    <w:autoRedefine/>
    <w:qFormat/>
    <w:rsid w:val="00275328"/>
    <w:pPr>
      <w:jc w:val="center"/>
    </w:pPr>
    <w:rPr>
      <w:b/>
    </w:rPr>
  </w:style>
  <w:style w:type="paragraph" w:styleId="Style20"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21"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rsid w:val="00d561d9"/>
    <w:pPr/>
    <w:rPr>
      <w:sz w:val="20"/>
      <w:szCs w:val="20"/>
    </w:rPr>
  </w:style>
  <w:style w:type="paragraph" w:styleId="13"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2"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4" w:customStyle="1">
    <w:name w:val="Название1"/>
    <w:basedOn w:val="Normal"/>
    <w:link w:val="Style1"/>
    <w:uiPriority w:val="10"/>
    <w:qFormat/>
    <w:rsid w:val="00bd4014"/>
    <w:pPr>
      <w:jc w:val="center"/>
    </w:pPr>
    <w:rPr>
      <w:szCs w:val="20"/>
      <w:lang w:val="x-none" w:eastAsia="x-none"/>
    </w:rPr>
  </w:style>
  <w:style w:type="paragraph" w:styleId="Style22">
    <w:name w:val="Колонтитул"/>
    <w:basedOn w:val="Normal"/>
    <w:qFormat/>
    <w:pPr/>
    <w:rPr/>
  </w:style>
  <w:style w:type="paragraph" w:styleId="Header">
    <w:name w:val="Header"/>
    <w:basedOn w:val="Normal"/>
    <w:link w:val="Style10"/>
    <w:uiPriority w:val="99"/>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left="360" w:hanging="0"/>
    </w:pPr>
    <w:rPr>
      <w:sz w:val="24"/>
      <w:szCs w:val="24"/>
    </w:rPr>
  </w:style>
  <w:style w:type="paragraph" w:styleId="Footer">
    <w:name w:val="Footer"/>
    <w:basedOn w:val="Normal"/>
    <w:link w:val="Style15"/>
    <w:uiPriority w:val="99"/>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23" w:customStyle="1">
    <w:name w:val="Подпункт"/>
    <w:basedOn w:val="Normal"/>
    <w:link w:val="11"/>
    <w:qFormat/>
    <w:rsid w:val="0076353a"/>
    <w:pPr>
      <w:tabs>
        <w:tab w:val="clear" w:pos="708"/>
        <w:tab w:val="left" w:pos="1134" w:leader="none"/>
      </w:tabs>
      <w:snapToGrid w:val="false"/>
      <w:spacing w:lineRule="auto" w:line="360"/>
      <w:ind w:left="1134" w:hanging="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uppressAutoHyphens w:val="true"/>
      <w:snapToGrid w:val="false"/>
      <w:spacing w:before="240" w:after="120"/>
      <w:ind w:left="1134" w:hanging="1134"/>
      <w:outlineLvl w:val="2"/>
    </w:pPr>
    <w:rPr>
      <w:b/>
      <w:szCs w:val="20"/>
    </w:rPr>
  </w:style>
  <w:style w:type="paragraph" w:styleId="TOC1">
    <w:name w:val="TOC 1"/>
    <w:basedOn w:val="Normal"/>
    <w:next w:val="Normal"/>
    <w:autoRedefine/>
    <w:uiPriority w:val="39"/>
    <w:rsid w:val="00c517de"/>
    <w:pPr>
      <w:spacing w:before="120" w:after="0"/>
    </w:pPr>
    <w:rPr>
      <w:rFonts w:cs="Calibri Light (Заголовки)"/>
      <w:b/>
      <w:bCs/>
      <w:sz w:val="24"/>
      <w:szCs w:val="24"/>
    </w:rPr>
  </w:style>
  <w:style w:type="paragraph" w:styleId="TOC3">
    <w:name w:val="TOC 3"/>
    <w:basedOn w:val="Normal"/>
    <w:next w:val="Normal"/>
    <w:autoRedefine/>
    <w:uiPriority w:val="39"/>
    <w:rsid w:val="006b6b70"/>
    <w:pPr>
      <w:ind w:left="280" w:hanging="0"/>
    </w:pPr>
    <w:rPr>
      <w:rFonts w:cs="Calibri" w:cstheme="minorHAnsi"/>
      <w:sz w:val="20"/>
      <w:szCs w:val="20"/>
    </w:rPr>
  </w:style>
  <w:style w:type="paragraph" w:styleId="Style24" w:customStyle="1">
    <w:name w:val="Раздел регламента"/>
    <w:basedOn w:val="Normal"/>
    <w:qFormat/>
    <w:rsid w:val="00e228fa"/>
    <w:pPr/>
    <w:rPr/>
  </w:style>
  <w:style w:type="paragraph" w:styleId="Style25"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693883"/>
    <w:pPr>
      <w:spacing w:before="240" w:after="0"/>
    </w:pPr>
    <w:rPr>
      <w:rFonts w:cs="Calibri" w:cstheme="minorHAnsi"/>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5"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left="1960" w:hanging="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left="840" w:hanging="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6b6b70"/>
    <w:pPr>
      <w:tabs>
        <w:tab w:val="clear" w:pos="708"/>
        <w:tab w:val="left" w:pos="1120" w:leader="none"/>
        <w:tab w:val="right" w:pos="9911" w:leader="none"/>
      </w:tabs>
      <w:ind w:left="560" w:hanging="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6"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
    <w:name w:val="caption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numPr>
        <w:ilvl w:val="1"/>
      </w:num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Style7"/>
    <w:uiPriority w:val="99"/>
    <w:qFormat/>
    <w:rsid w:val="00d22f6d"/>
    <w:pPr>
      <w:spacing w:before="0" w:after="0"/>
      <w:ind w:left="720" w:hanging="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7"/>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7"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3"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List3" w:customStyle="1">
    <w:name w:val="List 3"/>
    <w:basedOn w:val="Normal"/>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bidi w:val="0"/>
      <w:spacing w:before="0" w:after="0"/>
      <w:jc w:val="left"/>
    </w:pPr>
    <w:rPr>
      <w:rFonts w:eastAsia="Calibri" w:ascii="Times New Roman" w:hAnsi="Times New Roman" w:cs="Times New Roman"/>
      <w:color w:val="auto"/>
      <w:kern w:val="0"/>
      <w:sz w:val="24"/>
      <w:szCs w:val="24"/>
      <w:lang w:val="ru-RU" w:eastAsia="ru-RU" w:bidi="ar-SA"/>
    </w:rPr>
  </w:style>
  <w:style w:type="paragraph" w:styleId="ConsPlusNormal" w:customStyle="1">
    <w:name w:val="ConsPlusNormal"/>
    <w:qFormat/>
    <w:rsid w:val="00d22f6d"/>
    <w:pPr>
      <w:widowControl w:val="fals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34"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8" w:customStyle="1">
    <w:name w:val="Пункт"/>
    <w:basedOn w:val="Normal"/>
    <w:qFormat/>
    <w:rsid w:val="00d22f6d"/>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6"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29"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30" w:customStyle="1">
    <w:name w:val="Таблица шапка"/>
    <w:basedOn w:val="Normal"/>
    <w:qFormat/>
    <w:rsid w:val="00f64089"/>
    <w:pPr>
      <w:keepNext w:val="true"/>
      <w:spacing w:before="40" w:after="40"/>
      <w:ind w:left="57" w:right="57" w:hanging="0"/>
    </w:pPr>
    <w:rPr>
      <w:sz w:val="22"/>
      <w:szCs w:val="26"/>
    </w:rPr>
  </w:style>
  <w:style w:type="paragraph" w:styleId="Style31" w:customStyle="1">
    <w:name w:val="Подподпункт"/>
    <w:basedOn w:val="Style23"/>
    <w:link w:val="Style9"/>
    <w:qFormat/>
    <w:rsid w:val="0025139e"/>
    <w:pPr>
      <w:tabs>
        <w:tab w:val="clear" w:pos="1134"/>
        <w:tab w:val="left" w:pos="5104" w:leader="none"/>
      </w:tabs>
      <w:snapToGrid w:val="true"/>
      <w:spacing w:lineRule="auto" w:line="240" w:before="120" w:after="0"/>
      <w:ind w:left="5104" w:hanging="567"/>
    </w:pPr>
    <w:rPr>
      <w:sz w:val="26"/>
      <w:szCs w:val="26"/>
      <w:lang w:val="ru-RU" w:eastAsia="ru-RU"/>
    </w:rPr>
  </w:style>
  <w:style w:type="paragraph" w:styleId="Style32"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5"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3"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7" w:customStyle="1">
    <w:name w:val="Стиль Заголовок 1 + по ширине"/>
    <w:basedOn w:val="Heading1"/>
    <w:qFormat/>
    <w:rsid w:val="005773b2"/>
    <w:pPr>
      <w:keepLines/>
      <w:numPr>
        <w:ilvl w:val="0"/>
        <w:numId w:val="0"/>
      </w:numPr>
      <w:tabs>
        <w:tab w:val="left" w:pos="567" w:leader="none"/>
        <w:tab w:val="left" w:pos="851" w:leader="none"/>
        <w:tab w:val="left" w:pos="993" w:leader="none"/>
      </w:tabs>
      <w:suppressAutoHyphens w:val="true"/>
      <w:spacing w:before="480" w:after="240"/>
      <w:ind w:left="567" w:hanging="567"/>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uppressAutoHyphens w:val="true"/>
      <w:spacing w:before="120" w:after="120"/>
      <w:jc w:val="both"/>
      <w:outlineLvl w:val="0"/>
    </w:pPr>
    <w:rPr>
      <w:b/>
      <w:kern w:val="2"/>
      <w:sz w:val="24"/>
      <w:szCs w:val="20"/>
      <w:lang w:eastAsia="x-none"/>
    </w:rPr>
  </w:style>
  <w:style w:type="paragraph" w:styleId="Style34"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8" w:customStyle="1">
    <w:name w:val="УРОВЕНЬ_1."/>
    <w:basedOn w:val="ListParagraph"/>
    <w:link w:val="12"/>
    <w:qFormat/>
    <w:rsid w:val="004a17ae"/>
    <w:pPr>
      <w:keepNext w:val="true"/>
      <w:keepLines/>
      <w:spacing w:lineRule="auto" w:line="276" w:before="240" w:after="120"/>
      <w:ind w:left="0" w:hanging="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left="1120" w:hanging="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left="1400" w:hanging="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left="1680" w:hanging="0"/>
    </w:pPr>
    <w:rPr>
      <w:rFonts w:ascii="Calibri" w:hAnsi="Calibri" w:cs="Calibri" w:asciiTheme="minorHAnsi" w:cstheme="minorHAnsi" w:hAnsiTheme="minorHAnsi"/>
      <w:sz w:val="20"/>
      <w:szCs w:val="20"/>
    </w:rPr>
  </w:style>
  <w:style w:type="paragraph" w:styleId="19" w:customStyle="1">
    <w:name w:val="Основной текст1"/>
    <w:basedOn w:val="Normal"/>
    <w:link w:val="Style14"/>
    <w:qFormat/>
    <w:rsid w:val="003c12f6"/>
    <w:pPr>
      <w:widowControl w:val="false"/>
      <w:shd w:val="clear" w:color="auto" w:fill="FFFFFF"/>
      <w:spacing w:lineRule="exact" w:line="302"/>
    </w:pPr>
    <w:rPr/>
  </w:style>
  <w:style w:type="paragraph" w:styleId="Default" w:customStyle="1">
    <w:name w:val="Default"/>
    <w:qFormat/>
    <w:rsid w:val="002d5c4a"/>
    <w:pPr>
      <w:widowControl/>
      <w:bidi w:val="0"/>
      <w:spacing w:before="0" w:after="0"/>
      <w:jc w:val="left"/>
    </w:pPr>
    <w:rPr>
      <w:rFonts w:eastAsia="Calibri" w:ascii="Times New Roman" w:hAnsi="Times New Roman" w:cs="Times New Roman"/>
      <w:color w:val="000000"/>
      <w:kern w:val="0"/>
      <w:sz w:val="24"/>
      <w:szCs w:val="24"/>
      <w:lang w:val="ru-RU" w:eastAsia="ru-RU" w:bidi="ar-SA"/>
    </w:rPr>
  </w:style>
  <w:style w:type="paragraph" w:styleId="Style35">
    <w:name w:val="Содержимое врезки"/>
    <w:basedOn w:val="Normal"/>
    <w:qFormat/>
    <w:pPr/>
    <w:rPr/>
  </w:style>
  <w:style w:type="numbering" w:styleId="NoList" w:default="1">
    <w:name w:val="No List"/>
    <w:uiPriority w:val="99"/>
    <w:semiHidden/>
    <w:unhideWhenUsed/>
    <w:qFormat/>
  </w:style>
  <w:style w:type="numbering" w:styleId="110" w:customStyle="1">
    <w:name w:val="Стиль1"/>
    <w:uiPriority w:val="99"/>
    <w:qFormat/>
    <w:rsid w:val="00f001e4"/>
  </w:style>
  <w:style w:type="numbering" w:styleId="29" w:customStyle="1">
    <w:name w:val="Стиль2"/>
    <w:uiPriority w:val="99"/>
    <w:qFormat/>
    <w:rsid w:val="006629c9"/>
  </w:style>
  <w:style w:type="table" w:default="1" w:styleId="a5">
    <w:name w:val="Normal Table"/>
    <w:uiPriority w:val="99"/>
    <w:semiHidden/>
    <w:unhideWhenUsed/>
    <w:tblPr>
      <w:tblCellMar>
        <w:top w:w="0" w:type="dxa"/>
        <w:left w:w="108" w:type="dxa"/>
        <w:bottom w:w="0" w:type="dxa"/>
        <w:right w:w="108" w:type="dxa"/>
      </w:tblCellMar>
    </w:tblPr>
  </w:style>
  <w:style w:type="table" w:styleId="af">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6F69D-2945-4DD9-A6FB-085964B61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Application>AlterOffice/3.4.0.9$Linux_X86_64 LibreOffice_project/b8daf9e823b1a5463a2f48435ddc2e8696e7d4fc</Application>
  <AppVersion>15.0000</AppVersion>
  <Pages>10</Pages>
  <Words>1648</Words>
  <Characters>11706</Characters>
  <CharactersWithSpaces>13241</CharactersWithSpaces>
  <Paragraphs>174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2025-07-02T06:43:00Z</dcterms:created>
  <dc:creator>Быстров Олег Геннадьевич</dc:creator>
  <dc:description/>
  <dc:language>ru-RU</dc:language>
  <cp:lastModifiedBy>sherstukdi@corp.gidroogk.com</cp:lastModifiedBy>
  <cp:lastPrinted>2023-01-19T13:07:00Z</cp:lastPrinted>
  <dcterms:modified xsi:type="dcterms:W3CDTF">2026-09-17T14:12:13Z</dcterms:modified>
  <cp:revision>9</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