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240" w:before="0"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851"/>
        <w:jc w:val="center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851"/>
        <w:jc w:val="center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851"/>
        <w:jc w:val="center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851"/>
        <w:jc w:val="center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8070" w:leader="none"/>
        </w:tabs>
        <w:spacing w:lineRule="auto" w:line="240" w:before="0" w:after="0"/>
        <w:ind w:firstLine="851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  <w:tab/>
      </w:r>
    </w:p>
    <w:p>
      <w:pPr>
        <w:pStyle w:val="Normal"/>
        <w:widowControl w:val="false"/>
        <w:spacing w:lineRule="auto" w:line="240" w:before="0" w:after="0"/>
        <w:ind w:firstLine="851"/>
        <w:jc w:val="center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851"/>
        <w:jc w:val="center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851"/>
        <w:jc w:val="center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851"/>
        <w:jc w:val="center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851"/>
        <w:jc w:val="center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  <w:t xml:space="preserve">  </w:t>
      </w: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  <w:t>Технические требования на поставку МТР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567" w:leader="none"/>
          <w:tab w:val="left" w:pos="1134" w:leader="none"/>
        </w:tabs>
        <w:spacing w:lineRule="auto" w:line="240" w:before="0" w:after="0"/>
        <w:jc w:val="center"/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sz w:val="24"/>
          <w:szCs w:val="24"/>
          <w:lang w:eastAsia="ru-RU"/>
        </w:rPr>
        <w:t xml:space="preserve">ОКПД 2: 19.20.21 Поставка горюче-смазочных материалов </w:t>
      </w:r>
    </w:p>
    <w:p>
      <w:pPr>
        <w:pStyle w:val="Normal"/>
        <w:widowControl w:val="false"/>
        <w:tabs>
          <w:tab w:val="clear" w:pos="708"/>
          <w:tab w:val="left" w:pos="567" w:leader="none"/>
          <w:tab w:val="left" w:pos="1134" w:leader="none"/>
        </w:tabs>
        <w:spacing w:lineRule="auto" w:line="240" w:before="0" w:after="0"/>
        <w:jc w:val="center"/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sz w:val="24"/>
          <w:szCs w:val="24"/>
          <w:lang w:eastAsia="ru-RU"/>
        </w:rPr>
        <w:t>для нужд Кубанского филиала</w:t>
      </w:r>
    </w:p>
    <w:p>
      <w:pPr>
        <w:pStyle w:val="Normal"/>
        <w:widowControl w:val="false"/>
        <w:tabs>
          <w:tab w:val="clear" w:pos="708"/>
          <w:tab w:val="left" w:pos="567" w:leader="none"/>
          <w:tab w:val="left" w:pos="1134" w:leader="none"/>
        </w:tabs>
        <w:spacing w:lineRule="auto" w:line="240" w:before="0" w:after="0"/>
        <w:jc w:val="center"/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bidi w:val="0"/>
        <w:jc w:val="center"/>
        <w:rPr>
          <w:b w:val="false"/>
          <w:bCs w:val="false"/>
          <w:sz w:val="24"/>
          <w:szCs w:val="24"/>
        </w:rPr>
      </w:pPr>
      <w:r>
        <w:rPr/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firstLine="851" w:left="0"/>
        <w:jc w:val="center"/>
        <w:outlineLvl w:val="1"/>
        <w:rPr>
          <w:rFonts w:ascii="Times New Roman" w:hAnsi="Times New Roman" w:eastAsia="Times New Roman" w:cs="Times New Roman"/>
          <w:b w:val="false"/>
          <w:bCs w:val="false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hanging="0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  <w:r>
        <w:br w:type="page"/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hanging="0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Normal"/>
            <w:widowControl w:val="false"/>
            <w:numPr>
              <w:ilvl w:val="0"/>
              <w:numId w:val="0"/>
            </w:numPr>
            <w:spacing w:lineRule="auto" w:line="240" w:before="0" w:after="0"/>
            <w:ind w:firstLine="851" w:left="0"/>
            <w:jc w:val="center"/>
            <w:outlineLvl w:val="1"/>
            <w:rPr>
              <w:rFonts w:ascii="Times New Roman" w:hAnsi="Times New Roman" w:eastAsia="Times New Roman" w:cs="Times New Roman"/>
              <w:b/>
              <w:bCs/>
              <w:sz w:val="24"/>
              <w:szCs w:val="24"/>
              <w:lang w:eastAsia="ar-SA"/>
            </w:rPr>
          </w:pPr>
          <w:bookmarkStart w:id="0" w:name="_Toc141772985"/>
          <w:r>
            <w:rPr>
              <w:rFonts w:eastAsia="Times New Roman" w:cs="Times New Roman" w:ascii="Times New Roman" w:hAnsi="Times New Roman"/>
              <w:b/>
              <w:bCs/>
              <w:sz w:val="24"/>
              <w:szCs w:val="24"/>
              <w:lang w:eastAsia="ar-SA"/>
            </w:rPr>
            <w:t>СОДЕРЖАНИЕ</w:t>
          </w:r>
          <w:bookmarkEnd w:id="0"/>
        </w:p>
        <w:p>
          <w:pPr>
            <w:pStyle w:val="TOC2"/>
            <w:tabs>
              <w:tab w:val="clear" w:pos="708"/>
              <w:tab w:val="right" w:pos="9911" w:leader="dot"/>
            </w:tabs>
            <w:spacing w:lineRule="auto" w:line="240" w:before="0" w:after="0"/>
            <w:rPr>
              <w:rFonts w:ascii="Times New Roman" w:hAnsi="Times New Roman" w:eastAsia="" w:cs="Times New Roman" w:eastAsiaTheme="minorEastAsia"/>
              <w:sz w:val="24"/>
              <w:szCs w:val="24"/>
              <w:lang w:eastAsia="ru-RU"/>
            </w:rPr>
          </w:pPr>
          <w:r>
            <w:fldChar w:fldCharType="begin"/>
          </w:r>
          <w:r>
            <w:rPr/>
            <w:instrText xml:space="preserve"> TOC \z \o "1-3" \u \h</w:instrText>
          </w:r>
          <w:r>
            <w:rPr/>
            <w:fldChar w:fldCharType="separate"/>
          </w:r>
          <w:hyperlink w:anchor="_Toc141772985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_Toc141772985 \h</w:instrText>
            </w:r>
            <w:r>
              <w:rPr>
                <w:webHidden/>
              </w:rPr>
              <w:fldChar w:fldCharType="separate"/>
            </w:r>
            <w:r>
              <w:rPr/>
            </w:r>
            <w:r>
              <w:rPr>
                <w:webHidden/>
              </w:rPr>
              <w:fldChar w:fldCharType="end"/>
            </w:r>
          </w:hyperlink>
          <w:r>
            <w:rPr/>
            <w:fldChar w:fldCharType="end"/>
          </w:r>
        </w:p>
      </w:sdtContent>
    </w:sdt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 xml:space="preserve">1. </w:t>
      </w:r>
      <w:bookmarkStart w:id="1" w:name="_Toc141772986_Копия_1"/>
      <w:bookmarkStart w:id="2" w:name="_Toc75446566_Копия_1"/>
      <w:bookmarkStart w:id="3" w:name="_Toc51339692_Копия_1"/>
      <w:bookmarkStart w:id="4" w:name="_Toc125473240_Копия_1"/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Общие сведения</w:t>
      </w:r>
      <w:bookmarkEnd w:id="1"/>
      <w:bookmarkEnd w:id="2"/>
      <w:bookmarkEnd w:id="3"/>
      <w:bookmarkEnd w:id="4"/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 xml:space="preserve"> ……………………………………………………………………………………..3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eastAsia="x-none"/>
        </w:rPr>
        <w:t>1.1.  Обозначения и сокращения………………………………………………………………………3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1.2. </w:t>
      </w:r>
      <w:bookmarkStart w:id="5" w:name="_Toc141772987_Копия_2"/>
      <w:bookmarkStart w:id="6" w:name="_Toc125473241_Копия_2"/>
      <w:r>
        <w:rPr>
          <w:rFonts w:cs="Times New Roman" w:ascii="Times New Roman" w:hAnsi="Times New Roman"/>
          <w:sz w:val="24"/>
          <w:szCs w:val="24"/>
        </w:rPr>
        <w:t>Наименование закупаемой продукции…………………………………………………………</w:t>
      </w:r>
      <w:bookmarkEnd w:id="5"/>
      <w:bookmarkEnd w:id="6"/>
      <w:r>
        <w:rPr>
          <w:rFonts w:cs="Times New Roman" w:ascii="Times New Roman" w:hAnsi="Times New Roman"/>
          <w:sz w:val="24"/>
          <w:szCs w:val="24"/>
        </w:rPr>
        <w:t>...3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 xml:space="preserve">1.3. </w:t>
      </w:r>
      <w:bookmarkStart w:id="7" w:name="_Toc141772988_Копия_1"/>
      <w:bookmarkStart w:id="8" w:name="_Toc125473242_Копия_1"/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Цель использования закупаемой продукции……………………………………………………</w:t>
      </w:r>
      <w:bookmarkEnd w:id="7"/>
      <w:bookmarkEnd w:id="8"/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.3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val="x-none" w:eastAsia="ar-SA"/>
        </w:rPr>
        <w:t xml:space="preserve">2. </w:t>
      </w:r>
      <w:bookmarkStart w:id="9" w:name="_Toc51339693_Копия_1"/>
      <w:bookmarkStart w:id="10" w:name="_Toc75446573_Копия_1"/>
      <w:bookmarkStart w:id="11" w:name="_Toc125473249_Копия_1"/>
      <w:bookmarkStart w:id="12" w:name="_Toc141772989_Копия_1"/>
      <w:r>
        <w:rPr>
          <w:rFonts w:eastAsia="Calibri" w:cs="Times New Roman" w:ascii="Times New Roman" w:hAnsi="Times New Roman"/>
          <w:iCs/>
          <w:sz w:val="24"/>
          <w:szCs w:val="24"/>
          <w:lang w:val="x-none" w:eastAsia="x-none"/>
        </w:rPr>
        <w:t>Требования к продукции……………………………………………………………………………</w:t>
      </w:r>
      <w:bookmarkEnd w:id="9"/>
      <w:bookmarkEnd w:id="10"/>
      <w:bookmarkEnd w:id="11"/>
      <w:bookmarkEnd w:id="12"/>
      <w:r>
        <w:rPr>
          <w:rFonts w:eastAsia="Calibri" w:cs="Times New Roman" w:ascii="Times New Roman" w:hAnsi="Times New Roman"/>
          <w:iCs/>
          <w:sz w:val="24"/>
          <w:szCs w:val="24"/>
          <w:lang w:val="x-none" w:eastAsia="x-none"/>
        </w:rPr>
        <w:t>3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2.1 Требования к объёмам и срокам поставки………………………………………………………..3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2.1.1. </w:t>
      </w:r>
      <w:bookmarkStart w:id="13" w:name="_Toc125473250_Копия_1"/>
      <w:bookmarkStart w:id="14" w:name="_Toc75446575_Копия_1"/>
      <w:bookmarkStart w:id="15" w:name="_Toc141772990_Копия_1"/>
      <w:r>
        <w:rPr>
          <w:rFonts w:cs="Times New Roman" w:ascii="Times New Roman" w:hAnsi="Times New Roman"/>
          <w:sz w:val="24"/>
          <w:szCs w:val="24"/>
        </w:rPr>
        <w:t>Перечень и объем закупаемой продукции……………………………………………………</w:t>
      </w:r>
      <w:bookmarkEnd w:id="13"/>
      <w:bookmarkEnd w:id="14"/>
      <w:bookmarkEnd w:id="15"/>
      <w:r>
        <w:rPr>
          <w:rFonts w:cs="Times New Roman" w:ascii="Times New Roman" w:hAnsi="Times New Roman"/>
          <w:sz w:val="24"/>
          <w:szCs w:val="24"/>
        </w:rPr>
        <w:t>..3</w:t>
      </w:r>
    </w:p>
    <w:p>
      <w:pPr>
        <w:pStyle w:val="Heading4"/>
        <w:spacing w:before="0" w:after="0"/>
        <w:ind w:hanging="567" w:left="567"/>
        <w:rPr/>
      </w:pPr>
      <w:r>
        <w:rPr>
          <w:b w:val="false"/>
          <w:bCs w:val="false"/>
        </w:rPr>
        <w:t>Таблица 1.1. Перечень и объем закупаемой продукции……………………………………………..3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0" w:left="0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  <w:lang w:eastAsia="x-none"/>
        </w:rPr>
        <w:t xml:space="preserve">2.1.2. </w:t>
      </w:r>
      <w:bookmarkStart w:id="16" w:name="_Toc141772992_Копия_1"/>
      <w:r>
        <w:rPr>
          <w:rFonts w:eastAsia="Calibri" w:cs="Times New Roman" w:ascii="Times New Roman" w:hAnsi="Times New Roman"/>
          <w:sz w:val="24"/>
          <w:szCs w:val="24"/>
          <w:lang w:eastAsia="x-none"/>
        </w:rPr>
        <w:t>Требования к срокам поставки продукции……………………………………………………</w:t>
      </w:r>
      <w:bookmarkEnd w:id="16"/>
      <w:r>
        <w:rPr>
          <w:rFonts w:eastAsia="Calibri" w:cs="Times New Roman" w:ascii="Times New Roman" w:hAnsi="Times New Roman"/>
          <w:sz w:val="24"/>
          <w:szCs w:val="24"/>
          <w:lang w:eastAsia="x-none"/>
        </w:rPr>
        <w:t>.3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0" w:left="0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  <w:lang w:val="x-none" w:eastAsia="x-none"/>
        </w:rPr>
        <w:t xml:space="preserve">Таблица 2.1. </w:t>
      </w:r>
      <w:bookmarkStart w:id="17" w:name="_Hlk50465284_Копия_1"/>
      <w:r>
        <w:rPr>
          <w:rFonts w:eastAsia="Calibri" w:cs="Times New Roman" w:ascii="Times New Roman" w:hAnsi="Times New Roman"/>
          <w:sz w:val="24"/>
          <w:szCs w:val="24"/>
          <w:lang w:val="x-none" w:eastAsia="x-none"/>
        </w:rPr>
        <w:t xml:space="preserve">Требования по срокам </w:t>
      </w:r>
      <w:bookmarkEnd w:id="17"/>
      <w:r>
        <w:rPr>
          <w:rFonts w:eastAsia="Calibri" w:cs="Times New Roman" w:ascii="Times New Roman" w:hAnsi="Times New Roman"/>
          <w:sz w:val="24"/>
          <w:szCs w:val="24"/>
          <w:lang w:eastAsia="x-none"/>
        </w:rPr>
        <w:t xml:space="preserve">поставки продукции…………………………………………..3          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0" w:left="0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2.2. </w:t>
      </w:r>
      <w:bookmarkStart w:id="18" w:name="_Toc125473255_Копия_1"/>
      <w:r>
        <w:rPr>
          <w:rFonts w:cs="Times New Roman" w:ascii="Times New Roman" w:hAnsi="Times New Roman"/>
          <w:sz w:val="24"/>
          <w:szCs w:val="24"/>
        </w:rPr>
        <w:t>Требования к качеству продукции………………………………………………………………</w:t>
      </w:r>
      <w:bookmarkEnd w:id="18"/>
      <w:r>
        <w:rPr>
          <w:rFonts w:cs="Times New Roman" w:ascii="Times New Roman" w:hAnsi="Times New Roman"/>
          <w:sz w:val="24"/>
          <w:szCs w:val="24"/>
        </w:rPr>
        <w:t>.3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0" w:left="0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Таблица 3. Требования к продукции………………………………………………………………….3 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0" w:left="0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pacing w:val="-10"/>
          <w:sz w:val="24"/>
          <w:szCs w:val="24"/>
        </w:rPr>
        <w:t xml:space="preserve">3. Требования к документации по ценообразованию </w:t>
      </w:r>
      <w:r>
        <w:rPr>
          <w:rFonts w:eastAsia="Calibri" w:cs="Times New Roman" w:ascii="Times New Roman" w:hAnsi="Times New Roman"/>
          <w:sz w:val="24"/>
          <w:szCs w:val="24"/>
          <w:lang w:eastAsia="x-none"/>
        </w:rPr>
        <w:t>на этапе закупки…………………………………</w:t>
      </w:r>
      <w:r>
        <w:rPr>
          <w:rFonts w:eastAsia="Calibri" w:cs="Times New Roman" w:ascii="Times New Roman" w:hAnsi="Times New Roman"/>
          <w:spacing w:val="-10"/>
          <w:sz w:val="24"/>
          <w:szCs w:val="24"/>
          <w:lang w:eastAsia="x-none"/>
        </w:rPr>
        <w:t>7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4. Приложения………………………………………………………………………………………….7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  <w:r>
        <w:br w:type="page"/>
      </w:r>
    </w:p>
    <w:p>
      <w:pPr>
        <w:pStyle w:val="Heading1"/>
        <w:keepLines/>
        <w:numPr>
          <w:ilvl w:val="0"/>
          <w:numId w:val="5"/>
        </w:numPr>
        <w:spacing w:before="0" w:after="0"/>
        <w:jc w:val="center"/>
        <w:rPr>
          <w:sz w:val="24"/>
          <w:szCs w:val="24"/>
        </w:rPr>
      </w:pPr>
      <w:bookmarkStart w:id="19" w:name="_Toc125473240"/>
      <w:bookmarkStart w:id="20" w:name="_Toc75446566"/>
      <w:bookmarkStart w:id="21" w:name="_Toc51339692"/>
      <w:bookmarkStart w:id="22" w:name="_Toc141772986"/>
      <w:r>
        <w:rPr>
          <w:sz w:val="24"/>
          <w:szCs w:val="24"/>
          <w:lang w:val="ru-RU"/>
        </w:rPr>
        <w:t>Общие сведения</w:t>
      </w:r>
      <w:bookmarkEnd w:id="19"/>
      <w:bookmarkEnd w:id="20"/>
      <w:bookmarkEnd w:id="21"/>
      <w:bookmarkEnd w:id="22"/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  <w:lang w:eastAsia="x-none"/>
        </w:rPr>
      </w:pPr>
      <w:r>
        <w:rPr>
          <w:rFonts w:cs="Times New Roman" w:ascii="Times New Roman" w:hAnsi="Times New Roman"/>
          <w:sz w:val="24"/>
          <w:szCs w:val="24"/>
          <w:lang w:eastAsia="x-none"/>
        </w:rPr>
      </w:r>
    </w:p>
    <w:p>
      <w:pPr>
        <w:pStyle w:val="ListParagraph"/>
        <w:numPr>
          <w:ilvl w:val="1"/>
          <w:numId w:val="1"/>
        </w:numPr>
        <w:spacing w:lineRule="auto" w:line="240"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  <w:t>Обозначения и сокращения</w:t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АЗС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автозаправочная станция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ГСМ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Горюче – смазочные материалы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технические требования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  <w:lang w:eastAsia="x-none"/>
        </w:rPr>
      </w:pPr>
      <w:r>
        <w:rPr>
          <w:rFonts w:cs="Times New Roman" w:ascii="Times New Roman" w:hAnsi="Times New Roman"/>
          <w:sz w:val="24"/>
          <w:szCs w:val="24"/>
          <w:lang w:eastAsia="x-none"/>
        </w:rPr>
      </w:r>
    </w:p>
    <w:p>
      <w:pPr>
        <w:pStyle w:val="ListParagraph"/>
        <w:widowControl w:val="false"/>
        <w:numPr>
          <w:ilvl w:val="1"/>
          <w:numId w:val="1"/>
        </w:numPr>
        <w:spacing w:lineRule="auto" w:line="240" w:before="0" w:after="0"/>
        <w:contextualSpacing/>
        <w:outlineLvl w:val="1"/>
        <w:rPr>
          <w:rFonts w:ascii="Times New Roman" w:hAnsi="Times New Roman" w:cs="Times New Roman"/>
          <w:sz w:val="24"/>
          <w:szCs w:val="24"/>
        </w:rPr>
      </w:pPr>
      <w:bookmarkStart w:id="23" w:name="_Toc141772987"/>
      <w:bookmarkStart w:id="24" w:name="_Toc125473241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Наименование закупаемой продукции.</w:t>
      </w:r>
      <w:bookmarkEnd w:id="23"/>
      <w:bookmarkEnd w:id="24"/>
    </w:p>
    <w:p>
      <w:pPr>
        <w:pStyle w:val="ListParagraph"/>
        <w:widowControl w:val="false"/>
        <w:numPr>
          <w:ilvl w:val="0"/>
          <w:numId w:val="0"/>
        </w:numPr>
        <w:spacing w:lineRule="auto" w:line="240" w:before="0" w:after="0"/>
        <w:ind w:hanging="0" w:left="0"/>
        <w:contextualSpacing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  <w:lang w:eastAsia="ru-RU"/>
        </w:rPr>
        <w:t xml:space="preserve">ОКПД 2: 19.20.21 Поставка горюче-смазочных материалов для нужд Кубанского филиала. 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ListParagraph"/>
        <w:widowControl w:val="false"/>
        <w:numPr>
          <w:ilvl w:val="1"/>
          <w:numId w:val="1"/>
        </w:numPr>
        <w:spacing w:lineRule="auto" w:line="240" w:before="0" w:after="0"/>
        <w:contextualSpacing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 xml:space="preserve"> </w:t>
      </w:r>
      <w:bookmarkStart w:id="25" w:name="_Toc125473242"/>
      <w:bookmarkStart w:id="26" w:name="_Toc141772988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Цель использования закупаемой продукции.</w:t>
      </w:r>
      <w:bookmarkEnd w:id="25"/>
      <w:bookmarkEnd w:id="26"/>
    </w:p>
    <w:p>
      <w:pPr>
        <w:pStyle w:val="Normal"/>
        <w:tabs>
          <w:tab w:val="clear" w:pos="708"/>
          <w:tab w:val="left" w:pos="284" w:leader="none"/>
          <w:tab w:val="left" w:pos="567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Calibri" w:cs="Times New Roman" w:ascii="Times New Roman" w:hAnsi="Times New Roman"/>
          <w:spacing w:val="-10"/>
          <w:sz w:val="24"/>
          <w:szCs w:val="24"/>
        </w:rPr>
        <w:t xml:space="preserve">Заправка транспортных средств Кубанского филиала – АО «Гидроремонт ВКК» ГСМ по единым </w:t>
      </w:r>
      <w:r>
        <w:rPr>
          <w:rFonts w:cs="Times New Roman" w:ascii="Times New Roman" w:hAnsi="Times New Roman"/>
          <w:sz w:val="24"/>
          <w:szCs w:val="24"/>
        </w:rPr>
        <w:t>топливным картам для на весь период действия договора.</w:t>
      </w:r>
    </w:p>
    <w:p>
      <w:pPr>
        <w:pStyle w:val="Normal"/>
        <w:keepNext w:val="true"/>
        <w:keepLines/>
        <w:numPr>
          <w:ilvl w:val="0"/>
          <w:numId w:val="2"/>
        </w:numPr>
        <w:spacing w:lineRule="auto" w:line="240" w:before="0" w:after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bookmarkStart w:id="27" w:name="_Toc141772989"/>
      <w:bookmarkStart w:id="28" w:name="_Toc125473249"/>
      <w:bookmarkStart w:id="29" w:name="_Toc75446573"/>
      <w:bookmarkStart w:id="30" w:name="_Toc51339693"/>
      <w:r>
        <w:rPr>
          <w:rFonts w:eastAsia="Calibri" w:cs="Times New Roman" w:ascii="Times New Roman" w:hAnsi="Times New Roman"/>
          <w:b/>
          <w:bCs/>
          <w:iCs/>
          <w:sz w:val="24"/>
          <w:szCs w:val="24"/>
          <w:lang w:val="x-none" w:eastAsia="x-none"/>
        </w:rPr>
        <w:t>Требования к продукции</w:t>
      </w:r>
      <w:bookmarkEnd w:id="29"/>
      <w:bookmarkEnd w:id="30"/>
      <w:r>
        <w:rPr>
          <w:rFonts w:eastAsia="Calibri" w:cs="Times New Roman" w:ascii="Times New Roman" w:hAnsi="Times New Roman"/>
          <w:b/>
          <w:bCs/>
          <w:iCs/>
          <w:sz w:val="24"/>
          <w:szCs w:val="24"/>
          <w:lang w:eastAsia="x-none"/>
        </w:rPr>
        <w:t>.</w:t>
      </w:r>
      <w:bookmarkEnd w:id="27"/>
      <w:bookmarkEnd w:id="28"/>
    </w:p>
    <w:p>
      <w:pPr>
        <w:pStyle w:val="Heading4"/>
        <w:numPr>
          <w:ilvl w:val="1"/>
          <w:numId w:val="3"/>
        </w:numPr>
        <w:spacing w:before="0" w:after="0"/>
        <w:ind w:hanging="567" w:left="567"/>
        <w:rPr/>
      </w:pPr>
      <w:bookmarkStart w:id="31" w:name="_Toc75446574"/>
      <w:r>
        <w:rPr>
          <w:bCs w:val="false"/>
        </w:rPr>
        <w:t>Требования к объёмам и срокам поставк</w:t>
      </w:r>
      <w:r>
        <w:rPr/>
        <w:t>и</w:t>
      </w:r>
      <w:bookmarkEnd w:id="31"/>
    </w:p>
    <w:p>
      <w:pPr>
        <w:pStyle w:val="Normal"/>
        <w:keepNext w:val="true"/>
        <w:numPr>
          <w:ilvl w:val="2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hanging="1227" w:left="1227"/>
        <w:outlineLvl w:val="2"/>
        <w:rPr>
          <w:rFonts w:ascii="Times New Roman" w:hAnsi="Times New Roman" w:cs="Times New Roman"/>
          <w:sz w:val="24"/>
          <w:szCs w:val="24"/>
        </w:rPr>
      </w:pPr>
      <w:bookmarkStart w:id="32" w:name="_Toc141772990"/>
      <w:bookmarkStart w:id="33" w:name="_Toc75446575"/>
      <w:bookmarkStart w:id="34" w:name="_Toc125473250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Перечень и объем закупаемой продукции</w:t>
      </w:r>
      <w:bookmarkEnd w:id="32"/>
      <w:bookmarkEnd w:id="33"/>
      <w:bookmarkEnd w:id="34"/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0" w:after="0"/>
        <w:ind w:hanging="0" w:left="0"/>
        <w:outlineLvl w:val="0"/>
        <w:rPr>
          <w:rFonts w:ascii="Times New Roman" w:hAnsi="Times New Roman" w:cs="Times New Roman"/>
          <w:sz w:val="24"/>
          <w:szCs w:val="24"/>
        </w:rPr>
      </w:pPr>
      <w:bookmarkStart w:id="35" w:name="_Toc141772991"/>
      <w:bookmarkStart w:id="36" w:name="_Toc75446576"/>
      <w:bookmarkStart w:id="37" w:name="_Toc125473251"/>
      <w:bookmarkStart w:id="38" w:name="_Toc51339695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1.1</w:t>
      </w:r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 xml:space="preserve">Перечень </w:t>
      </w:r>
      <w:bookmarkEnd w:id="38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и объем закупаемой продукции</w:t>
      </w:r>
      <w:bookmarkEnd w:id="35"/>
      <w:bookmarkEnd w:id="36"/>
      <w:bookmarkEnd w:id="37"/>
    </w:p>
    <w:tbl>
      <w:tblPr>
        <w:tblW w:w="9862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714"/>
        <w:gridCol w:w="6088"/>
        <w:gridCol w:w="1421"/>
        <w:gridCol w:w="1638"/>
      </w:tblGrid>
      <w:tr>
        <w:trPr/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6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продукции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Количество*</w:t>
            </w:r>
          </w:p>
        </w:tc>
      </w:tr>
      <w:tr>
        <w:trPr/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6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4</w:t>
            </w:r>
          </w:p>
        </w:tc>
      </w:tr>
      <w:tr>
        <w:trPr>
          <w:trHeight w:val="328" w:hRule="atLeast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Бензин АИ-92 ГОСТ 32513-2023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л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13 830</w:t>
            </w:r>
          </w:p>
        </w:tc>
      </w:tr>
      <w:tr>
        <w:trPr>
          <w:trHeight w:val="328" w:hRule="atLeast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Бензин АИ-95 ГОСТ 32513-2023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л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5 970</w:t>
            </w:r>
          </w:p>
        </w:tc>
      </w:tr>
      <w:tr>
        <w:trPr>
          <w:trHeight w:val="328" w:hRule="atLeast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Дизельное топливо (по сезонности ) ГОСТ 32511-2013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л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16 540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  <w:lang w:eastAsia="x-none"/>
        </w:rPr>
        <w:t>*Заявленный объем является ориентировочный, отпуск ГСМ будет производиться по ценам АЗС на дату заправки автомобильного транспорта.</w:t>
      </w:r>
    </w:p>
    <w:p>
      <w:pPr>
        <w:pStyle w:val="Normal"/>
        <w:keepNext w:val="true"/>
        <w:numPr>
          <w:ilvl w:val="2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hanging="1227" w:left="1227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Т</w:t>
      </w:r>
      <w:bookmarkStart w:id="39" w:name="_Toc141772992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ребования к срокам поставки продукции</w:t>
      </w:r>
      <w:bookmarkEnd w:id="39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 xml:space="preserve"> 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0" w:after="0"/>
        <w:ind w:hanging="0" w:left="0"/>
        <w:outlineLvl w:val="0"/>
        <w:rPr>
          <w:rFonts w:ascii="Times New Roman" w:hAnsi="Times New Roman" w:cs="Times New Roman"/>
          <w:sz w:val="24"/>
          <w:szCs w:val="24"/>
        </w:rPr>
      </w:pPr>
      <w:bookmarkStart w:id="40" w:name="_Toc125473253"/>
      <w:bookmarkStart w:id="41" w:name="_Toc75446579"/>
      <w:bookmarkStart w:id="42" w:name="_Toc141772993"/>
      <w:bookmarkStart w:id="43" w:name="_Toc51339697"/>
      <w:bookmarkStart w:id="44" w:name="_Toc50125127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2.1</w:t>
      </w:r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bookmarkStart w:id="45" w:name="_Hlk50465284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Требования по срокам </w:t>
      </w:r>
      <w:bookmarkEnd w:id="43"/>
      <w:bookmarkEnd w:id="44"/>
      <w:bookmarkEnd w:id="45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поставки продукции</w:t>
      </w:r>
      <w:bookmarkEnd w:id="40"/>
      <w:bookmarkEnd w:id="41"/>
      <w:bookmarkEnd w:id="42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 xml:space="preserve"> </w:t>
      </w:r>
    </w:p>
    <w:tbl>
      <w:tblPr>
        <w:tblW w:w="1017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61"/>
        <w:gridCol w:w="3232"/>
        <w:gridCol w:w="3118"/>
        <w:gridCol w:w="3261"/>
      </w:tblGrid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продукции / партии продукции/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началу срока поставки продукции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>
        <w:trPr/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3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ОКПД 2: 19.20.21 Поставка горюче-смазочных материалов для нужд Кубанского филиала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 даты подписания договораг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 31.12.2026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Heading4"/>
        <w:numPr>
          <w:ilvl w:val="1"/>
          <w:numId w:val="3"/>
        </w:numPr>
        <w:spacing w:before="0" w:after="0"/>
        <w:ind w:hanging="567" w:left="567"/>
        <w:rPr/>
      </w:pPr>
      <w:r>
        <w:rPr/>
        <w:t xml:space="preserve"> </w:t>
      </w:r>
      <w:bookmarkStart w:id="46" w:name="_Toc125473255"/>
      <w:r>
        <w:rPr/>
        <w:t>Требования к качеству продукции</w:t>
      </w:r>
      <w:bookmarkEnd w:id="46"/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0" w:after="0"/>
        <w:ind w:hanging="0" w:left="0"/>
        <w:outlineLvl w:val="0"/>
        <w:rPr>
          <w:rFonts w:ascii="Times New Roman" w:hAnsi="Times New Roman" w:cs="Times New Roman"/>
          <w:sz w:val="24"/>
          <w:szCs w:val="24"/>
        </w:rPr>
      </w:pPr>
      <w:bookmarkStart w:id="47" w:name="_Toc141772994"/>
      <w:bookmarkStart w:id="48" w:name="_Toc125473256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>Таблица 3. Требования к продукции</w:t>
      </w:r>
      <w:bookmarkEnd w:id="47"/>
      <w:bookmarkEnd w:id="48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iCs/>
          <w:sz w:val="24"/>
          <w:szCs w:val="24"/>
          <w:lang w:eastAsia="ar-SA"/>
        </w:rPr>
        <w:t xml:space="preserve">Наименование продукции </w:t>
      </w:r>
      <w:r>
        <w:rPr>
          <w:rFonts w:eastAsia="Times New Roman" w:cs="Times New Roman" w:ascii="Times New Roman" w:hAnsi="Times New Roman"/>
          <w:iCs/>
          <w:sz w:val="24"/>
          <w:szCs w:val="24"/>
          <w:lang w:eastAsia="ar-SA"/>
        </w:rPr>
        <w:t>(в соответствии с Т</w:t>
      </w:r>
      <w:r>
        <w:rPr>
          <w:rFonts w:eastAsia="Times New Roman" w:cs="Times New Roman" w:ascii="Times New Roman" w:hAnsi="Times New Roman"/>
          <w:bCs/>
          <w:iCs/>
          <w:sz w:val="24"/>
          <w:szCs w:val="24"/>
          <w:lang w:eastAsia="ar-SA"/>
        </w:rPr>
        <w:t xml:space="preserve">аблицей 1.1): </w:t>
      </w:r>
      <w:r>
        <w:rPr>
          <w:rFonts w:eastAsia="Calibri" w:cs="Times New Roman" w:ascii="Times New Roman" w:hAnsi="Times New Roman"/>
          <w:bCs/>
          <w:iCs/>
          <w:sz w:val="24"/>
          <w:szCs w:val="24"/>
          <w:lang w:eastAsia="ru-RU"/>
        </w:rPr>
        <w:t xml:space="preserve">ОКПД 2: 19.20.21 </w:t>
      </w:r>
      <w:r>
        <w:rPr>
          <w:rFonts w:eastAsia="Times New Roman" w:cs="Times New Roman" w:ascii="Times New Roman" w:hAnsi="Times New Roman"/>
          <w:bCs/>
          <w:iCs/>
          <w:sz w:val="24"/>
          <w:szCs w:val="24"/>
          <w:lang w:eastAsia="ar-SA"/>
        </w:rPr>
        <w:t>Поставка горюче-смазочных материалов для нужд Кубанского филиала.</w:t>
      </w:r>
    </w:p>
    <w:tbl>
      <w:tblPr>
        <w:tblStyle w:val="32"/>
        <w:tblW w:w="1014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615"/>
        <w:gridCol w:w="2033"/>
        <w:gridCol w:w="326"/>
        <w:gridCol w:w="2214"/>
        <w:gridCol w:w="2380"/>
        <w:gridCol w:w="2572"/>
      </w:tblGrid>
      <w:tr>
        <w:trPr/>
        <w:tc>
          <w:tcPr>
            <w:tcW w:w="61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03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540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495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61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203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2540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238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57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61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0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54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38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57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</w:tr>
      <w:tr>
        <w:trPr/>
        <w:tc>
          <w:tcPr>
            <w:tcW w:w="61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573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380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</w:t>
            </w:r>
          </w:p>
        </w:tc>
        <w:tc>
          <w:tcPr>
            <w:tcW w:w="2572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1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4"/>
              </w:numPr>
              <w:suppressAutoHyphens w:val="true"/>
              <w:spacing w:lineRule="auto" w:line="240" w:before="0" w:after="0"/>
              <w:ind w:firstLine="142" w:left="-117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573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Качество получаемого ГСМ по топливным </w:t>
            </w:r>
            <w:r>
              <w:rPr>
                <w:rFonts w:eastAsia="Times New Roman" w:cs="Times New Roman" w:ascii="Times New Roman" w:hAnsi="Times New Roman"/>
                <w:spacing w:val="-10"/>
                <w:kern w:val="0"/>
                <w:sz w:val="24"/>
                <w:szCs w:val="24"/>
                <w:lang w:val="ru-RU" w:eastAsia="ru-RU" w:bidi="ar-SA"/>
              </w:rPr>
              <w:t>картам должно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соответствовать: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ГОСТ 32513-2023 Бензин автомобильный;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ГОСТ 32511-2013 Топливо дизельное ЕВРО</w:t>
            </w:r>
          </w:p>
        </w:tc>
        <w:tc>
          <w:tcPr>
            <w:tcW w:w="238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57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1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2.</w:t>
            </w:r>
          </w:p>
        </w:tc>
        <w:tc>
          <w:tcPr>
            <w:tcW w:w="4573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38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57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sz w:val="24"/>
                <w:szCs w:val="24"/>
              </w:rPr>
            </w:r>
          </w:p>
        </w:tc>
      </w:tr>
      <w:tr>
        <w:trPr>
          <w:trHeight w:val="1842" w:hRule="atLeast"/>
        </w:trPr>
        <w:tc>
          <w:tcPr>
            <w:tcW w:w="61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2.1.</w:t>
            </w:r>
          </w:p>
        </w:tc>
        <w:tc>
          <w:tcPr>
            <w:tcW w:w="20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Гарантия</w:t>
            </w:r>
          </w:p>
        </w:tc>
        <w:tc>
          <w:tcPr>
            <w:tcW w:w="254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Гарантия качества ГСМ действует в течение сроков, указанных в ГОСТах, ТУ и сертификатах качества.</w:t>
            </w:r>
          </w:p>
        </w:tc>
        <w:tc>
          <w:tcPr>
            <w:tcW w:w="238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57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tcW w:w="61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2.2.</w:t>
            </w:r>
          </w:p>
        </w:tc>
        <w:tc>
          <w:tcPr>
            <w:tcW w:w="4573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случаях поставки ГСМ с отступлениями от условий, указанных в настоящих ТТ, ухудшившими результат обеспечения ГСМ, или с иными недостатками, которые делают ГСМ непригодными для предусмотренного в Договоре использования, Заказчик вправе потребовать от Победителя безвозмездного устранения недостатков в разумный срок. Предоставление некачественных ГСМ приравнивается к их не предоставлению.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Заказчик вправе требовать от Победителя возмещение стоимости некачественных ГСМ и возмещение реального ущерба, понесенного Заказчиком, в связи с предоставленными Заказчику некачественными ГСМ.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Заказчик вправе проводить выборочный контроль качества, поставляемых ГСМ, в аккредитованной лаборатории. В случае установления некачественных ГСМ, поставленных Заказчику расходы на проведение экспертизы, несет Победитель.</w:t>
            </w:r>
          </w:p>
        </w:tc>
        <w:tc>
          <w:tcPr>
            <w:tcW w:w="238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57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1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 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3.</w:t>
            </w:r>
          </w:p>
        </w:tc>
        <w:tc>
          <w:tcPr>
            <w:tcW w:w="4573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38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57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15" w:type="dxa"/>
            <w:tcBorders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3.1.</w:t>
            </w:r>
          </w:p>
        </w:tc>
        <w:tc>
          <w:tcPr>
            <w:tcW w:w="4573" w:type="dxa"/>
            <w:gridSpan w:val="3"/>
            <w:tcBorders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  <w:tab w:val="left" w:pos="567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Победитель обязан обеспечить возможность предоставления копии сертификата качества на поставляемые ГСМ по требованию Заказчика в момент получения ГСМ по топливной карте на АЗС.</w:t>
            </w:r>
          </w:p>
        </w:tc>
        <w:tc>
          <w:tcPr>
            <w:tcW w:w="238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57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15" w:type="dxa"/>
            <w:tcBorders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4.</w:t>
            </w:r>
          </w:p>
        </w:tc>
        <w:tc>
          <w:tcPr>
            <w:tcW w:w="4573" w:type="dxa"/>
            <w:gridSpan w:val="3"/>
            <w:tcBorders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38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57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677" w:hRule="atLeast"/>
        </w:trPr>
        <w:tc>
          <w:tcPr>
            <w:tcW w:w="615" w:type="dxa"/>
            <w:tcBorders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4.1.</w:t>
            </w:r>
          </w:p>
        </w:tc>
        <w:tc>
          <w:tcPr>
            <w:tcW w:w="2359" w:type="dxa"/>
            <w:gridSpan w:val="2"/>
            <w:tcBorders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14" w:type="dxa"/>
            <w:tcBorders>
              <w:lef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Сеть АЗС Победителя</w:t>
            </w:r>
          </w:p>
        </w:tc>
        <w:tc>
          <w:tcPr>
            <w:tcW w:w="238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57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85" w:hRule="atLeast"/>
        </w:trPr>
        <w:tc>
          <w:tcPr>
            <w:tcW w:w="615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5.</w:t>
            </w:r>
          </w:p>
        </w:tc>
        <w:tc>
          <w:tcPr>
            <w:tcW w:w="4573" w:type="dxa"/>
            <w:gridSpan w:val="3"/>
            <w:tcBorders>
              <w:top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обязательствам Поставщика, влияющим на исполнение Договора</w:t>
            </w:r>
          </w:p>
        </w:tc>
        <w:tc>
          <w:tcPr>
            <w:tcW w:w="238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57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912" w:hRule="atLeast"/>
        </w:trPr>
        <w:tc>
          <w:tcPr>
            <w:tcW w:w="615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5.1.</w:t>
            </w:r>
          </w:p>
        </w:tc>
        <w:tc>
          <w:tcPr>
            <w:tcW w:w="4573" w:type="dxa"/>
            <w:gridSpan w:val="3"/>
            <w:tcBorders>
              <w:top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Стоимость ГСМ, получаемых по топливным картам  на АЗС, не должна превышать стоимость ГСМ, указанную на стеле АЗС в день заправки транспортного средства с учетом итоговой скидки, предложенной в ходе проведения закупки Участником.</w:t>
            </w:r>
          </w:p>
        </w:tc>
        <w:tc>
          <w:tcPr>
            <w:tcW w:w="238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57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227" w:hRule="atLeast"/>
        </w:trPr>
        <w:tc>
          <w:tcPr>
            <w:tcW w:w="615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5.2.</w:t>
            </w:r>
          </w:p>
        </w:tc>
        <w:tc>
          <w:tcPr>
            <w:tcW w:w="4573" w:type="dxa"/>
            <w:gridSpan w:val="3"/>
            <w:tcBorders>
              <w:top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Предоставление доступа в личный кабинет Пользователя (Заказчика) посредством регистрации на официальном сайте Победителя в сети Интернет с целью получения информации о состоянии лицевого счета и совершенным операциям по топливным  картам  в режиме реального времени</w:t>
            </w:r>
          </w:p>
        </w:tc>
        <w:tc>
          <w:tcPr>
            <w:tcW w:w="238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57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881" w:hRule="atLeast"/>
        </w:trPr>
        <w:tc>
          <w:tcPr>
            <w:tcW w:w="615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5.3.</w:t>
            </w:r>
          </w:p>
        </w:tc>
        <w:tc>
          <w:tcPr>
            <w:tcW w:w="4573" w:type="dxa"/>
            <w:gridSpan w:val="3"/>
            <w:tcBorders>
              <w:top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Ежемесячное представление отчета об объеме отпуска ГСМ с детализацией по топливным картам.</w:t>
            </w:r>
          </w:p>
        </w:tc>
        <w:tc>
          <w:tcPr>
            <w:tcW w:w="238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57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85" w:hRule="atLeast"/>
        </w:trPr>
        <w:tc>
          <w:tcPr>
            <w:tcW w:w="615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5.4.</w:t>
            </w:r>
          </w:p>
        </w:tc>
        <w:tc>
          <w:tcPr>
            <w:tcW w:w="4573" w:type="dxa"/>
            <w:gridSpan w:val="3"/>
            <w:tcBorders>
              <w:top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После каждой операции с использованием топливной карты Заказчику на АЗС в обязательном порядке выдается чек терминала. В случае успешного обслуживания – чек о совершенной операции. В случае неуспешной операции с топливной  картой – чек отказа с указанием  причины отказа в совершении операции.</w:t>
            </w:r>
          </w:p>
        </w:tc>
        <w:tc>
          <w:tcPr>
            <w:tcW w:w="238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57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85" w:hRule="atLeast"/>
        </w:trPr>
        <w:tc>
          <w:tcPr>
            <w:tcW w:w="615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5.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ru-RU" w:bidi="ar-SA"/>
              </w:rPr>
              <w:t>5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.</w:t>
            </w:r>
          </w:p>
        </w:tc>
        <w:tc>
          <w:tcPr>
            <w:tcW w:w="4573" w:type="dxa"/>
            <w:gridSpan w:val="3"/>
            <w:tcBorders>
              <w:top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Наличие программного обеспечение для проведения полного комплекса операций по отпуску ГСМ с использованием топливных  карт.</w:t>
            </w:r>
          </w:p>
        </w:tc>
        <w:tc>
          <w:tcPr>
            <w:tcW w:w="238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57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85" w:hRule="atLeast"/>
        </w:trPr>
        <w:tc>
          <w:tcPr>
            <w:tcW w:w="615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6.</w:t>
            </w:r>
          </w:p>
        </w:tc>
        <w:tc>
          <w:tcPr>
            <w:tcW w:w="4573" w:type="dxa"/>
            <w:gridSpan w:val="3"/>
            <w:tcBorders>
              <w:top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Прочие (дополнительные) требования к продукции</w:t>
            </w:r>
          </w:p>
        </w:tc>
        <w:tc>
          <w:tcPr>
            <w:tcW w:w="238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57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85" w:hRule="atLeast"/>
        </w:trPr>
        <w:tc>
          <w:tcPr>
            <w:tcW w:w="615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6.1.</w:t>
            </w:r>
          </w:p>
        </w:tc>
        <w:tc>
          <w:tcPr>
            <w:tcW w:w="4573" w:type="dxa"/>
            <w:gridSpan w:val="3"/>
            <w:tcBorders>
              <w:top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Необходимое количество топливных карт определяется Заказчиком самостоятельно, исходя из текущей потребности, и предоставляются Победителю на основании письменной заявки. Ориентировочная потребность Заказчика в топливных картах составляет 58 штук.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Топливные карты предоставляются Победителем бесплатно.</w:t>
            </w:r>
          </w:p>
        </w:tc>
        <w:tc>
          <w:tcPr>
            <w:tcW w:w="238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57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85" w:hRule="atLeast"/>
        </w:trPr>
        <w:tc>
          <w:tcPr>
            <w:tcW w:w="615" w:type="dxa"/>
            <w:tcBorders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6.2.</w:t>
            </w:r>
          </w:p>
        </w:tc>
        <w:tc>
          <w:tcPr>
            <w:tcW w:w="4573" w:type="dxa"/>
            <w:gridSpan w:val="3"/>
            <w:tcBorders>
              <w:top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Топливные карты должны обеспечить получение ГСМ с учетом установленных Заказчиком лимитов, либо с отсутствием   таковых. При полном использовании денежных средств Заказчиком Победитель обязан заблаговременно уведомить Заказчика.</w:t>
            </w:r>
          </w:p>
        </w:tc>
        <w:tc>
          <w:tcPr>
            <w:tcW w:w="238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57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85" w:hRule="atLeast"/>
        </w:trPr>
        <w:tc>
          <w:tcPr>
            <w:tcW w:w="615" w:type="dxa"/>
            <w:tcBorders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6.3.</w:t>
            </w:r>
          </w:p>
        </w:tc>
        <w:tc>
          <w:tcPr>
            <w:tcW w:w="4573" w:type="dxa"/>
            <w:gridSpan w:val="3"/>
            <w:tcBorders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Наличие возможности установления ежесуточного/ежемесячного лимита на количество отпускаемого ГСМ по топливным картам, независимо от состояния счета Заказчика.</w:t>
            </w:r>
          </w:p>
        </w:tc>
        <w:tc>
          <w:tcPr>
            <w:tcW w:w="238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57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85" w:hRule="atLeast"/>
        </w:trPr>
        <w:tc>
          <w:tcPr>
            <w:tcW w:w="615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6.4.</w:t>
            </w:r>
          </w:p>
        </w:tc>
        <w:tc>
          <w:tcPr>
            <w:tcW w:w="4573" w:type="dxa"/>
            <w:gridSpan w:val="3"/>
            <w:tcBorders>
              <w:top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Победителю </w:t>
            </w:r>
            <w:bookmarkStart w:id="49" w:name="_GoBack"/>
            <w:bookmarkEnd w:id="49"/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необходимо обеспечить возможность удаленного блокирования  топливных карт как через сервис поддержки Поставщика, так и через личный кабинет Пользователя.</w:t>
            </w:r>
          </w:p>
        </w:tc>
        <w:tc>
          <w:tcPr>
            <w:tcW w:w="238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57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85" w:hRule="atLeast"/>
        </w:trPr>
        <w:tc>
          <w:tcPr>
            <w:tcW w:w="615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6.5.</w:t>
            </w:r>
          </w:p>
        </w:tc>
        <w:tc>
          <w:tcPr>
            <w:tcW w:w="4573" w:type="dxa"/>
            <w:gridSpan w:val="3"/>
            <w:tcBorders>
              <w:top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Победитель обязан блокировать / разблокировать топливные карты в течение 12 (двенадцати) часов с момента получения соответствующего обращения Заказчика через личный кабинет Пользователя или направлением  заявки в свободной форме на электронную почту Победителя.</w:t>
            </w:r>
          </w:p>
        </w:tc>
        <w:tc>
          <w:tcPr>
            <w:tcW w:w="238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57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85" w:hRule="atLeast"/>
        </w:trPr>
        <w:tc>
          <w:tcPr>
            <w:tcW w:w="615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6.6.</w:t>
            </w:r>
          </w:p>
        </w:tc>
        <w:tc>
          <w:tcPr>
            <w:tcW w:w="4573" w:type="dxa"/>
            <w:gridSpan w:val="3"/>
            <w:tcBorders>
              <w:top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Топливные карты могут быть заблокированы: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 по требованию Заказчика;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 по причине неверно введенного пин-кода топливной карты на АЗС при получении ГСМ более 3 (трех) раз подряд (блокируется автоматически);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 при завершении действия  Договора.</w:t>
            </w:r>
          </w:p>
        </w:tc>
        <w:tc>
          <w:tcPr>
            <w:tcW w:w="238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57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85" w:hRule="atLeast"/>
        </w:trPr>
        <w:tc>
          <w:tcPr>
            <w:tcW w:w="615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6.7.</w:t>
            </w:r>
          </w:p>
        </w:tc>
        <w:tc>
          <w:tcPr>
            <w:tcW w:w="4573" w:type="dxa"/>
            <w:gridSpan w:val="3"/>
            <w:tcBorders>
              <w:top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Обеспечение ГСМ транспортных средств Заказчика  должно осуществляться ежедневно, в круглосуточном режиме, включая выходные и праздничные дни, на период действия договора, на стационарных автозаправочных станциях во всех регионах РФ (далее – АЗС) с использованием топливных карт.</w:t>
            </w:r>
          </w:p>
        </w:tc>
        <w:tc>
          <w:tcPr>
            <w:tcW w:w="238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57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08"/>
          <w:tab w:val="left" w:pos="284" w:leader="none"/>
          <w:tab w:val="left" w:pos="426" w:leader="none"/>
        </w:tabs>
        <w:spacing w:lineRule="auto" w:line="240" w:before="0"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08"/>
          <w:tab w:val="left" w:pos="284" w:leader="none"/>
          <w:tab w:val="left" w:pos="426" w:leader="none"/>
        </w:tabs>
        <w:spacing w:lineRule="auto" w:line="240" w:before="0"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sectPr>
      <w:footerReference w:type="default" r:id="rId2"/>
      <w:type w:val="nextPage"/>
      <w:pgSz w:w="11906" w:h="16838"/>
      <w:pgMar w:left="1134" w:right="851" w:gutter="0" w:header="0" w:top="680" w:footer="0" w:bottom="680"/>
      <w:pgNumType w:fmt="decimal"/>
      <w:formProt w:val="false"/>
      <w:textDirection w:val="lrTb"/>
      <w:docGrid w:type="default" w:linePitch="36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841574518"/>
    </w:sdtPr>
    <w:sdtContent>
      <w:p>
        <w:pPr>
          <w:pStyle w:val="Footer"/>
          <w:jc w:val="right"/>
          <w:rPr>
            <w:rFonts w:ascii="Times New Roman" w:hAnsi="Times New Roman"/>
            <w:sz w:val="24"/>
          </w:rPr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6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sz w:val="24"/>
        <w:b/>
        <w:szCs w:val="24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2">
    <w:lvl w:ilvl="0">
      <w:start w:val="2"/>
      <w:numFmt w:val="decimal"/>
      <w:lvlText w:val="%1."/>
      <w:lvlJc w:val="left"/>
      <w:pPr>
        <w:tabs>
          <w:tab w:val="num" w:pos="0"/>
        </w:tabs>
        <w:ind w:left="717" w:hanging="360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792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27" w:hanging="720"/>
      </w:pPr>
      <w:rPr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30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37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12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247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322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757" w:hanging="1800"/>
      </w:pPr>
      <w:rPr/>
    </w:lvl>
  </w:abstractNum>
  <w:abstractNum w:abstractNumId="3"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142"/>
        </w:tabs>
        <w:ind w:left="502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04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096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248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92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984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136" w:hanging="180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  <w:rFonts w:ascii="Times New Roman" w:hAnsi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16" w:hanging="432"/>
      </w:pPr>
      <w:rPr>
        <w:sz w:val="24"/>
        <w:b w:val="false"/>
        <w:szCs w:val="24"/>
        <w:bCs/>
        <w:rFonts w:ascii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9654a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Heading3"/>
    <w:next w:val="Normal"/>
    <w:link w:val="1"/>
    <w:qFormat/>
    <w:rsid w:val="00011af9"/>
    <w:pPr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4c77ec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3"/>
    <w:autoRedefine/>
    <w:qFormat/>
    <w:rsid w:val="00011af9"/>
    <w:pPr>
      <w:keepNext w:val="true"/>
      <w:spacing w:lineRule="auto" w:line="240" w:before="120" w:after="60"/>
      <w:outlineLvl w:val="2"/>
    </w:pPr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011af9"/>
    <w:pPr>
      <w:outlineLvl w:val="3"/>
    </w:pPr>
    <w:rPr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Нижний колонтитул Знак"/>
    <w:basedOn w:val="DefaultParagraphFont"/>
    <w:uiPriority w:val="99"/>
    <w:qFormat/>
    <w:rsid w:val="00eb4ab8"/>
    <w:rPr>
      <w:rFonts w:ascii="Calibri" w:hAnsi="Calibri" w:eastAsia="Calibri" w:cs="Times New Roman"/>
    </w:rPr>
  </w:style>
  <w:style w:type="character" w:styleId="Style6" w:customStyle="1">
    <w:name w:val="Верхний колонтитул Знак"/>
    <w:basedOn w:val="DefaultParagraphFont"/>
    <w:uiPriority w:val="99"/>
    <w:qFormat/>
    <w:rsid w:val="001533cc"/>
    <w:rPr/>
  </w:style>
  <w:style w:type="character" w:styleId="Style7" w:customStyle="1">
    <w:name w:val="Текст выноски Знак"/>
    <w:basedOn w:val="DefaultParagraphFont"/>
    <w:link w:val="BalloonText"/>
    <w:uiPriority w:val="99"/>
    <w:semiHidden/>
    <w:qFormat/>
    <w:rsid w:val="00d27f2b"/>
    <w:rPr>
      <w:rFonts w:ascii="Tahoma" w:hAnsi="Tahoma" w:cs="Tahoma"/>
      <w:sz w:val="16"/>
      <w:szCs w:val="16"/>
    </w:rPr>
  </w:style>
  <w:style w:type="character" w:styleId="Style8" w:customStyle="1">
    <w:name w:val="Текст Знак"/>
    <w:basedOn w:val="DefaultParagraphFont"/>
    <w:link w:val="PlainText"/>
    <w:uiPriority w:val="99"/>
    <w:semiHidden/>
    <w:qFormat/>
    <w:rsid w:val="00d35997"/>
    <w:rPr>
      <w:rFonts w:ascii="Calibri" w:hAnsi="Calibri"/>
      <w:szCs w:val="21"/>
    </w:rPr>
  </w:style>
  <w:style w:type="character" w:styleId="Apple-converted-space" w:customStyle="1">
    <w:name w:val="apple-converted-space"/>
    <w:basedOn w:val="DefaultParagraphFont"/>
    <w:qFormat/>
    <w:rsid w:val="00770603"/>
    <w:rPr/>
  </w:style>
  <w:style w:type="character" w:styleId="Bodytext2" w:customStyle="1">
    <w:name w:val="Body text (2)"/>
    <w:basedOn w:val="DefaultParagraphFont"/>
    <w:qFormat/>
    <w:rsid w:val="00c56bda"/>
    <w:rPr>
      <w:rFonts w:ascii="Arial Unicode MS" w:hAnsi="Arial Unicode MS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styleId="Bodytext21" w:customStyle="1">
    <w:name w:val="Body text (2)_"/>
    <w:basedOn w:val="DefaultParagraphFont"/>
    <w:qFormat/>
    <w:rsid w:val="00c56bda"/>
    <w:rPr>
      <w:b w:val="false"/>
      <w:bCs w:val="false"/>
      <w:i w:val="false"/>
      <w:iCs w:val="false"/>
      <w:caps w:val="false"/>
      <w:smallCaps w:val="false"/>
      <w:strike w:val="false"/>
      <w:dstrike w:val="false"/>
      <w:sz w:val="18"/>
      <w:szCs w:val="18"/>
      <w:u w:val="non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c56bda"/>
    <w:rPr>
      <w:sz w:val="16"/>
      <w:szCs w:val="16"/>
    </w:rPr>
  </w:style>
  <w:style w:type="character" w:styleId="Style9" w:customStyle="1">
    <w:name w:val="Текст примечания Знак"/>
    <w:basedOn w:val="DefaultParagraphFont"/>
    <w:link w:val="Annotationtext"/>
    <w:semiHidden/>
    <w:qFormat/>
    <w:rsid w:val="00c56bda"/>
    <w:rPr>
      <w:sz w:val="20"/>
      <w:szCs w:val="20"/>
    </w:rPr>
  </w:style>
  <w:style w:type="character" w:styleId="Style10" w:customStyle="1">
    <w:name w:val="Тема примечания Знак"/>
    <w:basedOn w:val="Style9"/>
    <w:link w:val="Annotationsubject"/>
    <w:uiPriority w:val="99"/>
    <w:semiHidden/>
    <w:qFormat/>
    <w:rsid w:val="00c56bda"/>
    <w:rPr>
      <w:b/>
      <w:bCs/>
      <w:sz w:val="20"/>
      <w:szCs w:val="20"/>
    </w:rPr>
  </w:style>
  <w:style w:type="character" w:styleId="Style11" w:customStyle="1">
    <w:name w:val="Абзац списка Знак"/>
    <w:link w:val="ListParagraph"/>
    <w:uiPriority w:val="34"/>
    <w:qFormat/>
    <w:locked/>
    <w:rsid w:val="000d5e13"/>
    <w:rPr/>
  </w:style>
  <w:style w:type="character" w:styleId="1" w:customStyle="1">
    <w:name w:val="Заголовок 1 Знак"/>
    <w:basedOn w:val="DefaultParagraphFont"/>
    <w:qFormat/>
    <w:rsid w:val="00011af9"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3" w:customStyle="1">
    <w:name w:val="Заголовок 3 Знак"/>
    <w:basedOn w:val="DefaultParagraphFont"/>
    <w:qFormat/>
    <w:rsid w:val="00011af9"/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character" w:styleId="4" w:customStyle="1">
    <w:name w:val="Заголовок 4 Знак"/>
    <w:basedOn w:val="DefaultParagraphFont"/>
    <w:qFormat/>
    <w:rsid w:val="00011af9"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Hyperlink">
    <w:name w:val="Hyperlink"/>
    <w:basedOn w:val="DefaultParagraphFont"/>
    <w:uiPriority w:val="99"/>
    <w:unhideWhenUsed/>
    <w:rsid w:val="00071f1b"/>
    <w:rPr>
      <w:color w:val="0000FF" w:themeColor="hyperlink"/>
      <w:u w:val="single"/>
    </w:rPr>
  </w:style>
  <w:style w:type="character" w:styleId="2" w:customStyle="1">
    <w:name w:val="Заголовок 2 Знак"/>
    <w:basedOn w:val="DefaultParagraphFont"/>
    <w:uiPriority w:val="9"/>
    <w:semiHidden/>
    <w:qFormat/>
    <w:rsid w:val="004c77ec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Style12" w:customStyle="1">
    <w:name w:val="Текст сноски Знак"/>
    <w:basedOn w:val="DefaultParagraphFont"/>
    <w:qFormat/>
    <w:rsid w:val="0041486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3" w:customStyle="1">
    <w:name w:val="Символ сноски"/>
    <w:qFormat/>
    <w:rsid w:val="0041486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Style18" w:customStyle="1">
    <w:name w:val="Колонтитул"/>
    <w:basedOn w:val="Normal"/>
    <w:qFormat/>
    <w:pPr/>
    <w:rPr/>
  </w:style>
  <w:style w:type="paragraph" w:styleId="Footer">
    <w:name w:val="Footer"/>
    <w:basedOn w:val="Normal"/>
    <w:link w:val="Style5"/>
    <w:uiPriority w:val="99"/>
    <w:rsid w:val="00eb4ab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Calibri" w:hAnsi="Calibri" w:eastAsia="Calibri" w:cs="Times New Roman"/>
    </w:rPr>
  </w:style>
  <w:style w:type="paragraph" w:styleId="ListParagraph">
    <w:name w:val="List Paragraph"/>
    <w:basedOn w:val="Normal"/>
    <w:link w:val="Style11"/>
    <w:uiPriority w:val="34"/>
    <w:qFormat/>
    <w:rsid w:val="00bc249e"/>
    <w:pPr>
      <w:spacing w:before="0" w:after="200"/>
      <w:ind w:left="720"/>
      <w:contextualSpacing/>
    </w:pPr>
    <w:rPr/>
  </w:style>
  <w:style w:type="paragraph" w:styleId="Header">
    <w:name w:val="Header"/>
    <w:basedOn w:val="Normal"/>
    <w:link w:val="Style6"/>
    <w:uiPriority w:val="99"/>
    <w:unhideWhenUsed/>
    <w:rsid w:val="001533cc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d27f2b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Style8"/>
    <w:uiPriority w:val="99"/>
    <w:semiHidden/>
    <w:unhideWhenUsed/>
    <w:qFormat/>
    <w:rsid w:val="00d35997"/>
    <w:pPr>
      <w:spacing w:lineRule="auto" w:line="240" w:before="0" w:after="0"/>
    </w:pPr>
    <w:rPr>
      <w:rFonts w:ascii="Calibri" w:hAnsi="Calibri"/>
      <w:szCs w:val="21"/>
    </w:rPr>
  </w:style>
  <w:style w:type="paragraph" w:styleId="Annotationtext">
    <w:name w:val="annotation text"/>
    <w:basedOn w:val="Normal"/>
    <w:link w:val="Style9"/>
    <w:semiHidden/>
    <w:unhideWhenUsed/>
    <w:qFormat/>
    <w:rsid w:val="00c56bda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0"/>
    <w:uiPriority w:val="99"/>
    <w:semiHidden/>
    <w:unhideWhenUsed/>
    <w:qFormat/>
    <w:rsid w:val="00c56bda"/>
    <w:pPr/>
    <w:rPr>
      <w:b/>
      <w:bCs/>
    </w:rPr>
  </w:style>
  <w:style w:type="paragraph" w:styleId="Default" w:customStyle="1">
    <w:name w:val="Default"/>
    <w:qFormat/>
    <w:rsid w:val="00e13f69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unhideWhenUsed/>
    <w:qFormat/>
    <w:rsid w:val="00071f1b"/>
    <w:pPr>
      <w:keepLines/>
      <w:spacing w:lineRule="auto" w:line="276" w:before="480" w:after="0"/>
      <w:outlineLvl w:val="9"/>
    </w:pPr>
    <w:rPr>
      <w:rFonts w:ascii="Cambria" w:hAnsi="Cambria" w:eastAsia="" w:cs="" w:asciiTheme="majorHAnsi" w:cstheme="majorBidi" w:eastAsiaTheme="majorEastAsia" w:hAnsiTheme="majorHAnsi"/>
      <w:bCs/>
      <w:color w:val="365F91" w:themeColor="accent1" w:themeShade="bf"/>
      <w:lang w:val="ru-RU" w:eastAsia="ru-RU"/>
    </w:rPr>
  </w:style>
  <w:style w:type="paragraph" w:styleId="TOC1">
    <w:name w:val="TOC 1"/>
    <w:basedOn w:val="Normal"/>
    <w:next w:val="Normal"/>
    <w:autoRedefine/>
    <w:uiPriority w:val="39"/>
    <w:unhideWhenUsed/>
    <w:rsid w:val="00071f1b"/>
    <w:pPr>
      <w:spacing w:before="0" w:after="100"/>
    </w:pPr>
    <w:rPr/>
  </w:style>
  <w:style w:type="paragraph" w:styleId="TOC2">
    <w:name w:val="TOC 2"/>
    <w:basedOn w:val="Normal"/>
    <w:next w:val="Normal"/>
    <w:autoRedefine/>
    <w:uiPriority w:val="39"/>
    <w:unhideWhenUsed/>
    <w:rsid w:val="00071f1b"/>
    <w:pPr>
      <w:spacing w:before="0" w:after="100"/>
      <w:ind w:left="220"/>
    </w:pPr>
    <w:rPr/>
  </w:style>
  <w:style w:type="paragraph" w:styleId="TOC3">
    <w:name w:val="TOC 3"/>
    <w:basedOn w:val="Normal"/>
    <w:next w:val="Normal"/>
    <w:autoRedefine/>
    <w:uiPriority w:val="39"/>
    <w:unhideWhenUsed/>
    <w:rsid w:val="00071f1b"/>
    <w:pPr>
      <w:spacing w:before="0" w:after="100"/>
      <w:ind w:left="440"/>
    </w:pPr>
    <w:rPr/>
  </w:style>
  <w:style w:type="paragraph" w:styleId="FootnoteText">
    <w:name w:val="Footnote Text"/>
    <w:basedOn w:val="Normal"/>
    <w:link w:val="Style12"/>
    <w:rsid w:val="00414869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Style19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0" w:customStyle="1">
    <w:name w:val="Заголовок таблицы"/>
    <w:basedOn w:val="Style19"/>
    <w:qFormat/>
    <w:pPr>
      <w:jc w:val="center"/>
    </w:pPr>
    <w:rPr>
      <w:b/>
      <w:bCs/>
    </w:rPr>
  </w:style>
  <w:style w:type="paragraph" w:styleId="Revision">
    <w:name w:val="Revision"/>
    <w:uiPriority w:val="99"/>
    <w:semiHidden/>
    <w:qFormat/>
    <w:rsid w:val="00851513"/>
    <w:pPr>
      <w:widowControl/>
      <w:suppressAutoHyphens w:val="fals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1"/>
    <w:uiPriority w:val="39"/>
    <w:rsid w:val="00a92f99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">
    <w:name w:val="Сетка таблицы1"/>
    <w:basedOn w:val="a1"/>
    <w:uiPriority w:val="39"/>
    <w:rsid w:val="002f4a73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0">
    <w:name w:val="Сетка таблицы11"/>
    <w:basedOn w:val="a1"/>
    <w:uiPriority w:val="39"/>
    <w:rsid w:val="001d3a45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">
    <w:name w:val="Сетка таблицы111"/>
    <w:basedOn w:val="a1"/>
    <w:uiPriority w:val="39"/>
    <w:rsid w:val="00ea7e90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">
    <w:name w:val="Сетка таблицы2"/>
    <w:basedOn w:val="a1"/>
    <w:uiPriority w:val="39"/>
    <w:rsid w:val="00ea7e90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">
    <w:name w:val="Сетка таблицы3"/>
    <w:basedOn w:val="a1"/>
    <w:uiPriority w:val="39"/>
    <w:rsid w:val="00dc7670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BDB81-80F1-4F62-A5A9-037387E7A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Application>AlterOffice/2026.2.1.0$Linux_X86_64 LibreOffice_project/f008988ffacaa0b2bf57911c2759d08ca79831df</Application>
  <AppVersion>15.0000</AppVersion>
  <Pages>6</Pages>
  <Words>901</Words>
  <Characters>6500</Characters>
  <CharactersWithSpaces>7295</CharactersWithSpaces>
  <Paragraphs>144</Paragraphs>
  <Company>HRVKK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2023-08-22T10:18:00Z</dcterms:created>
  <dc:creator>Катков Олег Валерьевич</dc:creator>
  <dc:description/>
  <dc:language>ru-RU</dc:language>
  <cp:lastModifiedBy>velikosvyatnn@corp.gidroogk.com</cp:lastModifiedBy>
  <cp:lastPrinted>2023-08-15T06:44:00Z</cp:lastPrinted>
  <dcterms:modified xsi:type="dcterms:W3CDTF">2026-09-17T11:55:49Z</dcterms:modified>
  <cp:revision>58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