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9"/>
        <w:shd w:val="clear" w:color="auto" w:fill="auto"/>
        <w:spacing w:lineRule="auto" w:line="276"/>
        <w:ind w:hanging="4767" w:left="902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bookmarkStart w:id="0" w:name="_Toc137554584"/>
      <w:bookmarkStart w:id="1" w:name="_Toc139856287"/>
      <w:bookmarkStart w:id="2" w:name="_Toc141696704"/>
      <w:bookmarkStart w:id="3" w:name="_Toc137554584"/>
      <w:bookmarkStart w:id="4" w:name="_Toc139856287"/>
      <w:bookmarkStart w:id="5" w:name="_Toc141696704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bookmarkStart w:id="6" w:name="_Toc137554584_Копия_1"/>
      <w:bookmarkStart w:id="7" w:name="_Toc139856287_Копия_1"/>
      <w:bookmarkStart w:id="8" w:name="_Toc141696704_Копия_1"/>
      <w:bookmarkStart w:id="9" w:name="_Toc137554584_Копия_1"/>
      <w:bookmarkStart w:id="10" w:name="_Toc139856287_Копия_1"/>
      <w:bookmarkStart w:id="11" w:name="_Toc141696704_Копия_1"/>
      <w:bookmarkEnd w:id="9"/>
      <w:bookmarkEnd w:id="10"/>
      <w:bookmarkEnd w:id="11"/>
    </w:p>
    <w:p>
      <w:pPr>
        <w:pStyle w:val="Normal"/>
        <w:keepNext w:val="true"/>
        <w:keepLines/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b/>
          <w:bCs/>
        </w:rPr>
      </w:pPr>
      <w:r>
        <w:rPr>
          <w:rFonts w:eastAsia="Calibri"/>
          <w:b/>
          <w:bCs/>
          <w:sz w:val="24"/>
          <w:szCs w:val="24"/>
        </w:rPr>
        <w:t xml:space="preserve"> </w:t>
      </w:r>
    </w:p>
    <w:p>
      <w:pPr>
        <w:pStyle w:val="Normal"/>
        <w:keepNext w:val="true"/>
        <w:keepLines/>
        <w:jc w:val="center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на ОКПД2 49.41.20.000 Оказание услуг </w:t>
      </w:r>
      <w:r>
        <w:rPr>
          <w:rFonts w:eastAsia="Calibri"/>
          <w:bCs/>
          <w:sz w:val="24"/>
          <w:szCs w:val="24"/>
        </w:rPr>
        <w:t>автомобильного крана</w:t>
      </w:r>
      <w:r>
        <w:rPr>
          <w:rFonts w:eastAsia="Calibri"/>
          <w:bCs/>
          <w:sz w:val="24"/>
          <w:szCs w:val="24"/>
        </w:rPr>
        <w:t xml:space="preserve"> с экипажем для нужд Дагестанского филиала АО «Гидроремонт-ВКК» в г. Махачкала</w:t>
      </w:r>
    </w:p>
    <w:p>
      <w:pPr>
        <w:pStyle w:val="Normal"/>
        <w:keepNext w:val="true"/>
        <w:keepLines/>
        <w:jc w:val="center"/>
        <w:rPr>
          <w:bCs/>
        </w:rPr>
      </w:pPr>
      <w:r>
        <w:rPr>
          <w:bCs/>
        </w:rPr>
      </w:r>
    </w:p>
    <w:p>
      <w:pPr>
        <w:pStyle w:val="Normal"/>
        <w:keepNext w:val="true"/>
        <w:keepLines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Лот № _____________________________________</w:t>
      </w:r>
    </w:p>
    <w:p>
      <w:pPr>
        <w:pStyle w:val="Normal"/>
        <w:keepNext w:val="true"/>
        <w:keepLines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360" w:left="567"/>
        <w:jc w:val="center"/>
        <w:rPr>
          <w:sz w:val="24"/>
          <w:szCs w:val="24"/>
        </w:rPr>
      </w:pPr>
      <w:bookmarkStart w:id="12" w:name="_Toc54643694"/>
      <w:r>
        <w:rPr>
          <w:b/>
          <w:sz w:val="24"/>
          <w:szCs w:val="24"/>
        </w:rPr>
        <w:t>Общие сведения</w:t>
      </w:r>
      <w:bookmarkEnd w:id="12"/>
    </w:p>
    <w:p>
      <w:pPr>
        <w:pStyle w:val="Heading4"/>
        <w:numPr>
          <w:ilvl w:val="1"/>
          <w:numId w:val="3"/>
        </w:numPr>
        <w:ind w:hanging="432" w:left="567"/>
        <w:rPr/>
      </w:pPr>
      <w:r>
        <w:rPr/>
        <w:t>Обозначения и сокращения: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62"/>
        <w:gridCol w:w="3497"/>
        <w:gridCol w:w="5662"/>
      </w:tblGrid>
      <w:tr>
        <w:trPr/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ГПМ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Грузоподъемный механизм</w:t>
            </w:r>
          </w:p>
        </w:tc>
      </w:tr>
      <w:tr>
        <w:trPr/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9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ОПО</w:t>
            </w:r>
          </w:p>
        </w:tc>
        <w:tc>
          <w:tcPr>
            <w:tcW w:w="5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Опасный производственный объект</w:t>
            </w:r>
          </w:p>
        </w:tc>
      </w:tr>
      <w:tr>
        <w:trPr/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9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</w:t>
            </w:r>
          </w:p>
        </w:tc>
        <w:tc>
          <w:tcPr>
            <w:tcW w:w="5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Частичное техническое освидетельствование</w:t>
            </w:r>
          </w:p>
        </w:tc>
      </w:tr>
      <w:tr>
        <w:trPr/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9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ПТО</w:t>
            </w:r>
          </w:p>
        </w:tc>
        <w:tc>
          <w:tcPr>
            <w:tcW w:w="5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техническое освидетельствование</w:t>
            </w:r>
          </w:p>
        </w:tc>
      </w:tr>
      <w:tr>
        <w:trPr/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9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ГСМ</w:t>
            </w:r>
          </w:p>
        </w:tc>
        <w:tc>
          <w:tcPr>
            <w:tcW w:w="5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Горюче-смазочные материалы</w:t>
            </w:r>
          </w:p>
        </w:tc>
      </w:tr>
      <w:tr>
        <w:trPr/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49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5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Транспортное средство</w:t>
            </w:r>
          </w:p>
        </w:tc>
      </w:tr>
    </w:tbl>
    <w:p>
      <w:pPr>
        <w:pStyle w:val="Normal"/>
        <w:ind w:hanging="432" w:left="567"/>
        <w:rPr/>
      </w:pPr>
      <w:r>
        <w:rPr/>
      </w:r>
    </w:p>
    <w:p>
      <w:pPr>
        <w:pStyle w:val="Heading4"/>
        <w:numPr>
          <w:ilvl w:val="1"/>
          <w:numId w:val="3"/>
        </w:numPr>
        <w:ind w:hanging="432" w:left="567"/>
        <w:rPr>
          <w:bCs w:val="false"/>
        </w:rPr>
      </w:pPr>
      <w:bookmarkStart w:id="13" w:name="_Toc54643696"/>
      <w:bookmarkStart w:id="14" w:name="_Toc46743506"/>
      <w:r>
        <w:rPr>
          <w:bCs w:val="false"/>
        </w:rPr>
        <w:t>Наименование закупаемой продукции</w:t>
      </w:r>
      <w:bookmarkEnd w:id="13"/>
      <w:bookmarkEnd w:id="14"/>
      <w:r>
        <w:rPr>
          <w:bCs w:val="false"/>
          <w:lang w:val="ru-RU"/>
        </w:rPr>
        <w:t xml:space="preserve">: </w:t>
      </w:r>
      <w:r>
        <w:rPr>
          <w:bCs w:val="false"/>
        </w:rPr>
        <w:t xml:space="preserve">ОКПД2 </w:t>
      </w:r>
      <w:r>
        <w:rPr/>
        <w:t xml:space="preserve">49.41.20.000 Оказание услуг </w:t>
      </w:r>
      <w:r>
        <w:rPr/>
        <w:t>автомобильного крана</w:t>
      </w:r>
      <w:r>
        <w:rPr/>
        <w:t xml:space="preserve"> с экипажем для нужд Дагестанского филиала АО «Гидроремонт-ВКК» в г. Махачкала</w:t>
      </w:r>
      <w:r>
        <w:rPr>
          <w:bCs w:val="false"/>
          <w:lang w:val="ru-RU"/>
        </w:rPr>
        <w:t>.</w:t>
      </w:r>
    </w:p>
    <w:p>
      <w:pPr>
        <w:pStyle w:val="Heading4"/>
        <w:numPr>
          <w:ilvl w:val="1"/>
          <w:numId w:val="3"/>
        </w:numPr>
        <w:ind w:hanging="432" w:left="567"/>
        <w:rPr/>
      </w:pPr>
      <w:bookmarkStart w:id="15" w:name="_Toc54643697"/>
      <w:bookmarkStart w:id="16" w:name="_Toc46743507"/>
      <w:r>
        <w:rPr>
          <w:bCs w:val="false"/>
          <w:lang w:val="ru-RU"/>
        </w:rPr>
        <w:t xml:space="preserve">Цель </w:t>
      </w:r>
      <w:bookmarkEnd w:id="16"/>
      <w:r>
        <w:rPr>
          <w:bCs w:val="false"/>
          <w:lang w:val="ru-RU"/>
        </w:rPr>
        <w:t xml:space="preserve">оказания услуг: </w:t>
      </w:r>
      <w:bookmarkEnd w:id="15"/>
      <w:r>
        <w:rPr/>
        <w:t xml:space="preserve">Исполнение договора № 15/2025 от 28.05.2025г. «Выполнение монтажных и пусконаладочных работ двух комплектов гидросилового оборудования Нихалойской ГЭС», </w:t>
      </w:r>
      <w:r>
        <w:rPr>
          <w:color w:val="000000"/>
        </w:rPr>
        <w:t>заключенного между ООО «МГЭС Ставрополья и КЧР» и АО «Гидроремонт-ВКК»</w:t>
      </w:r>
      <w:r>
        <w:rPr>
          <w:bCs w:val="false"/>
          <w:color w:val="000000"/>
          <w:lang w:val="ru-RU"/>
        </w:rPr>
        <w:t>.</w:t>
      </w:r>
    </w:p>
    <w:p>
      <w:pPr>
        <w:pStyle w:val="Heading1"/>
        <w:tabs>
          <w:tab w:val="clear" w:pos="0"/>
          <w:tab w:val="left" w:pos="851" w:leader="none"/>
        </w:tabs>
        <w:ind w:hanging="0" w:left="0"/>
        <w:rPr>
          <w:sz w:val="24"/>
          <w:szCs w:val="24"/>
        </w:rPr>
      </w:pPr>
      <w:bookmarkStart w:id="17" w:name="_Toc54643699"/>
      <w:r>
        <w:rPr>
          <w:sz w:val="24"/>
          <w:szCs w:val="24"/>
        </w:rPr>
        <w:t>Таблица 1. Перечень объектов заказчика</w:t>
      </w:r>
      <w:bookmarkEnd w:id="17"/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018"/>
        <w:gridCol w:w="3549"/>
        <w:gridCol w:w="2694"/>
        <w:gridCol w:w="2659"/>
      </w:tblGrid>
      <w:tr>
        <w:trPr/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Место оказания услуг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</w:tr>
      <w:tr>
        <w:trPr/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881" w:hRule="atLeast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Нихалойская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  <w:shd w:fill="FFFFFF" w:val="clear"/>
              </w:rPr>
              <w:t>Чеченская Республика, Шатойский муниципальный район, с. Памятой.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iCs/>
                <w:sz w:val="24"/>
                <w:szCs w:val="24"/>
                <w:lang w:val="en-US"/>
              </w:rPr>
              <w:t>Гидросиловое оборудование Нихалойской ГЭС</w:t>
            </w:r>
          </w:p>
        </w:tc>
      </w:tr>
    </w:tbl>
    <w:p>
      <w:pPr>
        <w:pStyle w:val="Heading4"/>
        <w:numPr>
          <w:ilvl w:val="1"/>
          <w:numId w:val="3"/>
        </w:numPr>
        <w:ind w:hanging="432" w:left="567"/>
        <w:rPr/>
      </w:pPr>
      <w:bookmarkStart w:id="18" w:name="_Hlk49857604"/>
      <w:bookmarkStart w:id="19" w:name="_Toc54643700"/>
      <w:bookmarkStart w:id="20" w:name="_Toc46743509"/>
      <w:r>
        <w:rPr/>
        <w:t xml:space="preserve">Информация в отношении исполнения договора, </w:t>
      </w:r>
      <w:bookmarkStart w:id="21" w:name="_Hlk46492347"/>
      <w:r>
        <w:rPr/>
        <w:t xml:space="preserve">которая должна быть учтена при подготовке заявки </w:t>
      </w:r>
      <w:bookmarkEnd w:id="21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Start w:id="22" w:name="_Hlk48209761"/>
      <w:bookmarkEnd w:id="18"/>
      <w:bookmarkEnd w:id="19"/>
      <w:bookmarkEnd w:id="20"/>
      <w:r>
        <w:rPr>
          <w:lang w:val="ru-RU"/>
        </w:rPr>
        <w:t xml:space="preserve">: </w:t>
      </w:r>
    </w:p>
    <w:p>
      <w:pPr>
        <w:pStyle w:val="ListParagraph"/>
        <w:numPr>
          <w:ilvl w:val="2"/>
          <w:numId w:val="3"/>
        </w:numPr>
        <w:ind w:hanging="425" w:left="567"/>
        <w:jc w:val="both"/>
        <w:rPr>
          <w:shd w:fill="FFFF00" w:val="clear"/>
        </w:rPr>
      </w:pPr>
      <w:r>
        <w:rPr>
          <w:lang w:val="x-none" w:eastAsia="x-none"/>
        </w:rPr>
        <w:t>Планируемое к использованию количество машино-часов, указывается в подаваемых Заказчиком заявках на оказание услуг.</w:t>
      </w:r>
      <w:r>
        <w:rPr>
          <w:lang w:eastAsia="x-none"/>
        </w:rPr>
        <w:t xml:space="preserve"> </w:t>
      </w:r>
      <w:r>
        <w:rPr>
          <w:lang w:val="x-none" w:eastAsia="x-none"/>
        </w:rPr>
        <w:t>Продолжительность минимальной заявки составляет 8 маш/часов.</w:t>
      </w:r>
    </w:p>
    <w:p>
      <w:pPr>
        <w:pStyle w:val="Heading1"/>
        <w:numPr>
          <w:ilvl w:val="0"/>
          <w:numId w:val="3"/>
        </w:numPr>
        <w:spacing w:before="0" w:after="60"/>
        <w:ind w:hanging="360" w:left="567"/>
        <w:jc w:val="center"/>
        <w:rPr>
          <w:sz w:val="24"/>
          <w:szCs w:val="24"/>
        </w:rPr>
      </w:pPr>
      <w:bookmarkStart w:id="23" w:name="_Toc54643702"/>
      <w:bookmarkStart w:id="24" w:name="_Toc51339693"/>
      <w:bookmarkStart w:id="25" w:name="_Toc50125126"/>
      <w:bookmarkStart w:id="26" w:name="_Toc46743510"/>
      <w:bookmarkEnd w:id="22"/>
      <w:bookmarkEnd w:id="25"/>
      <w:bookmarkEnd w:id="26"/>
      <w:r>
        <w:rPr>
          <w:b/>
          <w:sz w:val="24"/>
          <w:szCs w:val="24"/>
          <w:lang w:val="ru-RU"/>
        </w:rPr>
        <w:t>Требования</w:t>
      </w:r>
      <w:r>
        <w:rPr>
          <w:b/>
          <w:sz w:val="24"/>
          <w:szCs w:val="24"/>
        </w:rPr>
        <w:t xml:space="preserve"> к продукции</w:t>
      </w:r>
      <w:bookmarkEnd w:id="23"/>
      <w:bookmarkEnd w:id="24"/>
    </w:p>
    <w:p>
      <w:pPr>
        <w:pStyle w:val="Heading4"/>
        <w:numPr>
          <w:ilvl w:val="1"/>
          <w:numId w:val="3"/>
        </w:numPr>
        <w:ind w:hanging="432" w:left="567"/>
        <w:rPr/>
      </w:pPr>
      <w:bookmarkStart w:id="27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7"/>
    </w:p>
    <w:p>
      <w:pPr>
        <w:pStyle w:val="Heading3"/>
        <w:numPr>
          <w:ilvl w:val="2"/>
          <w:numId w:val="3"/>
        </w:numPr>
        <w:ind w:hanging="504" w:left="567"/>
        <w:rPr/>
      </w:pPr>
      <w:bookmarkStart w:id="28" w:name="_Toc54643704"/>
      <w:r>
        <w:rPr/>
        <w:t>Требования к перечню и объему услуг</w:t>
      </w:r>
      <w:bookmarkEnd w:id="28"/>
    </w:p>
    <w:p>
      <w:pPr>
        <w:pStyle w:val="Heading1"/>
        <w:tabs>
          <w:tab w:val="clear" w:pos="0"/>
          <w:tab w:val="left" w:pos="851" w:leader="none"/>
        </w:tabs>
        <w:ind w:hanging="0" w:left="0"/>
        <w:rPr>
          <w:sz w:val="24"/>
          <w:szCs w:val="24"/>
        </w:rPr>
      </w:pPr>
      <w:bookmarkStart w:id="29" w:name="_Toc54643705"/>
      <w:bookmarkStart w:id="30" w:name="_Toc51339695"/>
      <w:r>
        <w:rPr>
          <w:sz w:val="24"/>
          <w:szCs w:val="24"/>
        </w:rPr>
        <w:t xml:space="preserve">Таблица 2. Перечень </w:t>
      </w:r>
      <w:bookmarkEnd w:id="30"/>
      <w:r>
        <w:rPr>
          <w:sz w:val="24"/>
          <w:szCs w:val="24"/>
        </w:rPr>
        <w:t>и объем оказываемых услуг</w:t>
      </w:r>
      <w:bookmarkEnd w:id="29"/>
    </w:p>
    <w:tbl>
      <w:tblPr>
        <w:tblW w:w="10093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05"/>
        <w:gridCol w:w="3315"/>
        <w:gridCol w:w="2368"/>
        <w:gridCol w:w="1663"/>
        <w:gridCol w:w="2042"/>
      </w:tblGrid>
      <w:tr>
        <w:trPr/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техническим характеристикам ТС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Ориентировочное количество</w:t>
            </w:r>
          </w:p>
        </w:tc>
      </w:tr>
      <w:tr>
        <w:trPr/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jc w:val="left"/>
              <w:rPr/>
            </w:pPr>
            <w:r>
              <w:rPr>
                <w:rFonts w:eastAsia="Calibri"/>
                <w:bCs/>
                <w:sz w:val="24"/>
                <w:szCs w:val="24"/>
              </w:rPr>
              <w:t xml:space="preserve">Оказание услуг </w:t>
            </w:r>
            <w:r>
              <w:rPr>
                <w:rFonts w:eastAsia="Calibri"/>
                <w:bCs/>
                <w:sz w:val="24"/>
                <w:szCs w:val="24"/>
              </w:rPr>
              <w:t>автомобильного крана</w:t>
            </w:r>
            <w:r>
              <w:rPr>
                <w:rFonts w:eastAsia="Calibri"/>
                <w:bCs/>
                <w:sz w:val="24"/>
                <w:szCs w:val="24"/>
              </w:rPr>
              <w:t xml:space="preserve"> с экипажем для нужд Дагестанского филиала АО «Гидроремонт-ВКК» в г. Махачкала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Гру</w:t>
            </w:r>
            <w:bookmarkStart w:id="31" w:name="_GoBack"/>
            <w:bookmarkEnd w:id="31"/>
            <w:r>
              <w:rPr>
                <w:sz w:val="24"/>
                <w:szCs w:val="24"/>
                <w:lang w:eastAsia="x-none"/>
              </w:rPr>
              <w:t xml:space="preserve">зоподъемность крана — не менее </w:t>
            </w:r>
            <w:r>
              <w:rPr>
                <w:sz w:val="24"/>
                <w:szCs w:val="24"/>
                <w:lang w:eastAsia="x-none"/>
              </w:rPr>
              <w:t>70</w:t>
            </w:r>
            <w:r>
              <w:rPr>
                <w:sz w:val="24"/>
                <w:szCs w:val="24"/>
                <w:lang w:eastAsia="x-none"/>
              </w:rPr>
              <w:t xml:space="preserve"> тонн, грузоподъемность на вылете </w:t>
            </w:r>
            <w:r>
              <w:rPr>
                <w:sz w:val="24"/>
                <w:szCs w:val="24"/>
                <w:lang w:eastAsia="x-none"/>
              </w:rPr>
              <w:t>15</w:t>
            </w:r>
            <w:r>
              <w:rPr>
                <w:sz w:val="24"/>
                <w:szCs w:val="24"/>
                <w:lang w:eastAsia="x-none"/>
              </w:rPr>
              <w:t xml:space="preserve"> метров (расстояние от центра крана до центра груза) — не менее </w:t>
            </w:r>
            <w:r>
              <w:rPr>
                <w:sz w:val="24"/>
                <w:szCs w:val="24"/>
                <w:lang w:eastAsia="x-none"/>
              </w:rPr>
              <w:t>10,565</w:t>
            </w:r>
            <w:r>
              <w:rPr>
                <w:sz w:val="24"/>
                <w:szCs w:val="24"/>
                <w:lang w:eastAsia="x-none"/>
              </w:rPr>
              <w:t xml:space="preserve"> тонн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Маш/час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>
        <w:trPr/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3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 перебазировке крана до Нихалойской ГЭС</w:t>
            </w:r>
          </w:p>
        </w:tc>
        <w:tc>
          <w:tcPr>
            <w:tcW w:w="2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>
      <w:pPr>
        <w:pStyle w:val="Heading3"/>
        <w:numPr>
          <w:ilvl w:val="2"/>
          <w:numId w:val="3"/>
        </w:numPr>
        <w:ind w:hanging="504" w:left="567"/>
        <w:rPr/>
      </w:pPr>
      <w:bookmarkStart w:id="32" w:name="_Toc54643706"/>
      <w:bookmarkStart w:id="33" w:name="_Toc51339696"/>
      <w:bookmarkStart w:id="34" w:name="_GoBack_Копия_1_Копия_1"/>
      <w:bookmarkEnd w:id="34"/>
      <w:r>
        <w:rPr/>
        <w:t xml:space="preserve">Требования </w:t>
      </w:r>
      <w:bookmarkEnd w:id="33"/>
      <w:r>
        <w:rPr/>
        <w:t>к срокам оказания услуг</w:t>
      </w:r>
      <w:bookmarkEnd w:id="32"/>
    </w:p>
    <w:p>
      <w:pPr>
        <w:pStyle w:val="Heading1"/>
        <w:tabs>
          <w:tab w:val="clear" w:pos="0"/>
          <w:tab w:val="left" w:pos="851" w:leader="none"/>
        </w:tabs>
        <w:ind w:hanging="0" w:left="0"/>
        <w:rPr>
          <w:sz w:val="24"/>
          <w:szCs w:val="24"/>
        </w:rPr>
      </w:pPr>
      <w:bookmarkStart w:id="35" w:name="_Toc54643707"/>
      <w:bookmarkStart w:id="36" w:name="_Toc51339697"/>
      <w:bookmarkStart w:id="37" w:name="_Toc50125127"/>
      <w:bookmarkStart w:id="38" w:name="_Toc501251261"/>
      <w:bookmarkEnd w:id="38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9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36"/>
      <w:bookmarkEnd w:id="37"/>
      <w:bookmarkEnd w:id="39"/>
      <w:r>
        <w:rPr>
          <w:sz w:val="24"/>
          <w:szCs w:val="24"/>
          <w:lang w:val="ru-RU"/>
        </w:rPr>
        <w:t>оказания услуг</w:t>
      </w:r>
      <w:bookmarkEnd w:id="35"/>
    </w:p>
    <w:tbl>
      <w:tblPr>
        <w:tblW w:w="10201" w:type="dxa"/>
        <w:jc w:val="left"/>
        <w:tblInd w:w="113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1136"/>
        <w:gridCol w:w="4103"/>
        <w:gridCol w:w="2555"/>
        <w:gridCol w:w="2406"/>
      </w:tblGrid>
      <w:tr>
        <w:trPr/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0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410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left"/>
              <w:rPr/>
            </w:pPr>
            <w:r>
              <w:rPr>
                <w:rFonts w:eastAsia="Calibri"/>
                <w:bCs/>
                <w:sz w:val="24"/>
                <w:szCs w:val="24"/>
              </w:rPr>
              <w:t xml:space="preserve">Оказание услуг </w:t>
            </w:r>
            <w:r>
              <w:rPr>
                <w:rFonts w:eastAsia="Calibri"/>
                <w:bCs/>
                <w:sz w:val="24"/>
                <w:szCs w:val="24"/>
              </w:rPr>
              <w:t>автомобильного крана</w:t>
            </w:r>
            <w:r>
              <w:rPr>
                <w:rFonts w:eastAsia="Calibri"/>
                <w:bCs/>
                <w:sz w:val="24"/>
                <w:szCs w:val="24"/>
              </w:rPr>
              <w:t xml:space="preserve"> с экипажем для нужд Дагестанского филиала АО «Гидроремонт-ВКК» в г. Махачкала</w:t>
            </w:r>
          </w:p>
        </w:tc>
        <w:tc>
          <w:tcPr>
            <w:tcW w:w="2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31.12.2026г.</w:t>
            </w:r>
          </w:p>
        </w:tc>
      </w:tr>
      <w:tr>
        <w:trPr/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410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 перебазировке крана до Нихалойской ГЭС</w:t>
            </w:r>
          </w:p>
        </w:tc>
        <w:tc>
          <w:tcPr>
            <w:tcW w:w="2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31.12.2026г.</w:t>
            </w:r>
          </w:p>
        </w:tc>
      </w:tr>
    </w:tbl>
    <w:p>
      <w:pPr>
        <w:pStyle w:val="Normal"/>
        <w:rPr>
          <w:sz w:val="24"/>
          <w:szCs w:val="24"/>
          <w:lang w:eastAsia="x-none"/>
        </w:rPr>
      </w:pPr>
      <w:bookmarkStart w:id="40" w:name="_Toc467435101"/>
      <w:bookmarkEnd w:id="40"/>
      <w:r>
        <w:rPr>
          <w:sz w:val="24"/>
          <w:szCs w:val="24"/>
          <w:lang w:eastAsia="x-none"/>
        </w:rPr>
        <w:t>*</w:t>
      </w:r>
      <w:r>
        <w:rPr/>
        <w:t xml:space="preserve"> </w:t>
      </w:r>
      <w:r>
        <w:rPr>
          <w:sz w:val="24"/>
          <w:szCs w:val="24"/>
          <w:lang w:eastAsia="x-none"/>
        </w:rPr>
        <w:t>Данный срок установлен в соответствии с требованиями заключенного договора, указанного в пункте 1.3. Технических требований.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  <w:t>2.2.</w:t>
        <w:tab/>
      </w:r>
      <w:bookmarkStart w:id="41" w:name="_Toc141969503"/>
      <w:r>
        <w:rPr>
          <w:b/>
          <w:sz w:val="24"/>
          <w:szCs w:val="24"/>
        </w:rPr>
        <w:t>Требования к качеству услуг</w:t>
      </w:r>
      <w:bookmarkEnd w:id="41"/>
    </w:p>
    <w:p>
      <w:pPr>
        <w:pStyle w:val="Heading1"/>
        <w:ind w:hanging="567" w:left="567"/>
        <w:rPr>
          <w:b/>
          <w:sz w:val="24"/>
          <w:szCs w:val="24"/>
        </w:rPr>
      </w:pPr>
      <w:bookmarkStart w:id="42" w:name="_Toc54643709"/>
      <w:bookmarkStart w:id="43" w:name="_Toc141969504"/>
      <w:bookmarkStart w:id="44" w:name="_Toc51339698"/>
      <w:bookmarkStart w:id="45" w:name="_Toc50125131"/>
      <w:r>
        <w:rPr>
          <w:b/>
          <w:sz w:val="24"/>
          <w:szCs w:val="24"/>
        </w:rPr>
        <w:t xml:space="preserve">Таблица 4. Требования к </w:t>
      </w:r>
      <w:bookmarkEnd w:id="44"/>
      <w:bookmarkEnd w:id="45"/>
      <w:r>
        <w:rPr>
          <w:b/>
          <w:sz w:val="24"/>
          <w:szCs w:val="24"/>
        </w:rPr>
        <w:t>качеству услуг</w:t>
      </w:r>
      <w:bookmarkEnd w:id="42"/>
      <w:bookmarkEnd w:id="43"/>
      <w:r>
        <w:rPr>
          <w:b/>
          <w:sz w:val="24"/>
          <w:szCs w:val="24"/>
        </w:rPr>
        <w:t xml:space="preserve"> </w:t>
      </w:r>
    </w:p>
    <w:p>
      <w:pPr>
        <w:pStyle w:val="Normal"/>
        <w:rPr>
          <w:lang w:val="x-none" w:eastAsia="x-none"/>
        </w:rPr>
      </w:pPr>
      <w:r>
        <w:rPr>
          <w:b/>
          <w:bCs/>
          <w:sz w:val="24"/>
          <w:szCs w:val="24"/>
        </w:rPr>
        <w:t xml:space="preserve">Наименование услуг (позиция № 1- таблицы 2): </w:t>
      </w:r>
      <w:r>
        <w:rPr>
          <w:rFonts w:eastAsia="Calibri"/>
          <w:i/>
          <w:sz w:val="24"/>
          <w:szCs w:val="24"/>
          <w:lang w:eastAsia="x-none"/>
        </w:rPr>
        <w:t>ОКПД2 49.41.20.000 Оказание услуг спецтехники с экипажем для нужд Дагестанского филиала АО «Гидроремонт-ВКК» в г. Махачкала</w:t>
      </w:r>
    </w:p>
    <w:tbl>
      <w:tblPr>
        <w:tblStyle w:val="affffa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8"/>
        <w:gridCol w:w="2306"/>
        <w:gridCol w:w="7087"/>
      </w:tblGrid>
      <w:tr>
        <w:trPr>
          <w:trHeight w:val="20" w:hRule="atLeast"/>
        </w:trPr>
        <w:tc>
          <w:tcPr>
            <w:tcW w:w="5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3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70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>
          <w:trHeight w:val="20" w:hRule="atLeast"/>
        </w:trPr>
        <w:tc>
          <w:tcPr>
            <w:tcW w:w="5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bookmarkStart w:id="46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46"/>
          </w:p>
        </w:tc>
        <w:tc>
          <w:tcPr>
            <w:tcW w:w="23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70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>
          <w:trHeight w:val="20" w:hRule="atLeast"/>
        </w:trPr>
        <w:tc>
          <w:tcPr>
            <w:tcW w:w="5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9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</w:tr>
      <w:tr>
        <w:trPr>
          <w:trHeight w:val="20" w:hRule="atLeast"/>
        </w:trPr>
        <w:tc>
          <w:tcPr>
            <w:tcW w:w="5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</w:t>
            </w:r>
          </w:p>
        </w:tc>
        <w:tc>
          <w:tcPr>
            <w:tcW w:w="23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предоставляемой технике</w:t>
            </w:r>
          </w:p>
        </w:tc>
        <w:tc>
          <w:tcPr>
            <w:tcW w:w="708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иметь технику для исполнения договора в собственности или на праве аренды материально-технических ресурсов (машин и механизмов, специальных приспособлений и инструментов) на оказание услуг по предмету закупки.</w:t>
            </w:r>
          </w:p>
        </w:tc>
      </w:tr>
      <w:tr>
        <w:trPr>
          <w:trHeight w:val="20" w:hRule="atLeast"/>
        </w:trPr>
        <w:tc>
          <w:tcPr>
            <w:tcW w:w="5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9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</w:tr>
      <w:tr>
        <w:trPr>
          <w:trHeight w:val="20" w:hRule="atLeast"/>
        </w:trPr>
        <w:tc>
          <w:tcPr>
            <w:tcW w:w="52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</w:t>
            </w:r>
          </w:p>
        </w:tc>
        <w:tc>
          <w:tcPr>
            <w:tcW w:w="2306" w:type="dxa"/>
            <w:vMerge w:val="restart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Ответственность Исполнителя в части оказания услуг</w:t>
            </w:r>
          </w:p>
        </w:tc>
        <w:tc>
          <w:tcPr>
            <w:tcW w:w="7087" w:type="dxa"/>
            <w:tcBorders/>
          </w:tcPr>
          <w:p>
            <w:pPr>
              <w:pStyle w:val="Default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Исполнитель несет ответственность перед третьими лицами за ущерб оказанный в процессе оказания услуг</w:t>
            </w:r>
          </w:p>
        </w:tc>
      </w:tr>
      <w:tr>
        <w:trPr>
          <w:trHeight w:val="20" w:hRule="atLeast"/>
        </w:trPr>
        <w:tc>
          <w:tcPr>
            <w:tcW w:w="52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6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0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оказывает Услуги, в соответствии с потребностью Заказчика, на основании соответствующей заявки</w:t>
            </w:r>
          </w:p>
        </w:tc>
      </w:tr>
      <w:tr>
        <w:trPr>
          <w:trHeight w:val="20" w:hRule="atLeast"/>
        </w:trPr>
        <w:tc>
          <w:tcPr>
            <w:tcW w:w="52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6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0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производит страхование Техники и несет ответственность за возможный ущерб, причиненный Заказчику, в случае ненадлежащей эксплуатации Исполнителем ТС</w:t>
            </w:r>
          </w:p>
        </w:tc>
      </w:tr>
      <w:tr>
        <w:trPr>
          <w:trHeight w:val="20" w:hRule="atLeast"/>
        </w:trPr>
        <w:tc>
          <w:tcPr>
            <w:tcW w:w="5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9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</w:tr>
      <w:tr>
        <w:trPr>
          <w:trHeight w:val="20" w:hRule="atLeast"/>
        </w:trPr>
        <w:tc>
          <w:tcPr>
            <w:tcW w:w="5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</w:t>
            </w:r>
          </w:p>
        </w:tc>
        <w:tc>
          <w:tcPr>
            <w:tcW w:w="23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техники законодательству РФ</w:t>
            </w:r>
          </w:p>
        </w:tc>
        <w:tc>
          <w:tcPr>
            <w:tcW w:w="70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Используемые ТС должны соответствовать требованиям безопасности, общим требованиям, установленным «ГОСТ 25646-95. Эксплуатация строительных машин. Общие требования», ГОСТ 33997-2016 «Колесные транспортные средства. Требования к безопасности в эксплуатации и методы проверки»</w:t>
            </w:r>
          </w:p>
        </w:tc>
      </w:tr>
      <w:tr>
        <w:trPr>
          <w:trHeight w:val="20" w:hRule="atLeast"/>
        </w:trPr>
        <w:tc>
          <w:tcPr>
            <w:tcW w:w="52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3.2</w:t>
            </w:r>
          </w:p>
        </w:tc>
        <w:tc>
          <w:tcPr>
            <w:tcW w:w="2306" w:type="dxa"/>
            <w:vMerge w:val="restart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техническому состоянию Техники</w:t>
            </w:r>
          </w:p>
        </w:tc>
        <w:tc>
          <w:tcPr>
            <w:tcW w:w="70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Выпускать на маршрут технически исправную Технику, прошедшую в установленном порядке государственный технический осмотр.</w:t>
            </w:r>
          </w:p>
        </w:tc>
      </w:tr>
      <w:tr>
        <w:trPr>
          <w:trHeight w:val="20" w:hRule="atLeast"/>
        </w:trPr>
        <w:tc>
          <w:tcPr>
            <w:tcW w:w="5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1224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06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0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Содержание (мойка (по мере необходимости), техническое обслуживание и ремонт, в том числе приобретение запасных частей, шин, расходных материалов) заправка топливом и смазочными материалами автотранспорта и спецтехники осуществляется силами и средствами Исполнителя, в том числе все виды обязательного страхования, предусмотренные законодательством РФ для оказания вышеперечисленных услуг.</w:t>
            </w:r>
          </w:p>
        </w:tc>
      </w:tr>
      <w:tr>
        <w:trPr>
          <w:trHeight w:val="20" w:hRule="atLeast"/>
        </w:trPr>
        <w:tc>
          <w:tcPr>
            <w:tcW w:w="5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</w:tr>
      <w:tr>
        <w:trPr>
          <w:trHeight w:val="20" w:hRule="atLeast"/>
        </w:trPr>
        <w:tc>
          <w:tcPr>
            <w:tcW w:w="52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4.1</w:t>
            </w:r>
          </w:p>
        </w:tc>
        <w:tc>
          <w:tcPr>
            <w:tcW w:w="2306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7087" w:type="dxa"/>
            <w:tcBorders/>
            <w:shd w:color="auto" w:fill="auto" w:val="clear"/>
          </w:tcPr>
          <w:p>
            <w:pPr>
              <w:pStyle w:val="Default"/>
              <w:widowControl w:val="false"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Лица, управляющие техникой, должны иметь действующие квалификационные удостоверения на работу с техникой и водительское удостоверение с разрешенной категорией</w:t>
            </w:r>
          </w:p>
        </w:tc>
      </w:tr>
      <w:tr>
        <w:trPr>
          <w:trHeight w:val="20" w:hRule="atLeast"/>
        </w:trPr>
        <w:tc>
          <w:tcPr>
            <w:tcW w:w="52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3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06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7087" w:type="dxa"/>
            <w:tcBorders/>
            <w:shd w:color="auto" w:fill="auto" w:val="clear"/>
          </w:tcPr>
          <w:p>
            <w:pPr>
              <w:pStyle w:val="Default"/>
              <w:widowControl w:val="false"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Разрешается допускать к управлению, только специально обученных и имеющих опыт работы на ТС операторов-водителей, имеющих соответствующую квалификацию, прошедших стажировку и медицинское освидетельствование, предрейсовый, послерейсовый медосмотр собственным лицензированным медицинским работником или, при наличии договора на данный вид услуг, медицинским учреждением согласно рекомендациям Минздрава РФ и Минтранса РФ от 29.01.02 г и требованиями ФЗ от 10.12.1995 № 96-ФЗ «О безопасности дорожного движения».</w:t>
            </w:r>
          </w:p>
        </w:tc>
      </w:tr>
      <w:tr>
        <w:trPr>
          <w:trHeight w:val="20" w:hRule="atLeast"/>
        </w:trPr>
        <w:tc>
          <w:tcPr>
            <w:tcW w:w="5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9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>
          <w:trHeight w:val="20" w:hRule="atLeast"/>
        </w:trPr>
        <w:tc>
          <w:tcPr>
            <w:tcW w:w="5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9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</w:tr>
      <w:tr>
        <w:trPr>
          <w:trHeight w:val="20" w:hRule="atLeast"/>
        </w:trPr>
        <w:tc>
          <w:tcPr>
            <w:tcW w:w="5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соблюдению Исполнителя технологической, производственной и трудовой дисциплин</w:t>
            </w:r>
          </w:p>
        </w:tc>
        <w:tc>
          <w:tcPr>
            <w:tcW w:w="70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соблюдать требования технологической, производственной и трудовой дисциплины</w:t>
            </w:r>
          </w:p>
        </w:tc>
      </w:tr>
      <w:tr>
        <w:trPr>
          <w:trHeight w:val="20" w:hRule="atLeast"/>
        </w:trPr>
        <w:tc>
          <w:tcPr>
            <w:tcW w:w="5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9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</w:tr>
      <w:tr>
        <w:trPr>
          <w:trHeight w:val="20" w:hRule="atLeast"/>
        </w:trPr>
        <w:tc>
          <w:tcPr>
            <w:tcW w:w="5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6.1</w:t>
            </w:r>
          </w:p>
        </w:tc>
        <w:tc>
          <w:tcPr>
            <w:tcW w:w="23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ТС законодательству РФ</w:t>
            </w:r>
          </w:p>
        </w:tc>
        <w:tc>
          <w:tcPr>
            <w:tcW w:w="708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соблюдать законодательство РФ при эксплуатации, обслуживании и предоставлении техники предоставляемых Заказчику.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предоставить документы о праве собственности или владения техникой (ПТС или договор аренды техники у собственника).  Документы предоставляются после заключения договора.</w:t>
            </w:r>
          </w:p>
          <w:p>
            <w:pPr>
              <w:pStyle w:val="Heading3"/>
              <w:widowControl w:val="false"/>
              <w:suppressAutoHyphens w:val="true"/>
              <w:ind w:hanging="0" w:left="63"/>
              <w:rPr>
                <w:rFonts w:ascii="Times New Roman" w:hAnsi="Times New Roman" w:cs="Times New Roman"/>
                <w:kern w:val="0"/>
                <w:lang w:bidi="ar-SA"/>
              </w:rPr>
            </w:pPr>
            <w:r>
              <w:rPr>
                <w:rFonts w:cs="Times New Roman"/>
                <w:kern w:val="0"/>
                <w:lang w:bidi="ar-SA"/>
              </w:rPr>
              <w:t>Предоставляемая техника должна быть зарегистрирована в органах Ростехнадзора в качестве технических устройств.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left="63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предоставить выписку из Ростехнадзора о включении ГПМ в реестр ОПО с присвоением 4 класса опасности.  Документы предоставляются после заключения договора.</w:t>
            </w:r>
          </w:p>
          <w:p>
            <w:pPr>
              <w:pStyle w:val="Heading3"/>
              <w:widowControl w:val="false"/>
              <w:suppressAutoHyphens w:val="true"/>
              <w:spacing w:before="120" w:after="60"/>
              <w:ind w:hanging="0" w:left="63"/>
              <w:rPr>
                <w:rFonts w:ascii="Times New Roman" w:hAnsi="Times New Roman" w:cs="Times New Roman"/>
                <w:kern w:val="0"/>
                <w:lang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Предоставляемая техника должна иметь ЧТО и ПТО на весь период оказания услуг.</w:t>
            </w:r>
          </w:p>
        </w:tc>
      </w:tr>
      <w:tr>
        <w:trPr>
          <w:trHeight w:val="20" w:hRule="atLeast"/>
        </w:trPr>
        <w:tc>
          <w:tcPr>
            <w:tcW w:w="5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9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</w:tr>
      <w:tr>
        <w:trPr>
          <w:trHeight w:val="20" w:hRule="atLeast"/>
        </w:trPr>
        <w:tc>
          <w:tcPr>
            <w:tcW w:w="5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7.1</w:t>
            </w:r>
          </w:p>
        </w:tc>
        <w:tc>
          <w:tcPr>
            <w:tcW w:w="23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70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обязан нести все расходы, связанные с эксплуатацией техники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 момента приезда на объект (затраты на перебазировку не включены)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, включая, но не ограничиваясь расходы на заработную плату членам экипажей, оплату топлива, горюче-смазочных материалов и эксплуатационных жидкостей, оплату ремонта и запасных частей для спецтехники, оплату стоимости налоговых пошлин, страховых сборов, оплату штрафов, и иных расходов, возникающих в связи с эксплуатацией спецтехники.</w:t>
            </w:r>
          </w:p>
        </w:tc>
      </w:tr>
      <w:tr>
        <w:trPr>
          <w:trHeight w:val="20" w:hRule="atLeast"/>
        </w:trPr>
        <w:tc>
          <w:tcPr>
            <w:tcW w:w="5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93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</w:tr>
      <w:tr>
        <w:trPr>
          <w:trHeight w:val="20" w:hRule="atLeast"/>
        </w:trPr>
        <w:tc>
          <w:tcPr>
            <w:tcW w:w="5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8.1</w:t>
            </w:r>
          </w:p>
        </w:tc>
        <w:tc>
          <w:tcPr>
            <w:tcW w:w="23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708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Исполнитель обязан при невозможности предоставления спецтехники, согласованной в Заявке (ДТП, постановка в ремонт / на техническое обслуживание, угон ТС, иные причины) незамедлительно уведомить об этом Заказчика и по согласованию с Заказчиком предоставить подменную технику с аналогичными техническими характеристиками, соответствующими условиям Договора и на условиях, согласованных в Заявках.</w:t>
            </w:r>
          </w:p>
        </w:tc>
      </w:tr>
      <w:tr>
        <w:trPr>
          <w:trHeight w:val="20" w:hRule="atLeast"/>
        </w:trPr>
        <w:tc>
          <w:tcPr>
            <w:tcW w:w="52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9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 к оказанию услуг</w:t>
            </w:r>
          </w:p>
        </w:tc>
      </w:tr>
      <w:tr>
        <w:trPr>
          <w:trHeight w:val="20" w:hRule="atLeast"/>
        </w:trPr>
        <w:tc>
          <w:tcPr>
            <w:tcW w:w="528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25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9.1</w:t>
            </w:r>
          </w:p>
        </w:tc>
        <w:tc>
          <w:tcPr>
            <w:tcW w:w="23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Стоимость за 1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маш/часа</w:t>
            </w:r>
          </w:p>
        </w:tc>
        <w:tc>
          <w:tcPr>
            <w:tcW w:w="70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Стоимость 1 маш/часа является фиксированной и постоянной на протяжении всего срока действия договора</w:t>
            </w:r>
          </w:p>
        </w:tc>
      </w:tr>
      <w:tr>
        <w:trPr>
          <w:trHeight w:val="20" w:hRule="atLeast"/>
        </w:trPr>
        <w:tc>
          <w:tcPr>
            <w:tcW w:w="528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25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9.2</w:t>
            </w:r>
          </w:p>
        </w:tc>
        <w:tc>
          <w:tcPr>
            <w:tcW w:w="23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Конфиденциальность</w:t>
            </w:r>
          </w:p>
        </w:tc>
        <w:tc>
          <w:tcPr>
            <w:tcW w:w="70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гарантировать наличие у персонала необходимых допусков и разрешений для оказания услуг, соблюдение установленных на объекте режимных требований при входе и выходе персонала, въезде, выезде Техники и ввозе материалов, условий конфиденциальности и неразглашения информации, а также других требований, описанных в данном техническом задании.</w:t>
            </w:r>
          </w:p>
        </w:tc>
      </w:tr>
    </w:tbl>
    <w:p>
      <w:pPr>
        <w:pStyle w:val="Normal"/>
        <w:keepNext w:val="true"/>
        <w:keepLines/>
        <w:numPr>
          <w:ilvl w:val="0"/>
          <w:numId w:val="0"/>
        </w:numPr>
        <w:tabs>
          <w:tab w:val="clear" w:pos="708"/>
          <w:tab w:val="left" w:pos="0" w:leader="none"/>
        </w:tabs>
        <w:spacing w:before="120" w:after="60"/>
        <w:ind w:hanging="357" w:left="357"/>
        <w:outlineLvl w:val="0"/>
        <w:rPr>
          <w:rFonts w:eastAsia="Calibri"/>
          <w:b/>
          <w:iCs/>
          <w:sz w:val="24"/>
          <w:szCs w:val="24"/>
          <w:lang w:eastAsia="x-none"/>
        </w:rPr>
      </w:pPr>
      <w:r>
        <w:rPr>
          <w:rFonts w:eastAsia="Calibri"/>
          <w:b/>
          <w:iCs/>
          <w:sz w:val="24"/>
          <w:szCs w:val="24"/>
          <w:lang w:eastAsia="x-none"/>
        </w:rPr>
        <w:t>3. Требования к документации по ценообразованию на этапе закупки</w:t>
      </w:r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jc w:val="both"/>
        <w:rPr>
          <w:lang w:eastAsia="x-none"/>
        </w:rPr>
      </w:pPr>
      <w:r>
        <w:rPr>
          <w:sz w:val="24"/>
          <w:szCs w:val="24"/>
          <w:lang w:eastAsia="x-none"/>
        </w:rPr>
        <w:t>3.2.   Дополнительные документы по ценообразованию в состав заявки не включаются.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737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18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41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7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7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38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8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9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9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7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0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a20b6f"/>
    <w:pPr>
      <w:keepNext w:val="true"/>
      <w:tabs>
        <w:tab w:val="clear" w:pos="708"/>
        <w:tab w:val="left" w:pos="0" w:leader="none"/>
        <w:tab w:val="left" w:pos="851" w:leader="none"/>
      </w:tabs>
      <w:spacing w:before="120" w:after="60"/>
      <w:ind w:hanging="0" w:left="567"/>
      <w:jc w:val="both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a20b6f"/>
    <w:rPr>
      <w:rFonts w:eastAsia="Calibri"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Основной текст_"/>
    <w:link w:val="19"/>
    <w:uiPriority w:val="99"/>
    <w:qFormat/>
    <w:locked/>
    <w:rsid w:val="008e58aa"/>
    <w:rPr>
      <w:sz w:val="28"/>
      <w:szCs w:val="28"/>
      <w:shd w:fill="FFFFFF" w:val="clear"/>
    </w:rPr>
  </w:style>
  <w:style w:type="character" w:styleId="Style15" w:customStyle="1">
    <w:name w:val="Основной текст + Малые прописные"/>
    <w:uiPriority w:val="99"/>
    <w:qFormat/>
    <w:rsid w:val="008e58aa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styleId="Style16" w:customStyle="1">
    <w:name w:val="Маркеры"/>
    <w:qFormat/>
    <w:rPr>
      <w:rFonts w:ascii="OpenSymbol" w:hAnsi="OpenSymbol" w:eastAsia="OpenSymbol" w:cs="OpenSymbol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111" w:customStyle="1">
    <w:name w:val="caption11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99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  <w:tab w:val="left" w:pos="851" w:leader="none"/>
      </w:tabs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9" w:customStyle="1">
    <w:name w:val="Основной текст1"/>
    <w:basedOn w:val="Normal"/>
    <w:link w:val="Style14"/>
    <w:uiPriority w:val="99"/>
    <w:qFormat/>
    <w:rsid w:val="008e58aa"/>
    <w:pPr>
      <w:widowControl w:val="false"/>
      <w:shd w:val="clear" w:color="auto" w:fill="FFFFFF"/>
      <w:spacing w:lineRule="exact" w:line="302"/>
    </w:pPr>
    <w:rPr/>
  </w:style>
  <w:style w:type="paragraph" w:styleId="Default" w:customStyle="1">
    <w:name w:val="Default"/>
    <w:qFormat/>
    <w:rsid w:val="008e58a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Style38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202B1-4B86-46DA-923B-925B9DDB3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Application>AlterOffice/2026.2.0.0$Linux_X86_64 LibreOffice_project/bc4ef1adf80b36c7a6365f8ed6cbf29021361edd</Application>
  <AppVersion>15.0000</AppVersion>
  <Pages>5</Pages>
  <Words>1103</Words>
  <Characters>7642</Characters>
  <CharactersWithSpaces>8586</CharactersWithSpaces>
  <Paragraphs>160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sunkulievaa@corp.gidroogk.com</cp:lastModifiedBy>
  <cp:lastPrinted>2025-03-26T13:19:00Z</cp:lastPrinted>
  <dcterms:modified xsi:type="dcterms:W3CDTF">2026-09-17T11:57:47Z</dcterms:modified>
  <cp:revision>85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