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5.xml" ContentType="application/vnd.openxmlformats-officedocument.wordprocessingml.header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tabs>
          <w:tab w:val="clear" w:pos="708"/>
          <w:tab w:val="left" w:pos="426" w:leader="none"/>
        </w:tabs>
        <w:jc w:val="center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jc w:val="center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jc w:val="center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jc w:val="center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jc w:val="center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jc w:val="center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jc w:val="center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jc w:val="center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jc w:val="center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jc w:val="center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jc w:val="center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ascii="Times New Roman Полужирный" w:hAnsi="Times New Roman Полужирный" w:eastAsia="Calibri"/>
          <w:b/>
          <w:spacing w:val="-4"/>
          <w:sz w:val="26"/>
          <w:szCs w:val="26"/>
        </w:rPr>
      </w:pPr>
      <w:r>
        <w:rPr>
          <w:rFonts w:eastAsia="Calibri"/>
          <w:b/>
          <w:sz w:val="26"/>
          <w:szCs w:val="26"/>
        </w:rPr>
        <w:t xml:space="preserve">Технические требования 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jc w:val="center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jc w:val="center"/>
        <w:rPr>
          <w:rFonts w:eastAsia="Calibri"/>
          <w:i w:val="false"/>
          <w:i w:val="false"/>
          <w:iCs w:val="false"/>
          <w:sz w:val="26"/>
          <w:szCs w:val="26"/>
        </w:rPr>
      </w:pPr>
      <w:r>
        <w:rPr>
          <w:rFonts w:eastAsia="Calibri"/>
          <w:i w:val="false"/>
          <w:iCs w:val="false"/>
          <w:sz w:val="26"/>
          <w:szCs w:val="26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center"/>
        <w:rPr>
          <w:i w:val="false"/>
          <w:i w:val="false"/>
          <w:iCs w:val="false"/>
        </w:rPr>
      </w:pPr>
      <w:r>
        <w:rPr>
          <w:rFonts w:eastAsia="Calibri"/>
          <w:b/>
          <w:i w:val="false"/>
          <w:iCs w:val="false"/>
          <w:sz w:val="26"/>
          <w:szCs w:val="26"/>
        </w:rPr>
        <w:t>ОКПД2 62.01.11 Оказание услуг по сопровождению и развитию автоматизированной информационной системы учета и управления в АО «Гидроремонт-ВКК», разработанной на основе конфигураций «1С:ERP Управление предприятием 2» и «1С:Документооборот»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center"/>
        <w:rPr>
          <w:i w:val="false"/>
          <w:i w:val="false"/>
          <w:iCs w:val="false"/>
        </w:rPr>
      </w:pPr>
      <w:r>
        <w:rPr>
          <w:rFonts w:eastAsia="Calibri"/>
          <w:b/>
          <w:i w:val="false"/>
          <w:iCs w:val="false"/>
          <w:sz w:val="26"/>
          <w:szCs w:val="26"/>
        </w:rPr>
        <w:t>Лот №0006-ЭКСП ДИТ-2026-ГРВКК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center"/>
        <w:rPr>
          <w:i w:val="false"/>
          <w:i w:val="false"/>
          <w:iCs w:val="false"/>
        </w:rPr>
      </w:pPr>
      <w:r>
        <w:rPr>
          <w:rFonts w:eastAsia="Calibri"/>
          <w:b/>
          <w:i w:val="false"/>
          <w:iCs w:val="false"/>
          <w:sz w:val="26"/>
          <w:szCs w:val="26"/>
        </w:rPr>
        <w:t>АО «Гидроремонт-ВКК»</w:t>
      </w:r>
      <w:r>
        <w:br w:type="page"/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r>
            <w:fldChar w:fldCharType="begin"/>
          </w:r>
          <w:r>
            <w:rPr>
              <w:webHidden/>
              <w:rStyle w:val="Style14"/>
              <w:vanish w:val="false"/>
            </w:rPr>
            <w:instrText xml:space="preserve"> TOC \z \o "1-4" \u \h</w:instrText>
          </w:r>
          <w:r>
            <w:rPr>
              <w:webHidden/>
              <w:rStyle w:val="Style14"/>
              <w:vanish w:val="false"/>
            </w:rPr>
            <w:fldChar w:fldCharType="separate"/>
          </w:r>
          <w:hyperlink w:anchor="__RefHeading___Toc786_1609759359">
            <w:r>
              <w:rPr>
                <w:webHidden/>
                <w:rStyle w:val="Style14"/>
                <w:vanish w:val="false"/>
              </w:rPr>
              <w:t>1. Общие сведения</w:t>
              <w:tab/>
              <w:t>3</w:t>
            </w:r>
          </w:hyperlink>
        </w:p>
        <w:p>
          <w:pPr>
            <w:pStyle w:val="TOC3"/>
            <w:tabs>
              <w:tab w:val="clear" w:pos="708"/>
              <w:tab w:val="right" w:pos="9921" w:leader="dot"/>
            </w:tabs>
            <w:rPr/>
          </w:pPr>
          <w:hyperlink w:anchor="__RefHeading___Toc788_1609759359">
            <w:r>
              <w:rPr>
                <w:webHidden/>
                <w:rStyle w:val="Style14"/>
                <w:vanish w:val="false"/>
              </w:rPr>
              <w:t>1.1. Наименование закупаемой услуги</w:t>
              <w:tab/>
              <w:t>3</w:t>
            </w:r>
          </w:hyperlink>
        </w:p>
        <w:p>
          <w:pPr>
            <w:pStyle w:val="TOC3"/>
            <w:tabs>
              <w:tab w:val="clear" w:pos="708"/>
              <w:tab w:val="right" w:pos="9921" w:leader="dot"/>
            </w:tabs>
            <w:rPr/>
          </w:pPr>
          <w:hyperlink w:anchor="__RefHeading___Toc790_1609759359">
            <w:r>
              <w:rPr>
                <w:webHidden/>
                <w:rStyle w:val="Style14"/>
                <w:vanish w:val="false"/>
              </w:rPr>
              <w:t>1.2. Цель использования закупаемой услуги</w:t>
              <w:tab/>
              <w:t>3</w:t>
            </w:r>
          </w:hyperlink>
        </w:p>
        <w:p>
          <w:pPr>
            <w:pStyle w:val="TOC3"/>
            <w:tabs>
              <w:tab w:val="clear" w:pos="708"/>
              <w:tab w:val="right" w:pos="9921" w:leader="dot"/>
            </w:tabs>
            <w:rPr/>
          </w:pPr>
          <w:hyperlink w:anchor="__RefHeading___Toc792_1609759359">
            <w:r>
              <w:rPr>
                <w:webHidden/>
                <w:rStyle w:val="Style14"/>
                <w:vanish w:val="false"/>
              </w:rPr>
              <w:t>1.3. Существующее положение</w:t>
              <w:tab/>
              <w:t>3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794_1609759359">
            <w:r>
              <w:rPr>
                <w:webHidden/>
                <w:rStyle w:val="Style14"/>
                <w:vanish w:val="false"/>
              </w:rPr>
              <w:t>2. Требования к закупаемой услуге</w:t>
              <w:tab/>
              <w:t>3</w:t>
            </w:r>
          </w:hyperlink>
        </w:p>
        <w:p>
          <w:pPr>
            <w:pStyle w:val="TOC3"/>
            <w:tabs>
              <w:tab w:val="clear" w:pos="708"/>
              <w:tab w:val="right" w:pos="9921" w:leader="dot"/>
            </w:tabs>
            <w:rPr/>
          </w:pPr>
          <w:hyperlink w:anchor="__RefHeading___Toc796_1609759359">
            <w:r>
              <w:rPr>
                <w:webHidden/>
                <w:rStyle w:val="Style14"/>
                <w:vanish w:val="false"/>
              </w:rPr>
              <w:t>2.1. Требования к объемам и срокам оказания услуги</w:t>
              <w:tab/>
              <w:t>3</w:t>
            </w:r>
          </w:hyperlink>
        </w:p>
        <w:p>
          <w:pPr>
            <w:pStyle w:val="TOC3"/>
            <w:tabs>
              <w:tab w:val="clear" w:pos="708"/>
              <w:tab w:val="right" w:pos="9921" w:leader="dot"/>
            </w:tabs>
            <w:rPr/>
          </w:pPr>
          <w:hyperlink w:anchor="__RefHeading___Toc798_1609759359">
            <w:r>
              <w:rPr>
                <w:webHidden/>
                <w:rStyle w:val="Style14"/>
                <w:vanish w:val="false"/>
              </w:rPr>
              <w:t>2.1.1. Перечень и объем закупаемой услуги</w:t>
              <w:tab/>
              <w:t>3</w:t>
            </w:r>
          </w:hyperlink>
        </w:p>
        <w:p>
          <w:pPr>
            <w:pStyle w:val="TOC3"/>
            <w:tabs>
              <w:tab w:val="clear" w:pos="708"/>
              <w:tab w:val="right" w:pos="9921" w:leader="dot"/>
            </w:tabs>
            <w:rPr/>
          </w:pPr>
          <w:hyperlink w:anchor="__RefHeading___Toc22406_3907880893">
            <w:r>
              <w:rPr>
                <w:webHidden/>
                <w:rStyle w:val="Style14"/>
                <w:i w:val="false"/>
                <w:iCs w:val="false"/>
                <w:vanish w:val="false"/>
              </w:rPr>
              <w:t>Таблица</w:t>
            </w:r>
            <w:r>
              <w:rPr>
                <w:rStyle w:val="Style14"/>
                <w:i w:val="false"/>
                <w:iCs w:val="false"/>
              </w:rPr>
              <w:t xml:space="preserve"> 1. Перечень и объём оказываемых услуг</w:t>
            </w:r>
            <w:r>
              <w:rPr>
                <w:rStyle w:val="Style14"/>
              </w:rPr>
              <w:tab/>
              <w:t>3</w:t>
            </w:r>
          </w:hyperlink>
        </w:p>
        <w:p>
          <w:pPr>
            <w:pStyle w:val="TOC3"/>
            <w:tabs>
              <w:tab w:val="clear" w:pos="708"/>
              <w:tab w:val="right" w:pos="9921" w:leader="dot"/>
            </w:tabs>
            <w:rPr/>
          </w:pPr>
          <w:hyperlink w:anchor="__RefHeading___Toc800_1609759359">
            <w:r>
              <w:rPr>
                <w:webHidden/>
                <w:rStyle w:val="Style14"/>
                <w:vanish w:val="false"/>
              </w:rPr>
              <w:t>2.1.2. Требования к срокам оказания услуг</w:t>
              <w:tab/>
              <w:t>3</w:t>
            </w:r>
          </w:hyperlink>
        </w:p>
        <w:p>
          <w:pPr>
            <w:pStyle w:val="TOC3"/>
            <w:tabs>
              <w:tab w:val="clear" w:pos="708"/>
              <w:tab w:val="right" w:pos="9921" w:leader="dot"/>
            </w:tabs>
            <w:rPr/>
          </w:pPr>
          <w:hyperlink w:anchor="__RefHeading___Toc802_1609759359">
            <w:r>
              <w:rPr>
                <w:webHidden/>
                <w:rStyle w:val="Style14"/>
                <w:vanish w:val="false"/>
              </w:rPr>
              <w:t>Таблица 2. Требования по срокам оказания услуг</w:t>
              <w:tab/>
              <w:t>3</w:t>
            </w:r>
          </w:hyperlink>
        </w:p>
        <w:p>
          <w:pPr>
            <w:pStyle w:val="TOC3"/>
            <w:tabs>
              <w:tab w:val="clear" w:pos="708"/>
              <w:tab w:val="right" w:pos="9921" w:leader="dot"/>
            </w:tabs>
            <w:rPr/>
          </w:pPr>
          <w:hyperlink w:anchor="__RefHeading___Toc804_1609759359">
            <w:r>
              <w:rPr>
                <w:webHidden/>
                <w:rStyle w:val="Style14"/>
                <w:vanish w:val="false"/>
              </w:rPr>
              <w:t>2.2. Требования к качеству оказываемых услуг</w:t>
              <w:tab/>
              <w:t>4</w:t>
            </w:r>
          </w:hyperlink>
        </w:p>
        <w:p>
          <w:pPr>
            <w:pStyle w:val="TOC3"/>
            <w:tabs>
              <w:tab w:val="clear" w:pos="708"/>
              <w:tab w:val="right" w:pos="9921" w:leader="dot"/>
            </w:tabs>
            <w:rPr/>
          </w:pPr>
          <w:hyperlink w:anchor="__RefHeading___Toc806_1609759359">
            <w:r>
              <w:rPr>
                <w:webHidden/>
                <w:rStyle w:val="Style14"/>
                <w:vanish w:val="false"/>
              </w:rPr>
              <w:t>Таблица 3. Требования к услуге</w:t>
              <w:tab/>
              <w:t>4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808_1609759359_%D0%9A%D0%BE%D0%BF%D0%B8%D1%8F_1">
            <w:r>
              <w:rPr>
                <w:webHidden/>
                <w:rStyle w:val="Style14"/>
                <w:vanish w:val="false"/>
              </w:rPr>
              <w:t>3. Приложения</w:t>
              <w:tab/>
              <w:t>5</w:t>
            </w:r>
          </w:hyperlink>
          <w:r>
            <w:rPr>
              <w:rStyle w:val="Style14"/>
              <w:vanish w:val="false"/>
            </w:rPr>
            <w:fldChar w:fldCharType="end"/>
          </w:r>
        </w:p>
      </w:sdtContent>
    </w:sdt>
    <w:p>
      <w:pPr>
        <w:pStyle w:val="TOC1"/>
        <w:tabs>
          <w:tab w:val="clear" w:pos="708"/>
          <w:tab w:val="left" w:pos="560" w:leader="none"/>
          <w:tab w:val="right" w:pos="9911" w:leader="dot"/>
        </w:tabs>
        <w:rPr>
          <w:rFonts w:ascii="Calibri" w:hAnsi="Calibri" w:eastAsia="新細明體" w:cs="Arial" w:asciiTheme="minorHAnsi" w:cstheme="minorBidi" w:eastAsiaTheme="minorEastAsia" w:hAnsiTheme="minorHAnsi"/>
          <w:b w:val="false"/>
          <w:bCs w:val="false"/>
          <w:sz w:val="22"/>
          <w:szCs w:val="22"/>
        </w:rPr>
      </w:pPr>
      <w:r>
        <w:rPr>
          <w:rFonts w:eastAsia="新細明體" w:cs="Arial" w:cstheme="minorBidi" w:eastAsiaTheme="minorEastAsia" w:ascii="Calibri" w:hAnsi="Calibri"/>
          <w:b w:val="false"/>
          <w:bCs w:val="false"/>
          <w:sz w:val="22"/>
          <w:szCs w:val="22"/>
        </w:rPr>
      </w:r>
    </w:p>
    <w:p>
      <w:pPr>
        <w:pStyle w:val="Heading2"/>
        <w:tabs>
          <w:tab w:val="clear" w:pos="0"/>
          <w:tab w:val="left" w:pos="560" w:leader="none"/>
        </w:tabs>
        <w:ind w:hanging="0" w:left="0"/>
        <w:rPr>
          <w:b w:val="false"/>
          <w:i/>
          <w:i/>
        </w:rPr>
      </w:pPr>
      <w:r>
        <w:rPr>
          <w:b w:val="false"/>
          <w:i/>
        </w:rPr>
      </w:r>
      <w:r>
        <w:br w:type="page"/>
      </w:r>
    </w:p>
    <w:p>
      <w:pPr>
        <w:pStyle w:val="Heading1"/>
        <w:keepNext w:val="true"/>
        <w:widowControl/>
        <w:numPr>
          <w:ilvl w:val="0"/>
          <w:numId w:val="3"/>
        </w:numPr>
        <w:suppressAutoHyphens w:val="true"/>
        <w:bidi w:val="0"/>
        <w:spacing w:before="120" w:after="60"/>
        <w:ind w:hanging="510" w:left="510" w:right="0"/>
        <w:jc w:val="left"/>
        <w:rPr>
          <w:caps/>
        </w:rPr>
      </w:pPr>
      <w:bookmarkStart w:id="0" w:name="__RefHeading___Toc786_1609759359"/>
      <w:bookmarkStart w:id="1" w:name="_Toc148705975"/>
      <w:bookmarkStart w:id="2" w:name="_Toc51339692"/>
      <w:bookmarkEnd w:id="0"/>
      <w:r>
        <w:rPr/>
        <w:t>Общие сведения</w:t>
      </w:r>
      <w:bookmarkEnd w:id="1"/>
      <w:bookmarkEnd w:id="2"/>
    </w:p>
    <w:p>
      <w:pPr>
        <w:pStyle w:val="Heading3"/>
        <w:numPr>
          <w:ilvl w:val="1"/>
          <w:numId w:val="3"/>
        </w:numPr>
        <w:rPr/>
      </w:pPr>
      <w:bookmarkStart w:id="3" w:name="__RefHeading___Toc788_1609759359"/>
      <w:bookmarkStart w:id="4" w:name="_Toc148705976"/>
      <w:bookmarkStart w:id="5" w:name="_Toc46743506"/>
      <w:bookmarkEnd w:id="3"/>
      <w:r>
        <w:rPr/>
        <w:t xml:space="preserve">Наименование закупаемой </w:t>
      </w:r>
      <w:bookmarkEnd w:id="5"/>
      <w:r>
        <w:rPr>
          <w:lang w:val="ru-RU"/>
        </w:rPr>
        <w:t>услуги</w:t>
      </w:r>
      <w:bookmarkEnd w:id="4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240"/>
        <w:ind w:firstLine="426"/>
        <w:jc w:val="both"/>
        <w:rPr>
          <w:i w:val="false"/>
          <w:i w:val="false"/>
          <w:iCs w:val="false"/>
        </w:rPr>
      </w:pPr>
      <w:r>
        <w:rPr>
          <w:i w:val="false"/>
          <w:iCs w:val="false"/>
          <w:sz w:val="24"/>
          <w:szCs w:val="24"/>
        </w:rPr>
        <w:t>ОКПД2 62.01.11 Оказание услуг по сопровождению и развитию автоматизированной информационной системы учета и управления в АО «Гидроремонт-ВКК», разработанной на основе конфигураций «1С:ERP Управление предприятием 2» и «1С:Документооборот»</w:t>
      </w:r>
    </w:p>
    <w:p>
      <w:pPr>
        <w:pStyle w:val="Heading3"/>
        <w:numPr>
          <w:ilvl w:val="1"/>
          <w:numId w:val="3"/>
        </w:numPr>
        <w:rPr/>
      </w:pPr>
      <w:bookmarkStart w:id="6" w:name="__RefHeading___Toc790_1609759359"/>
      <w:bookmarkStart w:id="7" w:name="_Toc148705977"/>
      <w:bookmarkStart w:id="8" w:name="_Toc46743507"/>
      <w:bookmarkEnd w:id="6"/>
      <w:r>
        <w:rPr/>
        <w:t xml:space="preserve">Цель </w:t>
      </w:r>
      <w:bookmarkEnd w:id="8"/>
      <w:r>
        <w:rPr/>
        <w:t xml:space="preserve">использования закупаемой </w:t>
      </w:r>
      <w:r>
        <w:rPr>
          <w:lang w:val="ru-RU"/>
        </w:rPr>
        <w:t>услуги</w:t>
      </w:r>
      <w:bookmarkEnd w:id="7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240"/>
        <w:ind w:firstLine="426"/>
        <w:jc w:val="both"/>
        <w:rPr>
          <w:i w:val="false"/>
          <w:i w:val="false"/>
          <w:iCs w:val="false"/>
        </w:rPr>
      </w:pPr>
      <w:r>
        <w:rPr>
          <w:i w:val="false"/>
          <w:iCs w:val="false"/>
          <w:sz w:val="24"/>
          <w:szCs w:val="24"/>
        </w:rPr>
        <w:t>Целью заключения договора является ежемесячная методологическая и консультационная поддержка пользователей по вопросам работы в системе, доработки объектов и функциональности Системы по запросам пользователей Исполнителя, не связанные с разработкой нового функционала.</w:t>
      </w:r>
    </w:p>
    <w:p>
      <w:pPr>
        <w:pStyle w:val="Heading3"/>
        <w:numPr>
          <w:ilvl w:val="1"/>
          <w:numId w:val="3"/>
        </w:numPr>
        <w:rPr/>
      </w:pPr>
      <w:bookmarkStart w:id="9" w:name="__RefHeading___Toc792_1609759359"/>
      <w:bookmarkStart w:id="10" w:name="_Toc148705978"/>
      <w:bookmarkStart w:id="11" w:name="_Toc46743508"/>
      <w:bookmarkEnd w:id="9"/>
      <w:r>
        <w:rPr/>
        <w:t>Существующее положение</w:t>
      </w:r>
      <w:bookmarkEnd w:id="10"/>
      <w:bookmarkEnd w:id="11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240"/>
        <w:ind w:firstLine="426"/>
        <w:jc w:val="both"/>
        <w:rPr>
          <w:i w:val="false"/>
          <w:i w:val="false"/>
          <w:iCs w:val="false"/>
        </w:rPr>
      </w:pPr>
      <w:r>
        <w:rPr>
          <w:i w:val="false"/>
          <w:iCs w:val="false"/>
          <w:sz w:val="24"/>
          <w:szCs w:val="24"/>
        </w:rPr>
        <w:t xml:space="preserve">Все услуги в рамках сопровождения Исполнитель выполняет в отношении автоматизированной информационной системы управления АО «Гидроремонт-ВКК», разработанной на основе конфигурации «1С:ERP Управление предприятием 2». </w:t>
      </w:r>
    </w:p>
    <w:p>
      <w:pPr>
        <w:pStyle w:val="Heading1"/>
        <w:keepNext w:val="true"/>
        <w:widowControl/>
        <w:numPr>
          <w:ilvl w:val="0"/>
          <w:numId w:val="3"/>
        </w:numPr>
        <w:suppressAutoHyphens w:val="true"/>
        <w:bidi w:val="0"/>
        <w:spacing w:before="120" w:after="60"/>
        <w:ind w:hanging="340" w:left="340" w:right="0"/>
        <w:jc w:val="left"/>
        <w:rPr/>
      </w:pPr>
      <w:bookmarkStart w:id="12" w:name="__RefHeading___Toc794_1609759359"/>
      <w:bookmarkStart w:id="13" w:name="_Toc148705979"/>
      <w:bookmarkStart w:id="14" w:name="_Toc51339693"/>
      <w:bookmarkStart w:id="15" w:name="_Hlk498576041"/>
      <w:bookmarkStart w:id="16" w:name="_Toc467435091"/>
      <w:bookmarkStart w:id="17" w:name="_Toc50125126"/>
      <w:bookmarkEnd w:id="12"/>
      <w:bookmarkEnd w:id="15"/>
      <w:bookmarkEnd w:id="16"/>
      <w:bookmarkEnd w:id="17"/>
      <w:r>
        <w:rPr/>
        <w:t xml:space="preserve">Требования к </w:t>
      </w:r>
      <w:bookmarkEnd w:id="14"/>
      <w:r>
        <w:rPr>
          <w:lang w:val="ru-RU"/>
        </w:rPr>
        <w:t>закупаемой услуге</w:t>
      </w:r>
      <w:bookmarkEnd w:id="13"/>
    </w:p>
    <w:p>
      <w:pPr>
        <w:pStyle w:val="Heading3"/>
        <w:numPr>
          <w:ilvl w:val="1"/>
          <w:numId w:val="3"/>
        </w:numPr>
        <w:rPr/>
      </w:pPr>
      <w:bookmarkStart w:id="18" w:name="__RefHeading___Toc796_1609759359"/>
      <w:bookmarkStart w:id="19" w:name="_Toc148705980"/>
      <w:bookmarkEnd w:id="18"/>
      <w:r>
        <w:rPr/>
        <w:t xml:space="preserve">Требования к объемам и срокам </w:t>
      </w:r>
      <w:r>
        <w:rPr>
          <w:lang w:val="ru-RU"/>
        </w:rPr>
        <w:t>оказания услуги</w:t>
      </w:r>
      <w:bookmarkEnd w:id="19"/>
    </w:p>
    <w:p>
      <w:pPr>
        <w:pStyle w:val="Heading3"/>
        <w:numPr>
          <w:ilvl w:val="2"/>
          <w:numId w:val="3"/>
        </w:numPr>
        <w:rPr/>
      </w:pPr>
      <w:bookmarkStart w:id="20" w:name="__RefHeading___Toc798_1609759359"/>
      <w:bookmarkStart w:id="21" w:name="_Toc148705981"/>
      <w:bookmarkEnd w:id="20"/>
      <w:r>
        <w:rPr/>
        <w:t>Перечень и объем закупаемой услуги</w:t>
      </w:r>
      <w:bookmarkEnd w:id="21"/>
    </w:p>
    <w:p>
      <w:pPr>
        <w:pStyle w:val="Heading3"/>
        <w:numPr>
          <w:ilvl w:val="0"/>
        </w:numPr>
        <w:ind w:hanging="426" w:left="426" w:right="0"/>
        <w:rPr>
          <w:i w:val="false"/>
          <w:i w:val="false"/>
          <w:iCs w:val="false"/>
        </w:rPr>
      </w:pPr>
      <w:bookmarkStart w:id="22" w:name="__RefHeading___Toc22406_3907880893"/>
      <w:bookmarkEnd w:id="22"/>
      <w:r>
        <w:rPr>
          <w:rFonts w:eastAsia="Calibri" w:cs="Times New Roman"/>
          <w:b/>
          <w:i w:val="false"/>
          <w:iCs w:val="false"/>
          <w:color w:val="auto"/>
          <w:spacing w:val="-4"/>
          <w:kern w:val="0"/>
          <w:sz w:val="24"/>
          <w:szCs w:val="24"/>
          <w:lang w:val="x-none" w:eastAsia="x-none" w:bidi="ar-SA"/>
        </w:rPr>
        <w:t>Таблица</w:t>
      </w:r>
      <w:r>
        <w:rPr>
          <w:rFonts w:eastAsia="Calibri"/>
          <w:b/>
          <w:i w:val="false"/>
          <w:iCs w:val="false"/>
          <w:spacing w:val="-4"/>
          <w:sz w:val="24"/>
          <w:szCs w:val="24"/>
          <w:lang w:val="x-none" w:eastAsia="x-none"/>
        </w:rPr>
        <w:t xml:space="preserve"> 1. Перечень и объём оказываемых услуг</w:t>
      </w:r>
    </w:p>
    <w:tbl>
      <w:tblPr>
        <w:tblW w:w="9638" w:type="dxa"/>
        <w:jc w:val="left"/>
        <w:tblInd w:w="137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2"/>
        <w:gridCol w:w="5993"/>
        <w:gridCol w:w="1818"/>
        <w:gridCol w:w="1144"/>
      </w:tblGrid>
      <w:tr>
        <w:trPr/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</w:rPr>
            </w:pPr>
            <w:r>
              <w:rPr>
                <w:i w:val="false"/>
                <w:iCs w:val="false"/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</w:rPr>
            </w:pPr>
            <w:r>
              <w:rPr>
                <w:i w:val="false"/>
                <w:iCs w:val="false"/>
                <w:sz w:val="24"/>
                <w:szCs w:val="24"/>
              </w:rPr>
              <w:t>п/п</w:t>
            </w:r>
          </w:p>
        </w:tc>
        <w:tc>
          <w:tcPr>
            <w:tcW w:w="5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</w:rPr>
            </w:pPr>
            <w:r>
              <w:rPr>
                <w:i w:val="false"/>
                <w:iCs w:val="false"/>
                <w:sz w:val="24"/>
                <w:szCs w:val="24"/>
              </w:rPr>
              <w:t>Наименование услуг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</w:rPr>
            </w:pPr>
            <w:r>
              <w:rPr>
                <w:i w:val="false"/>
                <w:iCs w:val="false"/>
                <w:sz w:val="24"/>
                <w:szCs w:val="24"/>
              </w:rPr>
              <w:t>Ед. изм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</w:rPr>
            </w:pPr>
            <w:r>
              <w:rPr>
                <w:i w:val="false"/>
                <w:iCs w:val="false"/>
                <w:sz w:val="24"/>
                <w:szCs w:val="24"/>
                <w:lang w:val="en-US"/>
              </w:rPr>
              <w:t>Кол-во</w:t>
            </w:r>
          </w:p>
        </w:tc>
      </w:tr>
      <w:tr>
        <w:trPr/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</w:rPr>
            </w:pPr>
            <w:r>
              <w:rPr>
                <w:b/>
                <w:i w:val="false"/>
                <w:iCs w:val="false"/>
                <w:sz w:val="24"/>
                <w:szCs w:val="24"/>
              </w:rPr>
              <w:t>1</w:t>
            </w:r>
          </w:p>
        </w:tc>
        <w:tc>
          <w:tcPr>
            <w:tcW w:w="5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</w:rPr>
            </w:pPr>
            <w:r>
              <w:rPr>
                <w:b/>
                <w:i w:val="false"/>
                <w:iCs w:val="false"/>
                <w:sz w:val="24"/>
                <w:szCs w:val="24"/>
              </w:rPr>
              <w:t>2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8"/>
              <w:keepNext w:val="false"/>
              <w:widowControl w:val="false"/>
              <w:spacing w:before="0" w:after="0"/>
              <w:jc w:val="center"/>
              <w:rPr>
                <w:i w:val="false"/>
                <w:i w:val="false"/>
                <w:iCs w:val="false"/>
              </w:rPr>
            </w:pPr>
            <w:r>
              <w:rPr>
                <w:b/>
                <w:i w:val="false"/>
                <w:iCs w:val="false"/>
                <w:sz w:val="24"/>
                <w:szCs w:val="24"/>
              </w:rPr>
              <w:t>3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8"/>
              <w:keepNext w:val="false"/>
              <w:widowControl w:val="false"/>
              <w:spacing w:before="0" w:after="0"/>
              <w:jc w:val="center"/>
              <w:rPr>
                <w:i w:val="false"/>
                <w:i w:val="false"/>
                <w:iCs w:val="false"/>
              </w:rPr>
            </w:pPr>
            <w:r>
              <w:rPr>
                <w:b/>
                <w:i w:val="false"/>
                <w:iCs w:val="false"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ind w:hanging="360" w:left="360" w:right="0"/>
              <w:jc w:val="center"/>
              <w:rPr>
                <w:i w:val="false"/>
                <w:i w:val="false"/>
                <w:iCs w:val="false"/>
              </w:rPr>
            </w:pPr>
            <w:r>
              <w:rPr>
                <w:i w:val="false"/>
                <w:iCs w:val="false"/>
              </w:rPr>
            </w:r>
          </w:p>
        </w:tc>
        <w:tc>
          <w:tcPr>
            <w:tcW w:w="5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570" w:leader="none"/>
              </w:tabs>
              <w:suppressAutoHyphens w:val="true"/>
              <w:bidi w:val="0"/>
              <w:spacing w:before="120" w:after="240"/>
              <w:ind w:hanging="0" w:left="113" w:right="0"/>
              <w:jc w:val="both"/>
              <w:rPr>
                <w:i w:val="false"/>
                <w:i w:val="false"/>
                <w:iCs w:val="false"/>
              </w:rPr>
            </w:pPr>
            <w:r>
              <w:rPr>
                <w:rFonts w:eastAsia="Times New Roman" w:cs="Times New Roman"/>
                <w:bCs/>
                <w:i w:val="false"/>
                <w:iCs w:val="false"/>
                <w:sz w:val="24"/>
                <w:szCs w:val="24"/>
                <w:lang w:eastAsia="x-none"/>
              </w:rPr>
              <w:t>ОКПД2 62.01.11 Оказание услуг по сопровождению и развитию автоматизированной информационной системы учета и управления в АО «Гидроремонт-ВКК», разработанной на основе конфигураций «1С:ERP Управление предприятием 2» и «1С:Документооборот»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</w:rPr>
            </w:pPr>
            <w:r>
              <w:rPr>
                <w:i w:val="false"/>
                <w:iCs w:val="false"/>
                <w:sz w:val="24"/>
                <w:szCs w:val="24"/>
              </w:rPr>
              <w:t>Условная единица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</w:rPr>
            </w:pPr>
            <w:bookmarkStart w:id="23" w:name="_Toc46743510_Копия_1"/>
            <w:r>
              <w:rPr>
                <w:i w:val="false"/>
                <w:iCs w:val="false"/>
                <w:sz w:val="24"/>
                <w:szCs w:val="24"/>
              </w:rPr>
              <w:t>1</w:t>
            </w:r>
            <w:bookmarkEnd w:id="23"/>
          </w:p>
        </w:tc>
      </w:tr>
    </w:tbl>
    <w:p>
      <w:pPr>
        <w:pStyle w:val="Heading3"/>
        <w:numPr>
          <w:ilvl w:val="2"/>
          <w:numId w:val="3"/>
        </w:numPr>
        <w:ind w:hanging="426" w:left="426"/>
        <w:rPr/>
      </w:pPr>
      <w:bookmarkStart w:id="24" w:name="__RefHeading___Toc800_1609759359"/>
      <w:bookmarkStart w:id="25" w:name="_Toc148705982"/>
      <w:bookmarkStart w:id="26" w:name="_Toc51339696"/>
      <w:bookmarkEnd w:id="24"/>
      <w:r>
        <w:rPr/>
        <w:t xml:space="preserve">Требования </w:t>
      </w:r>
      <w:bookmarkEnd w:id="26"/>
      <w:r>
        <w:rPr/>
        <w:t>к срокам оказания услуг</w:t>
      </w:r>
      <w:bookmarkEnd w:id="25"/>
    </w:p>
    <w:p>
      <w:pPr>
        <w:pStyle w:val="Heading3"/>
        <w:rPr>
          <w:sz w:val="24"/>
          <w:szCs w:val="24"/>
          <w:lang w:val="ru-RU"/>
        </w:rPr>
      </w:pPr>
      <w:bookmarkStart w:id="27" w:name="__RefHeading___Toc802_1609759359"/>
      <w:bookmarkStart w:id="28" w:name="_Toc148705983"/>
      <w:bookmarkStart w:id="29" w:name="_Toc127534165"/>
      <w:bookmarkStart w:id="30" w:name="_Toc126912491"/>
      <w:bookmarkStart w:id="31" w:name="_Toc124854287"/>
      <w:bookmarkStart w:id="32" w:name="_Toc51339697"/>
      <w:bookmarkStart w:id="33" w:name="_Toc50125127"/>
      <w:bookmarkStart w:id="34" w:name="_Toc501251261"/>
      <w:bookmarkEnd w:id="27"/>
      <w:bookmarkEnd w:id="34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 xml:space="preserve">. </w:t>
      </w:r>
      <w:bookmarkStart w:id="35" w:name="_Hlk50465284"/>
      <w:r>
        <w:rPr>
          <w:sz w:val="24"/>
          <w:szCs w:val="24"/>
        </w:rPr>
        <w:t xml:space="preserve">Требования по срокам </w:t>
      </w:r>
      <w:bookmarkEnd w:id="29"/>
      <w:bookmarkEnd w:id="30"/>
      <w:bookmarkEnd w:id="31"/>
      <w:bookmarkEnd w:id="32"/>
      <w:bookmarkEnd w:id="33"/>
      <w:bookmarkEnd w:id="35"/>
      <w:r>
        <w:rPr>
          <w:sz w:val="24"/>
          <w:szCs w:val="24"/>
          <w:lang w:val="ru-RU"/>
        </w:rPr>
        <w:t>оказания услуг</w:t>
      </w:r>
      <w:bookmarkEnd w:id="28"/>
      <w:r>
        <w:rPr>
          <w:sz w:val="24"/>
          <w:szCs w:val="24"/>
          <w:lang w:val="ru-RU"/>
        </w:rPr>
        <w:t xml:space="preserve"> </w:t>
      </w:r>
    </w:p>
    <w:tbl>
      <w:tblPr>
        <w:tblW w:w="9639" w:type="dxa"/>
        <w:jc w:val="left"/>
        <w:tblInd w:w="13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82"/>
        <w:gridCol w:w="5213"/>
        <w:gridCol w:w="1800"/>
        <w:gridCol w:w="1943"/>
      </w:tblGrid>
      <w:tr>
        <w:trPr/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5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услуги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Требования к началу срока </w:t>
            </w:r>
            <w:r>
              <w:rPr>
                <w:sz w:val="24"/>
                <w:szCs w:val="24"/>
              </w:rPr>
              <w:t>оказания услуг</w:t>
            </w: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Требования к окончанию срока </w:t>
            </w:r>
            <w:r>
              <w:rPr>
                <w:sz w:val="24"/>
                <w:szCs w:val="24"/>
              </w:rPr>
              <w:t>оказания услуг</w:t>
            </w:r>
          </w:p>
        </w:tc>
      </w:tr>
      <w:tr>
        <w:trPr/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8"/>
              <w:keepNext w:val="false"/>
              <w:widowControl w:val="fals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8"/>
              <w:keepNext w:val="false"/>
              <w:widowControl w:val="fals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hanging="0" w:left="-113" w:right="0"/>
              <w:contextualSpacing/>
              <w:jc w:val="center"/>
              <w:rPr>
                <w:i w:val="false"/>
                <w:i w:val="false"/>
                <w:iCs w:val="false"/>
              </w:rPr>
            </w:pPr>
            <w:r>
              <w:rPr>
                <w:i w:val="false"/>
                <w:iCs w:val="false"/>
              </w:rPr>
              <w:t>1</w:t>
            </w:r>
          </w:p>
        </w:tc>
        <w:tc>
          <w:tcPr>
            <w:tcW w:w="5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i w:val="false"/>
                <w:i w:val="false"/>
                <w:iCs w:val="false"/>
              </w:rPr>
            </w:pPr>
            <w:r>
              <w:rPr>
                <w:i w:val="false"/>
                <w:iCs w:val="false"/>
                <w:sz w:val="24"/>
                <w:szCs w:val="24"/>
              </w:rPr>
              <w:t>ОКПД2 62.01.11 Оказание услуг по сопровождению и развитию автоматизированной информационной системы учета и управления в АО «Гидроремонт-ВКК», разработанной на основе конфигураций «1С:ERP Управление предприятием 2» и «1С:Документооборот»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</w:rPr>
            </w:pPr>
            <w:r>
              <w:rPr>
                <w:i w:val="false"/>
                <w:iCs w:val="false"/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</w:rPr>
            </w:pPr>
            <w:r>
              <w:rPr>
                <w:i w:val="false"/>
                <w:iCs w:val="false"/>
                <w:sz w:val="24"/>
                <w:szCs w:val="24"/>
              </w:rPr>
              <w:t>Календарный год с даты подписания договора</w:t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Heading3"/>
        <w:numPr>
          <w:ilvl w:val="1"/>
          <w:numId w:val="3"/>
        </w:numPr>
        <w:rPr/>
      </w:pPr>
      <w:bookmarkStart w:id="36" w:name="__RefHeading___Toc804_1609759359"/>
      <w:bookmarkStart w:id="37" w:name="_Toc51339698"/>
      <w:bookmarkStart w:id="38" w:name="_Toc148705984"/>
      <w:bookmarkStart w:id="39" w:name="_Toc46743511"/>
      <w:bookmarkEnd w:id="36"/>
      <w:r>
        <w:rPr/>
        <w:t xml:space="preserve">Требования к </w:t>
      </w:r>
      <w:bookmarkEnd w:id="39"/>
      <w:r>
        <w:rPr/>
        <w:t xml:space="preserve">качеству </w:t>
      </w:r>
      <w:r>
        <w:rPr>
          <w:lang w:val="ru-RU"/>
        </w:rPr>
        <w:t>оказываемых услуг</w:t>
      </w:r>
      <w:bookmarkEnd w:id="38"/>
    </w:p>
    <w:p>
      <w:pPr>
        <w:pStyle w:val="Heading3"/>
        <w:rPr>
          <w:sz w:val="24"/>
          <w:szCs w:val="24"/>
        </w:rPr>
      </w:pPr>
      <w:bookmarkStart w:id="40" w:name="__RefHeading___Toc806_1609759359"/>
      <w:bookmarkStart w:id="41" w:name="_Toc148705985"/>
      <w:bookmarkStart w:id="42" w:name="_Toc127534167"/>
      <w:bookmarkStart w:id="43" w:name="_Toc126912493"/>
      <w:bookmarkStart w:id="44" w:name="_Toc124854289"/>
      <w:bookmarkEnd w:id="40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bookmarkEnd w:id="42"/>
      <w:bookmarkEnd w:id="43"/>
      <w:bookmarkEnd w:id="44"/>
      <w:r>
        <w:rPr>
          <w:sz w:val="24"/>
          <w:szCs w:val="24"/>
          <w:lang w:val="ru-RU"/>
        </w:rPr>
        <w:t>услуге</w:t>
      </w:r>
      <w:bookmarkEnd w:id="41"/>
      <w:r>
        <w:rPr>
          <w:sz w:val="24"/>
          <w:szCs w:val="24"/>
        </w:rPr>
        <w:t xml:space="preserve"> </w:t>
      </w:r>
      <w:bookmarkEnd w:id="37"/>
    </w:p>
    <w:tbl>
      <w:tblPr>
        <w:tblStyle w:val="affff4"/>
        <w:tblW w:w="15075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59"/>
        <w:gridCol w:w="2924"/>
        <w:gridCol w:w="4767"/>
        <w:gridCol w:w="2200"/>
        <w:gridCol w:w="2333"/>
        <w:gridCol w:w="1992"/>
      </w:tblGrid>
      <w:tr>
        <w:trPr/>
        <w:tc>
          <w:tcPr>
            <w:tcW w:w="859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924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/>
                <w:b/>
                <w:bCs/>
                <w:i w:val="false"/>
                <w:iCs w:val="false"/>
                <w:spacing w:val="-4"/>
                <w:kern w:val="0"/>
                <w:sz w:val="24"/>
                <w:szCs w:val="24"/>
                <w:lang w:val="ru-RU" w:eastAsia="ru-RU" w:bidi="ar-SA"/>
              </w:rPr>
              <w:t>Наименование</w:t>
            </w:r>
            <w:r>
              <w:rPr>
                <w:rFonts w:eastAsia="Times New Roman" w:cs="Times New Roman"/>
                <w:b/>
                <w:bCs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 xml:space="preserve"> параметра</w:t>
            </w:r>
          </w:p>
        </w:tc>
        <w:tc>
          <w:tcPr>
            <w:tcW w:w="4767" w:type="dxa"/>
            <w:vMerge w:val="restart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/>
                <w:b/>
                <w:bCs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6525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</w:rPr>
            </w:pPr>
            <w:r>
              <w:rPr>
                <w:b/>
                <w:bCs/>
                <w:kern w:val="0"/>
                <w:sz w:val="20"/>
                <w:lang w:val="ru-RU" w:bidi="ar-SA"/>
              </w:rPr>
              <w:t>Способ подтверждения участником соответствия требованиям</w:t>
            </w:r>
          </w:p>
        </w:tc>
      </w:tr>
      <w:tr>
        <w:trPr/>
        <w:tc>
          <w:tcPr>
            <w:tcW w:w="85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92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i w:val="false"/>
                <w:iCs w:val="false"/>
              </w:rPr>
            </w:r>
          </w:p>
        </w:tc>
        <w:tc>
          <w:tcPr>
            <w:tcW w:w="4767" w:type="dxa"/>
            <w:vMerge w:val="continue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i w:val="false"/>
                <w:iCs w:val="false"/>
              </w:rPr>
            </w:r>
          </w:p>
        </w:tc>
        <w:tc>
          <w:tcPr>
            <w:tcW w:w="2200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</w:rPr>
            </w:pPr>
            <w:r>
              <w:rPr>
                <w:b/>
                <w:bCs/>
                <w:kern w:val="0"/>
                <w:sz w:val="20"/>
                <w:lang w:val="ru-RU" w:bidi="ar-SA"/>
              </w:rPr>
              <w:t>Согласие с требованием/ указание характеристик</w:t>
            </w:r>
          </w:p>
        </w:tc>
        <w:tc>
          <w:tcPr>
            <w:tcW w:w="2333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</w:rPr>
            </w:pPr>
            <w:r>
              <w:rPr>
                <w:b/>
                <w:bCs/>
                <w:kern w:val="0"/>
                <w:sz w:val="20"/>
                <w:lang w:val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199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</w:rPr>
            </w:pPr>
            <w:r>
              <w:rPr>
                <w:b/>
                <w:bCs/>
                <w:kern w:val="0"/>
                <w:sz w:val="20"/>
                <w:lang w:val="ru-RU" w:bidi="ar-SA"/>
              </w:rPr>
              <w:t>Предложение участника по характеристикам и параметрам</w:t>
            </w:r>
          </w:p>
        </w:tc>
      </w:tr>
      <w:tr>
        <w:trPr>
          <w:trHeight w:val="167" w:hRule="atLeast"/>
        </w:trPr>
        <w:tc>
          <w:tcPr>
            <w:tcW w:w="85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92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/>
                <w:b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4767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/>
                <w:b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200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i w:val="false"/>
                <w:iCs w:val="false"/>
              </w:rPr>
              <w:t>4</w:t>
            </w:r>
          </w:p>
        </w:tc>
        <w:tc>
          <w:tcPr>
            <w:tcW w:w="2333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i w:val="false"/>
                <w:iCs w:val="false"/>
              </w:rPr>
              <w:t>5</w:t>
            </w:r>
          </w:p>
        </w:tc>
        <w:tc>
          <w:tcPr>
            <w:tcW w:w="199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i w:val="false"/>
                <w:iCs w:val="false"/>
              </w:rPr>
              <w:t>6</w:t>
            </w:r>
          </w:p>
        </w:tc>
      </w:tr>
      <w:tr>
        <w:trPr/>
        <w:tc>
          <w:tcPr>
            <w:tcW w:w="85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7691" w:type="dxa"/>
            <w:gridSpan w:val="2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/>
                <w:b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200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i w:val="false"/>
                <w:iCs w:val="false"/>
              </w:rPr>
            </w:r>
          </w:p>
        </w:tc>
        <w:tc>
          <w:tcPr>
            <w:tcW w:w="2333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i w:val="false"/>
                <w:iCs w:val="false"/>
              </w:rPr>
            </w:r>
          </w:p>
        </w:tc>
        <w:tc>
          <w:tcPr>
            <w:tcW w:w="199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i w:val="false"/>
                <w:iCs w:val="false"/>
              </w:rPr>
            </w:r>
          </w:p>
        </w:tc>
      </w:tr>
      <w:tr>
        <w:trPr/>
        <w:tc>
          <w:tcPr>
            <w:tcW w:w="85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7691" w:type="dxa"/>
            <w:gridSpan w:val="2"/>
            <w:tcBorders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/>
                <w:bCs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Согласно техническому заданию на услуги (</w:t>
            </w: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Приложении</w:t>
            </w:r>
            <w:r>
              <w:rPr>
                <w:rFonts w:eastAsia="Times New Roman" w:cs="Times New Roman"/>
                <w:bCs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 xml:space="preserve"> №1 к техническим требованиям)</w:t>
            </w:r>
          </w:p>
        </w:tc>
        <w:tc>
          <w:tcPr>
            <w:tcW w:w="2200" w:type="dxa"/>
            <w:tcBorders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  <w:lang w:val="ru-RU" w:bidi="ar-SA"/>
              </w:rPr>
              <w:t>Согласие с требованием</w:t>
            </w:r>
          </w:p>
        </w:tc>
        <w:tc>
          <w:tcPr>
            <w:tcW w:w="2333" w:type="dxa"/>
            <w:tcBorders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i w:val="false"/>
                <w:iCs w:val="false"/>
              </w:rPr>
              <w:t>-</w:t>
            </w:r>
          </w:p>
        </w:tc>
        <w:tc>
          <w:tcPr>
            <w:tcW w:w="199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i w:val="false"/>
                <w:iCs w:val="false"/>
              </w:rPr>
            </w:r>
          </w:p>
        </w:tc>
      </w:tr>
      <w:tr>
        <w:trPr/>
        <w:tc>
          <w:tcPr>
            <w:tcW w:w="85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7691" w:type="dxa"/>
            <w:gridSpan w:val="2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/>
                <w:b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Требования к безопасности</w:t>
            </w:r>
          </w:p>
        </w:tc>
        <w:tc>
          <w:tcPr>
            <w:tcW w:w="2200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i w:val="false"/>
                <w:iCs w:val="false"/>
              </w:rPr>
            </w:r>
          </w:p>
        </w:tc>
        <w:tc>
          <w:tcPr>
            <w:tcW w:w="2333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i w:val="false"/>
                <w:iCs w:val="false"/>
              </w:rPr>
            </w:r>
          </w:p>
        </w:tc>
        <w:tc>
          <w:tcPr>
            <w:tcW w:w="199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i w:val="false"/>
                <w:iCs w:val="false"/>
              </w:rPr>
            </w:r>
          </w:p>
        </w:tc>
      </w:tr>
      <w:tr>
        <w:trPr/>
        <w:tc>
          <w:tcPr>
            <w:tcW w:w="85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292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/>
                <w:bCs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Информационная безопасность</w:t>
            </w:r>
          </w:p>
        </w:tc>
        <w:tc>
          <w:tcPr>
            <w:tcW w:w="4767" w:type="dxa"/>
            <w:tcBorders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/>
                <w:bCs/>
                <w:i w:val="false"/>
                <w:iCs w:val="false"/>
                <w:spacing w:val="-6"/>
                <w:kern w:val="0"/>
                <w:sz w:val="24"/>
                <w:szCs w:val="24"/>
                <w:lang w:val="ru-RU" w:eastAsia="ru-RU" w:bidi="ar-SA"/>
              </w:rPr>
              <w:t>Требования к информационной безопасности должны обеспечиваться на всех стадиях жизненного цикла систем, с учетом всех сторон, вовлеченных в процессы жизненного цикла.</w:t>
            </w:r>
          </w:p>
        </w:tc>
        <w:tc>
          <w:tcPr>
            <w:tcW w:w="2200" w:type="dxa"/>
            <w:tcBorders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  <w:lang w:val="ru-RU" w:bidi="ar-SA"/>
              </w:rPr>
              <w:t>Согласие с требованием</w:t>
            </w:r>
          </w:p>
        </w:tc>
        <w:tc>
          <w:tcPr>
            <w:tcW w:w="2333" w:type="dxa"/>
            <w:tcBorders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i w:val="false"/>
                <w:iCs w:val="false"/>
              </w:rPr>
              <w:t>-</w:t>
            </w:r>
          </w:p>
        </w:tc>
        <w:tc>
          <w:tcPr>
            <w:tcW w:w="199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i w:val="false"/>
                <w:iCs w:val="false"/>
              </w:rPr>
            </w:r>
          </w:p>
        </w:tc>
      </w:tr>
      <w:tr>
        <w:trPr/>
        <w:tc>
          <w:tcPr>
            <w:tcW w:w="85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7691" w:type="dxa"/>
            <w:gridSpan w:val="2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</w:rPr>
            </w:pPr>
            <w:r>
              <w:rPr>
                <w:rFonts w:eastAsia="Times New Roman" w:cs="Times New Roman"/>
                <w:b/>
                <w:bCs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200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</w:rPr>
            </w:pPr>
            <w:r>
              <w:rPr>
                <w:i w:val="false"/>
                <w:iCs w:val="false"/>
              </w:rPr>
            </w:r>
          </w:p>
        </w:tc>
        <w:tc>
          <w:tcPr>
            <w:tcW w:w="2333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</w:rPr>
            </w:pPr>
            <w:r>
              <w:rPr>
                <w:i w:val="false"/>
                <w:iCs w:val="false"/>
              </w:rPr>
            </w:r>
          </w:p>
        </w:tc>
        <w:tc>
          <w:tcPr>
            <w:tcW w:w="199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</w:rPr>
            </w:pPr>
            <w:r>
              <w:rPr>
                <w:i w:val="false"/>
                <w:iCs w:val="false"/>
              </w:rPr>
            </w:r>
          </w:p>
        </w:tc>
      </w:tr>
      <w:tr>
        <w:trPr/>
        <w:tc>
          <w:tcPr>
            <w:tcW w:w="85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292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Место оказания услуг</w:t>
            </w:r>
          </w:p>
        </w:tc>
        <w:tc>
          <w:tcPr>
            <w:tcW w:w="4767" w:type="dxa"/>
            <w:tcBorders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 xml:space="preserve">Услуга должна быть оказана </w:t>
            </w:r>
            <w:r>
              <w:rPr>
                <w:rFonts w:eastAsia="Times New Roman" w:cs="Times New Roman"/>
                <w:i w:val="false"/>
                <w:iCs w:val="false"/>
                <w:spacing w:val="-8"/>
                <w:kern w:val="0"/>
                <w:sz w:val="24"/>
                <w:szCs w:val="24"/>
                <w:lang w:val="ru-RU" w:eastAsia="ru-RU" w:bidi="ar-SA"/>
              </w:rPr>
              <w:t xml:space="preserve">Исполнителем по адресам, указанным в </w:t>
            </w: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Приложению 1 к Техническим требованиям.</w:t>
            </w:r>
          </w:p>
        </w:tc>
        <w:tc>
          <w:tcPr>
            <w:tcW w:w="2200" w:type="dxa"/>
            <w:tcBorders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  <w:lang w:val="ru-RU" w:bidi="ar-SA"/>
              </w:rPr>
              <w:t>Согласие с требованием</w:t>
            </w:r>
          </w:p>
        </w:tc>
        <w:tc>
          <w:tcPr>
            <w:tcW w:w="2333" w:type="dxa"/>
            <w:tcBorders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</w:rPr>
            </w:pPr>
            <w:r>
              <w:rPr>
                <w:i w:val="false"/>
                <w:iCs w:val="false"/>
              </w:rPr>
              <w:t>-</w:t>
            </w:r>
          </w:p>
        </w:tc>
        <w:tc>
          <w:tcPr>
            <w:tcW w:w="199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</w:rPr>
            </w:pPr>
            <w:r>
              <w:rPr>
                <w:i w:val="false"/>
                <w:iCs w:val="false"/>
              </w:rPr>
            </w:r>
          </w:p>
        </w:tc>
      </w:tr>
      <w:tr>
        <w:trPr/>
        <w:tc>
          <w:tcPr>
            <w:tcW w:w="85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7691" w:type="dxa"/>
            <w:gridSpan w:val="2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i w:val="false"/>
                <w:i w:val="false"/>
                <w:iCs w:val="false"/>
              </w:rPr>
            </w:pPr>
            <w:r>
              <w:rPr>
                <w:rFonts w:cs="Times New Roman"/>
                <w:b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Требования к обязательствам Поставщика, влияющим на исполнение договора</w:t>
            </w:r>
          </w:p>
        </w:tc>
        <w:tc>
          <w:tcPr>
            <w:tcW w:w="2200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i w:val="false"/>
                <w:i w:val="false"/>
                <w:iCs w:val="false"/>
              </w:rPr>
            </w:pPr>
            <w:r>
              <w:rPr>
                <w:i w:val="false"/>
                <w:iCs w:val="false"/>
              </w:rPr>
            </w:r>
          </w:p>
        </w:tc>
        <w:tc>
          <w:tcPr>
            <w:tcW w:w="2333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i w:val="false"/>
                <w:i w:val="false"/>
                <w:iCs w:val="false"/>
              </w:rPr>
            </w:pPr>
            <w:r>
              <w:rPr>
                <w:i w:val="false"/>
                <w:iCs w:val="false"/>
              </w:rPr>
            </w:r>
          </w:p>
        </w:tc>
        <w:tc>
          <w:tcPr>
            <w:tcW w:w="199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i w:val="false"/>
                <w:i w:val="false"/>
                <w:iCs w:val="false"/>
              </w:rPr>
            </w:pPr>
            <w:r>
              <w:rPr>
                <w:i w:val="false"/>
                <w:iCs w:val="false"/>
              </w:rPr>
            </w:r>
          </w:p>
        </w:tc>
      </w:tr>
      <w:tr>
        <w:trPr/>
        <w:tc>
          <w:tcPr>
            <w:tcW w:w="85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292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</w:rPr>
            </w:pPr>
            <w:r>
              <w:rPr>
                <w:rFonts w:eastAsia="Times New Roman" w:cs="Times New Roman"/>
                <w:bCs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Взаимодействие представителей Заказчика и Исполнителя</w:t>
            </w:r>
          </w:p>
        </w:tc>
        <w:tc>
          <w:tcPr>
            <w:tcW w:w="4767" w:type="dxa"/>
            <w:tcBorders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</w:rPr>
            </w:pPr>
            <w:r>
              <w:rPr>
                <w:rFonts w:eastAsia="Times New Roman" w:cs="Times New Roman"/>
                <w:bCs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Осуществляется через Комплекс средств автоматизации службы поддержки пользователей Заказчика, а также помимо этого может осуществляться лично, по телефону либо посредством электронной почты.</w:t>
            </w:r>
          </w:p>
        </w:tc>
        <w:tc>
          <w:tcPr>
            <w:tcW w:w="2200" w:type="dxa"/>
            <w:tcBorders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  <w:lang w:val="ru-RU" w:bidi="ar-SA"/>
              </w:rPr>
              <w:t>Согласие с требованием</w:t>
            </w:r>
          </w:p>
        </w:tc>
        <w:tc>
          <w:tcPr>
            <w:tcW w:w="2333" w:type="dxa"/>
            <w:tcBorders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</w:rPr>
            </w:pPr>
            <w:r>
              <w:rPr>
                <w:i w:val="false"/>
                <w:iCs w:val="false"/>
              </w:rPr>
              <w:t>-</w:t>
            </w:r>
          </w:p>
        </w:tc>
        <w:tc>
          <w:tcPr>
            <w:tcW w:w="199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</w:rPr>
            </w:pPr>
            <w:r>
              <w:rPr>
                <w:i w:val="false"/>
                <w:iCs w:val="false"/>
              </w:rPr>
            </w:r>
          </w:p>
        </w:tc>
      </w:tr>
    </w:tbl>
    <w:p>
      <w:pPr>
        <w:pStyle w:val="Heading1"/>
        <w:keepNext w:val="true"/>
        <w:widowControl/>
        <w:numPr>
          <w:ilvl w:val="0"/>
          <w:numId w:val="8"/>
        </w:numPr>
        <w:suppressAutoHyphens w:val="true"/>
        <w:bidi w:val="0"/>
        <w:spacing w:before="120" w:after="60"/>
        <w:ind w:hanging="340" w:left="340" w:right="0"/>
        <w:jc w:val="left"/>
        <w:rPr>
          <w:i/>
          <w:i/>
          <w:sz w:val="24"/>
          <w:szCs w:val="24"/>
        </w:rPr>
      </w:pPr>
      <w:bookmarkStart w:id="45" w:name="__RefHeading___Toc808_1609759359_Копия_1"/>
      <w:bookmarkEnd w:id="45"/>
      <w:r>
        <w:rPr/>
        <w:t>Приложения</w:t>
      </w:r>
    </w:p>
    <w:p>
      <w:pPr>
        <w:pStyle w:val="Normal"/>
        <w:rPr/>
      </w:pPr>
      <w:bookmarkStart w:id="46" w:name="__RefHeading___Toc1535_3242058095"/>
      <w:bookmarkEnd w:id="46"/>
      <w:r>
        <w:rPr/>
        <w:t>Приложение 1 Техническое задание</w:t>
      </w:r>
    </w:p>
    <w:sectPr>
      <w:headerReference w:type="default" r:id="rId5"/>
      <w:headerReference w:type="first" r:id="rId6"/>
      <w:type w:val="nextPage"/>
      <w:pgSz w:orient="landscape" w:w="16838" w:h="11906"/>
      <w:pgMar w:left="992" w:right="567" w:gutter="0" w:header="680" w:top="851" w:footer="0" w:bottom="851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Times New Roman Полужирный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0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auto"/>
        <w:lang w:bidi="ar-S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suff w:val="nothing"/>
      <w:lvlText w:val="%1.%2."/>
      <w:lvlJc w:val="left"/>
      <w:pPr>
        <w:tabs>
          <w:tab w:val="num" w:pos="0"/>
        </w:tabs>
        <w:ind w:left="716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3"/>
      <w:numFmt w:val="decimal"/>
      <w:lvlText w:val="%1."/>
      <w:lvlJc w:val="left"/>
      <w:pPr>
        <w:tabs>
          <w:tab w:val="num" w:pos="0"/>
        </w:tabs>
        <w:ind w:left="1080" w:hanging="360"/>
      </w:pPr>
      <w:rPr>
        <w:sz w:val="24"/>
        <w:i w:val="false"/>
        <w:szCs w:val="24"/>
        <w:i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40" w:hanging="42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  <w:rPr>
        <w:b w:val="false"/>
        <w:bCs w:val="fals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80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1800"/>
      </w:pPr>
      <w:rPr/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9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zh-TW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f339d"/>
    <w:pPr>
      <w:keepNext w:val="true"/>
      <w:tabs>
        <w:tab w:val="clear" w:pos="708"/>
        <w:tab w:val="left" w:pos="0" w:leader="none"/>
      </w:tabs>
      <w:spacing w:before="120" w:after="60"/>
      <w:ind w:hanging="0" w:left="0" w:right="0"/>
      <w:jc w:val="left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sid w:val="00d561d9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basedOn w:val="DefaultParagraphFont"/>
    <w:uiPriority w:val="99"/>
    <w:unhideWhenUsed/>
    <w:rsid w:val="00732965"/>
    <w:rPr>
      <w:color w:val="0563C1" w:themeColor="hyperlink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f339d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1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29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 w:customStyle="1">
    <w:name w:val="Endnote Characters"/>
    <w:basedOn w:val="DefaultParagraphFont"/>
    <w:qFormat/>
    <w:rsid w:val="003879d4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Style14" w:customStyle="1">
    <w:name w:val="Ссылка указателя"/>
    <w:qFormat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Times New Roman" w:hAnsi="Times New Roman" w:eastAsia="Microsoft YaHei" w:cs="Times New Roman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Times New Roman" w:hAnsi="Times New Roman" w:eastAsia="" w:cs="Times New Roman"/>
      <w:i/>
      <w:iCs/>
      <w:sz w:val="24"/>
      <w:szCs w:val="28"/>
    </w:rPr>
  </w:style>
  <w:style w:type="paragraph" w:styleId="Style16">
    <w:name w:val="Указатель"/>
    <w:basedOn w:val="Normal"/>
    <w:qFormat/>
    <w:pPr>
      <w:suppressLineNumbers/>
    </w:pPr>
    <w:rPr>
      <w:rFonts w:ascii="Times New Roman" w:hAnsi="Times New Roman" w:eastAsia="" w:cs="Times New Roman"/>
      <w:sz w:val="24"/>
      <w:lang w:val="zxx" w:eastAsia="zxx" w:bidi="zxx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</w:rPr>
  </w:style>
  <w:style w:type="paragraph" w:styleId="Caption1">
    <w:name w:val="caption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Indexheading1">
    <w:name w:val="index heading1"/>
    <w:basedOn w:val="Title"/>
    <w:qFormat/>
    <w:pPr/>
    <w:rPr/>
  </w:style>
  <w:style w:type="paragraph" w:styleId="Style17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8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9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0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hanging="0"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hanging="0" w:left="-567" w:right="-766"/>
      <w:jc w:val="center"/>
    </w:pPr>
    <w:rPr>
      <w:b/>
      <w:bCs/>
      <w:sz w:val="24"/>
      <w:szCs w:val="20"/>
    </w:rPr>
  </w:style>
  <w:style w:type="paragraph" w:styleId="Style21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421b6b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ind w:hanging="0" w:left="280"/>
    </w:pPr>
    <w:rPr>
      <w:rFonts w:cs="Calibri" w:cstheme="minorHAnsi"/>
      <w:sz w:val="20"/>
      <w:szCs w:val="20"/>
    </w:rPr>
  </w:style>
  <w:style w:type="paragraph" w:styleId="Style22" w:customStyle="1">
    <w:name w:val="Раздел регламента"/>
    <w:basedOn w:val="Normal"/>
    <w:qFormat/>
    <w:rsid w:val="00e228fa"/>
    <w:pPr/>
    <w:rPr/>
  </w:style>
  <w:style w:type="paragraph" w:styleId="Style23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hanging="0"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hanging="0"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hanging="0"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4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5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5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6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7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8" w:customStyle="1">
    <w:name w:val="Таблица шапка"/>
    <w:basedOn w:val="Normal"/>
    <w:qFormat/>
    <w:rsid w:val="00f64089"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29" w:customStyle="1">
    <w:name w:val="Подподпункт"/>
    <w:basedOn w:val="Style21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0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1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2" w:customStyle="1">
    <w:name w:val="Таблица текст"/>
    <w:basedOn w:val="Normal"/>
    <w:qFormat/>
    <w:rsid w:val="00343e95"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hanging="0"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hanging="0"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hanging="0"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hanging="0"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3" w:customStyle="1">
    <w:name w:val="Содержимое врезки"/>
    <w:basedOn w:val="Normal"/>
    <w:qFormat/>
    <w:pPr/>
    <w:rPr/>
  </w:style>
  <w:style w:type="paragraph" w:styleId="Style34">
    <w:name w:val="Содержимое таблицы"/>
    <w:basedOn w:val="Normal"/>
    <w:qFormat/>
    <w:pPr>
      <w:widowControl w:val="false"/>
      <w:suppressLineNumbers/>
    </w:pPr>
    <w:rPr/>
  </w:style>
  <w:style w:type="paragraph" w:styleId="Style35">
    <w:name w:val="Заголовок таблицы"/>
    <w:basedOn w:val="Style34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4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5487E7-D9AB-4289-BD3E-FBA4E858B6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Application>AlterOffice/2026.2.1.0$Linux_X86_64 LibreOffice_project/f008988ffacaa0b2bf57911c2759d08ca79831df</Application>
  <AppVersion>15.0000</AppVersion>
  <Pages>4</Pages>
  <Words>536</Words>
  <Characters>3638</Characters>
  <CharactersWithSpaces>4065</CharactersWithSpaces>
  <Paragraphs>103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2023-02-17T10:50:00Z</dcterms:created>
  <dc:creator>Быстров Олег Геннадьевич</dc:creator>
  <dc:description/>
  <dc:language>ru-RU</dc:language>
  <cp:lastModifiedBy>fedorovva@corp.gidroogk.com</cp:lastModifiedBy>
  <cp:lastPrinted>2006-07-26T14:04:00Z</cp:lastPrinted>
  <dcterms:modified xsi:type="dcterms:W3CDTF">2026-09-17T12:45:33Z</dcterms:modified>
  <cp:revision>42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