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right"/>
        <w:rPr>
          <w:rFonts w:ascii="Times New Roman" w:hAnsi="Times New Roman" w:eastAsia="Calibri" w:cs="Times New Roman"/>
          <w:color w:val="auto"/>
          <w:kern w:val="0"/>
          <w:sz w:val="28"/>
          <w:szCs w:val="28"/>
          <w:lang w:val="ru-RU" w:eastAsia="en-US" w:bidi="ar-SA"/>
        </w:rPr>
      </w:pPr>
      <w:r>
        <w:rPr>
          <w:rFonts w:eastAsia="Calibri" w:cs="Times New Roman" w:ascii="Times New Roman" w:hAnsi="Times New Roman"/>
          <w:color w:val="auto"/>
          <w:kern w:val="0"/>
          <w:sz w:val="28"/>
          <w:szCs w:val="28"/>
          <w:lang w:val="ru-RU" w:eastAsia="en-US" w:bidi="ar-SA"/>
        </w:rPr>
      </w:r>
    </w:p>
    <w:p>
      <w:pPr>
        <w:pStyle w:val="Normal"/>
        <w:widowControl w:val="false"/>
        <w:spacing w:lineRule="auto" w:line="264" w:before="0" w:after="0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 w:left="0" w:right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 w:left="0" w:right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 w:left="0" w:right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 w:left="0" w:right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 w:left="0" w:right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 w:left="0" w:right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 w:left="0" w:right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 w:left="0" w:right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 w:left="0" w:right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 w:left="0" w:right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 w:left="0" w:right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 w:left="0" w:right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 w:left="0" w:right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 w:left="0" w:right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 w:left="0" w:right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8070" w:leader="none"/>
        </w:tabs>
        <w:spacing w:lineRule="auto" w:line="264" w:before="0" w:after="0"/>
        <w:ind w:firstLine="851" w:left="0" w:righ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 w:val="false"/>
        <w:spacing w:lineRule="auto" w:line="264" w:before="0" w:after="0"/>
        <w:ind w:firstLine="851" w:left="0" w:right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jc w:val="center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  <w:t>Технические требования на поставку МТР</w:t>
      </w:r>
    </w:p>
    <w:p>
      <w:pPr>
        <w:pStyle w:val="Normal"/>
        <w:widowControl w:val="false"/>
        <w:spacing w:lineRule="auto" w:line="264" w:before="0" w:after="0"/>
        <w:jc w:val="center"/>
        <w:rPr>
          <w:sz w:val="28"/>
          <w:szCs w:val="28"/>
        </w:rPr>
      </w:pPr>
      <w:r>
        <w:rPr/>
      </w:r>
    </w:p>
    <w:p>
      <w:pPr>
        <w:pStyle w:val="Style17"/>
        <w:widowControl w:val="false"/>
        <w:spacing w:lineRule="auto" w:line="264" w:before="0" w:after="0"/>
        <w:jc w:val="center"/>
        <w:rPr/>
      </w:pPr>
      <w:r>
        <w:rPr>
          <w:rStyle w:val="Strong"/>
          <w:rFonts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  <w:lang w:eastAsia="ru-RU"/>
        </w:rPr>
        <w:t>ОКПД 2: 31.01.11.160</w:t>
      </w:r>
      <w:r>
        <w:rPr>
          <w:rFonts w:cs="Times New Roman" w:ascii="Times New Roman" w:hAnsi="Times New Roman"/>
          <w:color w:val="000000"/>
          <w:sz w:val="28"/>
          <w:szCs w:val="28"/>
          <w:u w:val="none"/>
          <w:lang w:eastAsia="ru-RU"/>
        </w:rPr>
        <w:t xml:space="preserve"> П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  <w:lang w:eastAsia="ru-RU"/>
        </w:rPr>
        <w:t xml:space="preserve">оставка телекоммуникационного шкафа </w:t>
      </w:r>
      <w:r>
        <w:rPr>
          <w:rFonts w:cs="Times New Roman" w:ascii="Times New Roman" w:hAnsi="Times New Roman"/>
          <w:color w:val="000000"/>
          <w:sz w:val="28"/>
          <w:szCs w:val="28"/>
          <w:u w:val="none"/>
          <w:lang w:eastAsia="ru-RU"/>
        </w:rPr>
        <w:t>для нужд Кубанского филиала.</w:t>
      </w:r>
    </w:p>
    <w:p>
      <w:pPr>
        <w:pStyle w:val="Normal"/>
        <w:widowControl w:val="false"/>
        <w:spacing w:lineRule="auto" w:line="264" w:before="0" w:after="0"/>
        <w:jc w:val="center"/>
        <w:rPr>
          <w:rFonts w:ascii="Times New Roman" w:hAnsi="Times New Roman" w:cs="Times New Roman"/>
          <w:color w:val="000000"/>
          <w:sz w:val="28"/>
          <w:szCs w:val="28"/>
          <w:u w:val="none"/>
          <w:lang w:eastAsia="ru-RU"/>
        </w:rPr>
      </w:pPr>
      <w:r>
        <w:rPr>
          <w:rFonts w:cs="Times New Roman" w:ascii="Times New Roman" w:hAnsi="Times New Roman"/>
          <w:color w:val="000000"/>
          <w:sz w:val="28"/>
          <w:szCs w:val="28"/>
          <w:u w:val="none"/>
          <w:lang w:eastAsia="ru-RU"/>
        </w:rPr>
      </w:r>
    </w:p>
    <w:p>
      <w:pPr>
        <w:pStyle w:val="Normal"/>
        <w:widowControl w:val="false"/>
        <w:spacing w:lineRule="auto" w:line="264" w:before="0" w:after="0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hd w:val="clear" w:fill="FFFFFF"/>
        <w:spacing w:lineRule="auto" w:line="264" w:before="0" w:after="0"/>
        <w:ind w:firstLine="851" w:left="0" w:right="0"/>
        <w:jc w:val="center"/>
        <w:outlineLvl w:val="1"/>
        <w:rPr>
          <w:sz w:val="24"/>
          <w:szCs w:val="24"/>
        </w:rPr>
      </w:pPr>
      <w:bookmarkStart w:id="0" w:name="_Toc125476049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СОДЕРЖАНИЕ</w:t>
      </w:r>
      <w:bookmarkEnd w:id="0"/>
    </w:p>
    <w:p>
      <w:pPr>
        <w:pStyle w:val="Normal"/>
        <w:shd w:val="clear" w:fill="FFFFFF"/>
        <w:tabs>
          <w:tab w:val="clear" w:pos="708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eastAsia="ru-RU"/>
        </w:rPr>
        <w:t>1.Общие сведения………………………………………………………………………….……………..3</w:t>
      </w:r>
    </w:p>
    <w:p>
      <w:pPr>
        <w:pStyle w:val="Normal"/>
        <w:shd w:val="clear" w:fill="FFFFFF"/>
        <w:tabs>
          <w:tab w:val="clear" w:pos="708"/>
          <w:tab w:val="left" w:pos="567" w:leader="none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Calibri" w:ascii="Times New Roman" w:hAnsi="Times New Roman"/>
          <w:color w:val="000000"/>
          <w:sz w:val="24"/>
          <w:szCs w:val="24"/>
        </w:rPr>
        <w:t>1.1.</w:t>
        <w:tab/>
        <w:t>Наименование закупаемой продукции</w:t>
      </w: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……………………………………………………………</w:t>
      </w:r>
      <w:r>
        <w:rPr>
          <w:rFonts w:cs="Calibri" w:ascii="Times New Roman" w:hAnsi="Times New Roman"/>
          <w:color w:val="000000"/>
          <w:sz w:val="24"/>
          <w:szCs w:val="24"/>
        </w:rPr>
        <w:t>3</w:t>
      </w:r>
    </w:p>
    <w:p>
      <w:pPr>
        <w:pStyle w:val="Normal"/>
        <w:shd w:val="clear" w:fill="FFFFFF"/>
        <w:tabs>
          <w:tab w:val="clear" w:pos="708"/>
          <w:tab w:val="left" w:pos="567" w:leader="none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Calibri" w:ascii="Times New Roman" w:hAnsi="Times New Roman"/>
          <w:color w:val="000000"/>
          <w:sz w:val="24"/>
          <w:szCs w:val="24"/>
        </w:rPr>
        <w:t>1.2.</w:t>
        <w:tab/>
        <w:t>Цель использования закупаемой продукции.…………………………………………………….3</w:t>
      </w:r>
    </w:p>
    <w:p>
      <w:pPr>
        <w:pStyle w:val="Normal"/>
        <w:shd w:val="clear" w:fill="FFFFFF"/>
        <w:tabs>
          <w:tab w:val="clear" w:pos="708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2.Требования к продукции.………………………………………………………………………………3</w:t>
      </w:r>
    </w:p>
    <w:p>
      <w:pPr>
        <w:pStyle w:val="Normal"/>
        <w:shd w:val="clear" w:fill="FFFFFF"/>
        <w:tabs>
          <w:tab w:val="clear" w:pos="708"/>
          <w:tab w:val="left" w:pos="567" w:leader="none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Calibri" w:ascii="Times New Roman" w:hAnsi="Times New Roman"/>
          <w:color w:val="000000"/>
          <w:sz w:val="24"/>
          <w:szCs w:val="24"/>
        </w:rPr>
        <w:t>2.1.1</w:t>
        <w:tab/>
        <w:t>Перечень и объем закупаемой продукции………………………………………………………..3</w:t>
      </w:r>
    </w:p>
    <w:p>
      <w:pPr>
        <w:pStyle w:val="Normal"/>
        <w:shd w:val="clear" w:fill="FFFFFF"/>
        <w:tabs>
          <w:tab w:val="clear" w:pos="708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Таблица 1.1 Перечень и объем закупаемой продукции………………………………………………..3</w:t>
      </w:r>
    </w:p>
    <w:p>
      <w:pPr>
        <w:pStyle w:val="Normal"/>
        <w:shd w:val="clear" w:fill="FFFFFF"/>
        <w:tabs>
          <w:tab w:val="clear" w:pos="708"/>
          <w:tab w:val="left" w:pos="567" w:leader="none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Calibri" w:ascii="Times New Roman" w:hAnsi="Times New Roman"/>
          <w:color w:val="000000"/>
          <w:sz w:val="24"/>
          <w:szCs w:val="24"/>
        </w:rPr>
        <w:t>2.1.2</w:t>
        <w:tab/>
        <w:t>Требования к срокам поставки продукции</w:t>
      </w: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……………………………………………………….</w:t>
      </w:r>
      <w:r>
        <w:rPr>
          <w:rFonts w:cs="Calibri" w:ascii="Times New Roman" w:hAnsi="Times New Roman"/>
          <w:color w:val="000000"/>
          <w:sz w:val="24"/>
          <w:szCs w:val="24"/>
          <w:lang w:eastAsia="ru-RU"/>
        </w:rPr>
        <w:t>3</w:t>
      </w:r>
    </w:p>
    <w:p>
      <w:pPr>
        <w:pStyle w:val="Normal"/>
        <w:shd w:val="clear" w:fill="FFFFFF"/>
        <w:tabs>
          <w:tab w:val="clear" w:pos="708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Таблица 2.1 Требования по срокам поставки продукции……………………………………………...3</w:t>
      </w:r>
    </w:p>
    <w:p>
      <w:pPr>
        <w:pStyle w:val="Normal"/>
        <w:shd w:val="clear" w:fill="FFFFFF"/>
        <w:tabs>
          <w:tab w:val="clear" w:pos="708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2.2 Требование к качеству продукции    ………………………………………………………………..3</w:t>
      </w:r>
    </w:p>
    <w:p>
      <w:pPr>
        <w:pStyle w:val="Normal"/>
        <w:shd w:val="clear" w:fill="FFFFFF"/>
        <w:tabs>
          <w:tab w:val="clear" w:pos="708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Таблица 3. Требования к продукции…………………………………………………………………….4</w:t>
      </w:r>
    </w:p>
    <w:p>
      <w:pPr>
        <w:pStyle w:val="Normal"/>
        <w:shd w:val="clear" w:fill="FFFFFF"/>
        <w:tabs>
          <w:tab w:val="clear" w:pos="708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left="0" w:right="0"/>
        <w:outlineLvl w:val="0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120" w:after="60"/>
        <w:ind w:hanging="0" w:left="720" w:right="0"/>
        <w:jc w:val="center"/>
        <w:outlineLvl w:val="0"/>
        <w:rPr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eastAsia="x-none"/>
        </w:rPr>
        <w:t>1. Общ</w:t>
      </w:r>
      <w:bookmarkStart w:id="1" w:name="_Toc75446566"/>
      <w:bookmarkStart w:id="2" w:name="_Toc125473240"/>
      <w:bookmarkStart w:id="3" w:name="_Toc125476050"/>
      <w:bookmarkStart w:id="4" w:name="_Toc51339692"/>
      <w:r>
        <w:rPr>
          <w:rFonts w:cs="Times New Roman" w:ascii="Times New Roman" w:hAnsi="Times New Roman"/>
          <w:b/>
          <w:sz w:val="24"/>
          <w:szCs w:val="24"/>
          <w:lang w:eastAsia="x-none"/>
        </w:rPr>
        <w:t>ие сведения</w:t>
      </w:r>
      <w:bookmarkEnd w:id="1"/>
      <w:bookmarkEnd w:id="2"/>
      <w:bookmarkEnd w:id="3"/>
      <w:bookmarkEnd w:id="4"/>
    </w:p>
    <w:p>
      <w:pPr>
        <w:pStyle w:val="Normal"/>
        <w:numPr>
          <w:ilvl w:val="0"/>
          <w:numId w:val="0"/>
        </w:numPr>
        <w:spacing w:lineRule="auto" w:line="240" w:before="120" w:after="60"/>
        <w:ind w:hanging="0" w:left="720" w:right="0"/>
        <w:jc w:val="center"/>
        <w:outlineLvl w:val="0"/>
        <w:rPr>
          <w:rFonts w:ascii="Times New Roman" w:hAnsi="Times New Roman" w:cs="Times New Roman"/>
          <w:b/>
          <w:lang w:eastAsia="x-none"/>
        </w:rPr>
      </w:pPr>
      <w:r>
        <w:rPr>
          <w:rFonts w:cs="Times New Roman" w:ascii="Times New Roman" w:hAnsi="Times New Roman"/>
          <w:b/>
          <w:lang w:eastAsia="x-none"/>
        </w:rPr>
      </w:r>
    </w:p>
    <w:p>
      <w:pPr>
        <w:pStyle w:val="Normal"/>
        <w:widowControl w:val="false"/>
        <w:numPr>
          <w:ilvl w:val="1"/>
          <w:numId w:val="1"/>
        </w:numPr>
        <w:spacing w:lineRule="auto" w:line="240" w:before="0" w:after="0"/>
        <w:contextualSpacing/>
        <w:outlineLvl w:val="1"/>
        <w:rPr>
          <w:sz w:val="24"/>
          <w:szCs w:val="24"/>
        </w:rPr>
      </w:pPr>
      <w:bookmarkStart w:id="5" w:name="_Toc125473241"/>
      <w:bookmarkStart w:id="6" w:name="_Toc125476051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Наименование закупаемой продукции.</w:t>
      </w:r>
      <w:bookmarkEnd w:id="5"/>
      <w:bookmarkEnd w:id="6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 xml:space="preserve"> 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hanging="0" w:left="0" w:right="0"/>
        <w:contextualSpacing/>
        <w:jc w:val="both"/>
        <w:outlineLvl w:val="1"/>
        <w:rPr/>
      </w:pPr>
      <w:r>
        <w:rPr>
          <w:rStyle w:val="Strong"/>
          <w:rFonts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u w:val="none"/>
          <w:lang w:eastAsia="ru-RU"/>
        </w:rPr>
        <w:t>ОКПД 2: 31.01.11.160</w:t>
      </w: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cs="Times New Roman" w:ascii="Times New Roman" w:hAnsi="Times New Roman"/>
          <w:color w:val="000000"/>
          <w:sz w:val="24"/>
          <w:szCs w:val="24"/>
          <w:u w:val="none"/>
          <w:lang w:eastAsia="ru-RU"/>
        </w:rPr>
        <w:t>П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u w:val="none"/>
          <w:lang w:eastAsia="ru-RU"/>
        </w:rPr>
        <w:t xml:space="preserve">оставка телекоммуникационного шкафа </w:t>
      </w:r>
      <w:r>
        <w:rPr>
          <w:rFonts w:cs="Times New Roman" w:ascii="Times New Roman" w:hAnsi="Times New Roman"/>
          <w:color w:val="000000"/>
          <w:sz w:val="24"/>
          <w:szCs w:val="24"/>
          <w:u w:val="none"/>
          <w:lang w:eastAsia="ru-RU"/>
        </w:rPr>
        <w:t>для нужд Кубанского филиала.</w:t>
      </w: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(далее продукция).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numPr>
          <w:ilvl w:val="1"/>
          <w:numId w:val="1"/>
        </w:numPr>
        <w:spacing w:lineRule="auto" w:line="240" w:before="0" w:after="0"/>
        <w:contextualSpacing/>
        <w:outlineLvl w:val="1"/>
        <w:rPr>
          <w:sz w:val="24"/>
          <w:szCs w:val="24"/>
        </w:rPr>
      </w:pPr>
      <w:bookmarkStart w:id="7" w:name="_Toc125476052"/>
      <w:bookmarkStart w:id="8" w:name="_Toc125473242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Цель использования закупаемой продукции.</w:t>
      </w:r>
      <w:bookmarkEnd w:id="7"/>
      <w:bookmarkEnd w:id="8"/>
    </w:p>
    <w:p>
      <w:pPr>
        <w:pStyle w:val="Normal"/>
        <w:tabs>
          <w:tab w:val="clear" w:pos="708"/>
          <w:tab w:val="left" w:pos="426" w:leader="none"/>
          <w:tab w:val="left" w:pos="993" w:leader="none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Исполнение обязательств по договору подряда № 5-ККГЭС-СМР-2026 от 05.06.26 г. выполнение работ по созданию комплексной системы безопасности на Сенгилеевской ГЭС Каскада Кубанских ГЭС, заключенного между АО «УК ГидроОГК» «Управляющая компания ГидроОГК» и АО «Гидроремонт-ВКК».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120" w:after="0"/>
        <w:ind w:hanging="0" w:left="0" w:right="0"/>
        <w:jc w:val="center"/>
        <w:outlineLvl w:val="0"/>
        <w:rPr>
          <w:sz w:val="24"/>
          <w:szCs w:val="24"/>
        </w:rPr>
      </w:pPr>
      <w:bookmarkStart w:id="9" w:name="_Toc125476056"/>
      <w:bookmarkStart w:id="10" w:name="_Toc125473249"/>
      <w:r>
        <w:rPr>
          <w:rFonts w:cs="Times New Roman" w:ascii="Times New Roman" w:hAnsi="Times New Roman"/>
          <w:b/>
          <w:iCs/>
          <w:sz w:val="24"/>
          <w:szCs w:val="24"/>
          <w:lang w:val="x-none" w:eastAsia="x-none"/>
        </w:rPr>
        <w:t xml:space="preserve">2. </w:t>
      </w:r>
      <w:bookmarkStart w:id="11" w:name="_Toc51339693"/>
      <w:bookmarkStart w:id="12" w:name="_Toc75446573"/>
      <w:r>
        <w:rPr>
          <w:rFonts w:cs="Times New Roman" w:ascii="Times New Roman" w:hAnsi="Times New Roman"/>
          <w:b/>
          <w:iCs/>
          <w:sz w:val="24"/>
          <w:szCs w:val="24"/>
          <w:lang w:val="x-none" w:eastAsia="x-none"/>
        </w:rPr>
        <w:t>Требования к продукции</w:t>
      </w:r>
      <w:bookmarkEnd w:id="11"/>
      <w:bookmarkEnd w:id="12"/>
      <w:r>
        <w:rPr>
          <w:rFonts w:cs="Times New Roman" w:ascii="Times New Roman" w:hAnsi="Times New Roman"/>
          <w:b/>
          <w:iCs/>
          <w:sz w:val="24"/>
          <w:szCs w:val="24"/>
          <w:lang w:eastAsia="x-none"/>
        </w:rPr>
        <w:t>.</w:t>
      </w:r>
      <w:bookmarkEnd w:id="9"/>
      <w:bookmarkEnd w:id="10"/>
    </w:p>
    <w:p>
      <w:pPr>
        <w:pStyle w:val="Normal"/>
        <w:numPr>
          <w:ilvl w:val="0"/>
          <w:numId w:val="0"/>
        </w:numPr>
        <w:spacing w:lineRule="auto" w:line="240" w:before="120" w:after="0"/>
        <w:ind w:hanging="0" w:left="717" w:right="0"/>
        <w:jc w:val="center"/>
        <w:outlineLvl w:val="0"/>
        <w:rPr>
          <w:rFonts w:ascii="Times New Roman" w:hAnsi="Times New Roman" w:cs="Times New Roman"/>
          <w:b/>
          <w:iCs/>
          <w:lang w:eastAsia="x-none"/>
        </w:rPr>
      </w:pPr>
      <w:r>
        <w:rPr>
          <w:rFonts w:cs="Times New Roman" w:ascii="Times New Roman" w:hAnsi="Times New Roman"/>
          <w:b/>
          <w:iCs/>
          <w:lang w:eastAsia="x-none"/>
        </w:rPr>
      </w:r>
    </w:p>
    <w:p>
      <w:pPr>
        <w:pStyle w:val="Normal"/>
        <w:keepNext w:val="true"/>
        <w:numPr>
          <w:ilvl w:val="1"/>
          <w:numId w:val="3"/>
        </w:numPr>
        <w:spacing w:lineRule="auto" w:line="240" w:before="120" w:after="0"/>
        <w:ind w:hanging="567" w:left="567" w:right="0"/>
        <w:outlineLvl w:val="3"/>
        <w:rPr>
          <w:sz w:val="24"/>
          <w:szCs w:val="24"/>
        </w:rPr>
      </w:pPr>
      <w:bookmarkStart w:id="13" w:name="_Toc75446574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>Требования к объемам и срокам постав</w:t>
      </w:r>
      <w:r>
        <w:rPr>
          <w:rFonts w:cs="Times New Roman" w:ascii="Times New Roman" w:hAnsi="Times New Roman"/>
          <w:b/>
          <w:bCs/>
          <w:sz w:val="24"/>
          <w:szCs w:val="24"/>
          <w:lang w:val="x-none" w:eastAsia="x-none"/>
        </w:rPr>
        <w:t>ки</w:t>
      </w:r>
      <w:bookmarkEnd w:id="13"/>
    </w:p>
    <w:p>
      <w:pPr>
        <w:pStyle w:val="Normal"/>
        <w:keepNext w:val="true"/>
        <w:numPr>
          <w:ilvl w:val="2"/>
          <w:numId w:val="2"/>
        </w:numPr>
        <w:tabs>
          <w:tab w:val="clear" w:pos="708"/>
          <w:tab w:val="left" w:pos="567" w:leader="none"/>
        </w:tabs>
        <w:spacing w:lineRule="auto" w:line="240" w:before="120" w:after="0"/>
        <w:ind w:hanging="1227" w:left="1227" w:right="0"/>
        <w:outlineLvl w:val="2"/>
        <w:rPr>
          <w:sz w:val="24"/>
          <w:szCs w:val="24"/>
        </w:rPr>
      </w:pPr>
      <w:bookmarkStart w:id="14" w:name="_Toc75446575"/>
      <w:bookmarkStart w:id="15" w:name="_Toc125473250"/>
      <w:bookmarkStart w:id="16" w:name="_Toc125476057"/>
      <w:r>
        <w:rPr>
          <w:rFonts w:cs="Times New Roman" w:ascii="Times New Roman" w:hAnsi="Times New Roman"/>
          <w:b/>
          <w:sz w:val="24"/>
          <w:szCs w:val="24"/>
          <w:lang w:eastAsia="x-none"/>
        </w:rPr>
        <w:t>Перечень и объем закупаемой продукции</w:t>
      </w:r>
      <w:bookmarkEnd w:id="14"/>
      <w:bookmarkEnd w:id="15"/>
      <w:bookmarkEnd w:id="16"/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240" w:after="0"/>
        <w:ind w:hanging="0" w:left="0" w:right="0"/>
        <w:outlineLvl w:val="0"/>
        <w:rPr>
          <w:sz w:val="24"/>
          <w:szCs w:val="24"/>
        </w:rPr>
      </w:pPr>
      <w:bookmarkStart w:id="17" w:name="_Toc125476058"/>
      <w:bookmarkStart w:id="18" w:name="_Toc75446576"/>
      <w:bookmarkStart w:id="19" w:name="_Toc125473251"/>
      <w:bookmarkStart w:id="20" w:name="_Toc51339695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Таблица </w:t>
      </w:r>
      <w:r>
        <w:rPr>
          <w:rFonts w:cs="Times New Roman" w:ascii="Times New Roman" w:hAnsi="Times New Roman"/>
          <w:b/>
          <w:sz w:val="24"/>
          <w:szCs w:val="24"/>
          <w:lang w:eastAsia="x-none"/>
        </w:rPr>
        <w:t>1.1</w:t>
      </w:r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  <w:r>
        <w:rPr>
          <w:rFonts w:cs="Times New Roman" w:ascii="Times New Roman" w:hAnsi="Times New Roman"/>
          <w:b/>
          <w:sz w:val="24"/>
          <w:szCs w:val="24"/>
          <w:lang w:eastAsia="x-none"/>
        </w:rPr>
        <w:t xml:space="preserve">Перечень </w:t>
      </w:r>
      <w:bookmarkEnd w:id="20"/>
      <w:r>
        <w:rPr>
          <w:rFonts w:cs="Times New Roman" w:ascii="Times New Roman" w:hAnsi="Times New Roman"/>
          <w:b/>
          <w:sz w:val="24"/>
          <w:szCs w:val="24"/>
          <w:lang w:eastAsia="x-none"/>
        </w:rPr>
        <w:t>и объем закупаемой продукции</w:t>
      </w:r>
      <w:bookmarkEnd w:id="17"/>
      <w:bookmarkEnd w:id="18"/>
      <w:bookmarkEnd w:id="19"/>
    </w:p>
    <w:tbl>
      <w:tblPr>
        <w:tblW w:w="10155" w:type="dxa"/>
        <w:jc w:val="left"/>
        <w:tblInd w:w="11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5901"/>
        <w:gridCol w:w="1748"/>
        <w:gridCol w:w="1650"/>
      </w:tblGrid>
      <w:tr>
        <w:trPr/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5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продукции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pacing w:before="0" w:after="0"/>
              <w:contextualSpacing/>
              <w:jc w:val="left"/>
              <w:rPr>
                <w:rFonts w:ascii="Times New Roman" w:hAnsi="Times New Roman" w:cs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5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7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zCs w:val="24"/>
                <w:shd w:fill="auto" w:val="clear"/>
                <w:lang w:val="ru-RU" w:eastAsia="zh-CN" w:bidi="hi-IN"/>
              </w:rPr>
              <w:t>Разобранный напольный ШТК-М-42.6.8-1ААА,  42U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5"/>
              <w:widowControl w:val="false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5"/>
              <w:widowControl w:val="false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0" w:right="0"/>
        <w:outlineLvl w:val="2"/>
        <w:rPr/>
      </w:pPr>
      <w:r>
        <w:rPr/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0" w:right="0"/>
        <w:outlineLvl w:val="2"/>
        <w:rPr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eastAsia="x-none"/>
        </w:rPr>
        <w:t>2.1.2. Требования к срокам поставки продукции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240" w:after="0"/>
        <w:ind w:hanging="0" w:left="0" w:right="0"/>
        <w:outlineLvl w:val="0"/>
        <w:rPr>
          <w:sz w:val="24"/>
          <w:szCs w:val="24"/>
        </w:rPr>
      </w:pPr>
      <w:bookmarkStart w:id="21" w:name="_Toc125473253"/>
      <w:bookmarkStart w:id="22" w:name="_Toc75446579"/>
      <w:bookmarkStart w:id="23" w:name="_Toc125476060"/>
      <w:bookmarkStart w:id="24" w:name="_Toc50125127"/>
      <w:bookmarkStart w:id="25" w:name="_Toc51339697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Таблица </w:t>
      </w:r>
      <w:r>
        <w:rPr>
          <w:rFonts w:cs="Times New Roman" w:ascii="Times New Roman" w:hAnsi="Times New Roman"/>
          <w:b/>
          <w:sz w:val="24"/>
          <w:szCs w:val="24"/>
          <w:lang w:eastAsia="x-none"/>
        </w:rPr>
        <w:t>2.1</w:t>
      </w:r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  <w:bookmarkStart w:id="26" w:name="_Hlk50465284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Требования по срокам </w:t>
      </w:r>
      <w:bookmarkEnd w:id="24"/>
      <w:bookmarkEnd w:id="25"/>
      <w:bookmarkEnd w:id="26"/>
      <w:r>
        <w:rPr>
          <w:rFonts w:cs="Times New Roman" w:ascii="Times New Roman" w:hAnsi="Times New Roman"/>
          <w:b/>
          <w:sz w:val="24"/>
          <w:szCs w:val="24"/>
          <w:lang w:eastAsia="x-none"/>
        </w:rPr>
        <w:t>поставки продукции</w:t>
      </w:r>
      <w:bookmarkEnd w:id="21"/>
      <w:bookmarkEnd w:id="22"/>
      <w:bookmarkEnd w:id="23"/>
      <w:r>
        <w:rPr>
          <w:rFonts w:cs="Times New Roman" w:ascii="Times New Roman" w:hAnsi="Times New Roman"/>
          <w:b/>
          <w:sz w:val="24"/>
          <w:szCs w:val="24"/>
          <w:lang w:eastAsia="x-none"/>
        </w:rPr>
        <w:t xml:space="preserve"> </w:t>
      </w:r>
    </w:p>
    <w:tbl>
      <w:tblPr>
        <w:tblW w:w="10155" w:type="dxa"/>
        <w:jc w:val="left"/>
        <w:tblInd w:w="129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</w:tblPr>
      <w:tblGrid>
        <w:gridCol w:w="870"/>
        <w:gridCol w:w="3551"/>
        <w:gridCol w:w="2238"/>
        <w:gridCol w:w="3495"/>
      </w:tblGrid>
      <w:tr>
        <w:trPr/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Наименование продукции/ партии продукции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Требования к началу срока поставки продукции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8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3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40" w:after="0"/>
              <w:ind w:hanging="0" w:left="57" w:right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40" w:after="0"/>
              <w:ind w:hanging="0" w:left="57" w:right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>
        <w:trPr/>
        <w:tc>
          <w:tcPr>
            <w:tcW w:w="870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  <w:lang w:eastAsia="ru-RU"/>
              </w:rPr>
              <w:t>1.</w:t>
            </w:r>
          </w:p>
        </w:tc>
        <w:tc>
          <w:tcPr>
            <w:tcW w:w="3551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shd w:fill="FFFFFF" w:val="clear"/>
              </w:rPr>
            </w:pPr>
            <w:r>
              <w:rPr>
                <w:rStyle w:val="Strong"/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u w:val="none"/>
                <w:shd w:fill="FFFFFF" w:val="clear"/>
                <w:lang w:eastAsia="ru-RU"/>
              </w:rPr>
              <w:t>ОКПД 2: 31.01.11.160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  <w:lang w:eastAsia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u w:val="none"/>
                <w:shd w:fill="FFFFFF" w:val="clear"/>
                <w:lang w:eastAsia="ru-RU"/>
              </w:rPr>
              <w:t>П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u w:val="none"/>
                <w:shd w:fill="FFFFFF" w:val="clear"/>
                <w:lang w:eastAsia="ru-RU"/>
              </w:rPr>
              <w:t xml:space="preserve">оставка телекоммуникационного шкафа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u w:val="none"/>
                <w:shd w:fill="FFFFFF" w:val="clear"/>
                <w:lang w:eastAsia="ru-RU"/>
              </w:rPr>
              <w:t>для нужд Кубанского филиала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  <w:lang w:eastAsia="ru-RU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(в соответствии с Таблица 1.1 Перечень объемов закупаемой продукции)</w:t>
            </w:r>
          </w:p>
        </w:tc>
        <w:tc>
          <w:tcPr>
            <w:tcW w:w="22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 даты подписания договора</w:t>
            </w:r>
          </w:p>
        </w:tc>
        <w:tc>
          <w:tcPr>
            <w:tcW w:w="3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FFFFFF" w:val="clear"/>
                <w:lang w:eastAsia="ru-RU"/>
              </w:rPr>
              <w:t>в течение 30 календарных дней с даты подписания договора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sz w:val="24"/>
          <w:szCs w:val="24"/>
          <w:lang w:eastAsia="x-none"/>
        </w:rPr>
      </w:pPr>
      <w:r>
        <w:rPr>
          <w:rFonts w:cs="Times New Roman" w:ascii="Times New Roman" w:hAnsi="Times New Roman"/>
          <w:b/>
          <w:sz w:val="24"/>
          <w:szCs w:val="24"/>
          <w:lang w:eastAsia="x-none"/>
        </w:rPr>
      </w:r>
      <w:bookmarkStart w:id="27" w:name="_Toc125476061_Копия_1_Копия_1_Копия_1_Ко"/>
      <w:bookmarkStart w:id="28" w:name="_Toc125473255_Копия_1_Копия_1_Копия_1"/>
      <w:bookmarkStart w:id="29" w:name="_Toc125476061_Копия_1"/>
      <w:bookmarkStart w:id="30" w:name="_Toc125473255_Копия_1"/>
      <w:bookmarkStart w:id="31" w:name="_Toc125476061_Копия_1_Копия_1"/>
      <w:bookmarkStart w:id="32" w:name="_Toc125473255_Копия_1_Копия_1"/>
      <w:bookmarkStart w:id="33" w:name="_Toc125473255_Копия_1_Копия_1_Копия_1_Ко"/>
      <w:bookmarkStart w:id="34" w:name="_Toc125476061_Копия_1_Копия_1_Копия_1"/>
      <w:bookmarkStart w:id="35" w:name="_Toc125476061_Копия_1_Копия_1_Копия_1_Ко"/>
      <w:bookmarkStart w:id="36" w:name="_Toc125473255_Копия_1_Копия_1_Копия_1"/>
      <w:bookmarkStart w:id="37" w:name="_Toc125476061_Копия_1"/>
      <w:bookmarkStart w:id="38" w:name="_Toc125473255_Копия_1"/>
      <w:bookmarkStart w:id="39" w:name="_Toc125476061_Копия_1_Копия_1"/>
      <w:bookmarkStart w:id="40" w:name="_Toc125473255_Копия_1_Копия_1"/>
      <w:bookmarkStart w:id="41" w:name="_Toc125473255_Копия_1_Копия_1_Копия_1_Ко"/>
      <w:bookmarkStart w:id="42" w:name="_Toc125476061_Копия_1_Копия_1_Копия_1"/>
      <w:bookmarkEnd w:id="35"/>
      <w:bookmarkEnd w:id="36"/>
      <w:bookmarkEnd w:id="37"/>
      <w:bookmarkEnd w:id="38"/>
      <w:bookmarkEnd w:id="39"/>
      <w:bookmarkEnd w:id="40"/>
      <w:bookmarkEnd w:id="41"/>
      <w:bookmarkEnd w:id="42"/>
    </w:p>
    <w:p>
      <w:pPr>
        <w:pStyle w:val="Normal"/>
        <w:spacing w:lineRule="auto" w:line="240" w:before="0" w:after="0"/>
        <w:rPr>
          <w:sz w:val="24"/>
          <w:szCs w:val="24"/>
        </w:rPr>
      </w:pPr>
      <w:bookmarkStart w:id="43" w:name="_Toc125476061_Копия_1_Копия_1_Копия_1_Ко"/>
      <w:bookmarkStart w:id="44" w:name="_Toc125473255_Копия_1_Копия_1_Копия_1_Ко"/>
      <w:bookmarkEnd w:id="43"/>
      <w:bookmarkEnd w:id="44"/>
      <w:r>
        <w:rPr>
          <w:rFonts w:cs="Times New Roman" w:ascii="Times New Roman" w:hAnsi="Times New Roman"/>
          <w:b/>
          <w:sz w:val="24"/>
          <w:szCs w:val="24"/>
          <w:lang w:eastAsia="x-none"/>
        </w:rPr>
        <w:t>2.2</w:t>
      </w:r>
      <w:r>
        <w:rPr>
          <w:rFonts w:cs="Times New Roman" w:ascii="Times New Roman" w:hAnsi="Times New Roman"/>
          <w:b/>
          <w:bCs/>
          <w:sz w:val="24"/>
          <w:szCs w:val="24"/>
          <w:lang w:val="x-none" w:eastAsia="x-none"/>
        </w:rPr>
        <w:t xml:space="preserve"> Требования к качеству продукции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bookmarkStart w:id="45" w:name="_Toc125476062_Копия_1"/>
      <w:bookmarkStart w:id="46" w:name="_Toc125473256_Копия_1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>Таблица 3. Требования к</w:t>
      </w:r>
      <w:r>
        <w:rPr>
          <w:rFonts w:cs="Times New Roman" w:ascii="Times New Roman" w:hAnsi="Times New Roman"/>
          <w:b/>
          <w:sz w:val="24"/>
          <w:szCs w:val="24"/>
          <w:lang w:eastAsia="x-none"/>
        </w:rPr>
        <w:t xml:space="preserve"> качеству</w:t>
      </w:r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 продукции</w:t>
      </w:r>
      <w:bookmarkEnd w:id="45"/>
      <w:bookmarkEnd w:id="46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</w:p>
    <w:p>
      <w:pPr>
        <w:pStyle w:val="Normal"/>
        <w:spacing w:lineRule="auto" w:line="240" w:before="0" w:after="0"/>
        <w:rPr>
          <w:i/>
          <w:i/>
          <w:iCs/>
        </w:rPr>
      </w:pPr>
      <w:r>
        <w:rPr>
          <w:rFonts w:eastAsia="Times New Roman" w:cs="Times New Roman" w:ascii="Times New Roman" w:hAnsi="Times New Roman"/>
          <w:b/>
          <w:bCs/>
          <w:i/>
          <w:iCs/>
          <w:sz w:val="24"/>
          <w:szCs w:val="24"/>
          <w:shd w:fill="FFFFFF" w:val="clear"/>
          <w:lang w:eastAsia="ar-SA"/>
        </w:rPr>
        <w:t>Наименование продукции</w:t>
      </w:r>
      <w:r>
        <w:rPr>
          <w:rFonts w:eastAsia="Times New Roman" w:cs="Times New Roman" w:ascii="Times New Roman" w:hAnsi="Times New Roman"/>
          <w:bCs/>
          <w:i/>
          <w:iCs/>
          <w:sz w:val="24"/>
          <w:szCs w:val="24"/>
          <w:shd w:fill="FFFFFF" w:val="clear"/>
          <w:lang w:eastAsia="ar-SA"/>
        </w:rPr>
        <w:t>: согласно Таблицы 1.1 Перечень и объем закупаемой продукции</w:t>
      </w:r>
      <w:r>
        <w:rPr>
          <w:rFonts w:eastAsia="Times New Roman" w:cs="Times New Roman" w:ascii="Times New Roman" w:hAnsi="Times New Roman"/>
          <w:bCs/>
          <w:i/>
          <w:iCs/>
          <w:color w:val="000000"/>
          <w:sz w:val="24"/>
          <w:szCs w:val="24"/>
          <w:shd w:fill="FFFFFF" w:val="clear"/>
          <w:lang w:eastAsia="ru-RU"/>
        </w:rPr>
        <w:t>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Cs/>
          <w:color w:val="000000"/>
          <w:sz w:val="24"/>
          <w:szCs w:val="24"/>
          <w:shd w:fill="FFFFFF" w:val="clear"/>
          <w:lang w:eastAsia="ru-RU"/>
        </w:rPr>
      </w:pP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  <w:shd w:fill="FFFFFF" w:val="clear"/>
          <w:lang w:eastAsia="ru-RU"/>
        </w:rPr>
      </w:r>
    </w:p>
    <w:tbl>
      <w:tblPr>
        <w:tblW w:w="10155" w:type="dxa"/>
        <w:jc w:val="left"/>
        <w:tblInd w:w="46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015"/>
        <w:gridCol w:w="4430"/>
        <w:gridCol w:w="4710"/>
      </w:tblGrid>
      <w:tr>
        <w:trPr>
          <w:trHeight w:val="675" w:hRule="atLeast"/>
        </w:trPr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п/п</w:t>
            </w:r>
          </w:p>
        </w:tc>
        <w:tc>
          <w:tcPr>
            <w:tcW w:w="4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Cs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Наименование параметра</w:t>
            </w:r>
          </w:p>
        </w:tc>
        <w:tc>
          <w:tcPr>
            <w:tcW w:w="4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overflowPunct w:val="true"/>
              <w:bidi w:val="0"/>
              <w:spacing w:lineRule="auto" w:line="240" w:before="0" w:after="0"/>
              <w:ind w:hanging="0" w:left="57" w:right="397"/>
              <w:jc w:val="left"/>
              <w:rPr>
                <w:b/>
                <w:bCs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Требование заказчика</w:t>
            </w:r>
          </w:p>
        </w:tc>
      </w:tr>
      <w:tr>
        <w:trPr>
          <w:trHeight w:val="274" w:hRule="atLeast"/>
        </w:trPr>
        <w:tc>
          <w:tcPr>
            <w:tcW w:w="10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1</w:t>
            </w:r>
          </w:p>
        </w:tc>
        <w:tc>
          <w:tcPr>
            <w:tcW w:w="4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2</w:t>
            </w:r>
          </w:p>
        </w:tc>
        <w:tc>
          <w:tcPr>
            <w:tcW w:w="4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3</w:t>
            </w:r>
          </w:p>
        </w:tc>
      </w:tr>
      <w:tr>
        <w:trPr>
          <w:trHeight w:val="95" w:hRule="atLeast"/>
        </w:trPr>
        <w:tc>
          <w:tcPr>
            <w:tcW w:w="10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Liberation Serif" w:hAnsi="Liberation Serif" w:eastAsia="Times New Roman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1</w:t>
            </w:r>
            <w:r>
              <w:rPr>
                <w:rFonts w:eastAsia="Times New Roman" w:cs="Times New Roman"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.</w:t>
            </w:r>
          </w:p>
        </w:tc>
        <w:tc>
          <w:tcPr>
            <w:tcW w:w="91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Cs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>
          <w:trHeight w:val="47" w:hRule="atLeast"/>
        </w:trPr>
        <w:tc>
          <w:tcPr>
            <w:tcW w:w="10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0" w:right="0"/>
              <w:jc w:val="left"/>
              <w:rPr>
                <w:b/>
                <w:bCs/>
              </w:rPr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1.1</w:t>
            </w:r>
          </w:p>
        </w:tc>
        <w:tc>
          <w:tcPr>
            <w:tcW w:w="91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position w:val="0"/>
                <w:sz w:val="24"/>
                <w:sz w:val="24"/>
                <w:szCs w:val="24"/>
                <w:vertAlign w:val="baseline"/>
                <w:lang w:eastAsia="ar-SA"/>
              </w:rPr>
            </w:pPr>
            <w:r>
              <w:rPr>
                <w:rFonts w:eastAsia="Calibri" w:cs="Tahoma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kern w:val="0"/>
                <w:sz w:val="24"/>
                <w:szCs w:val="24"/>
                <w:u w:val="none"/>
                <w:shd w:fill="auto" w:val="clear"/>
                <w:em w:val="none"/>
              </w:rPr>
              <w:t>Разобранный напольный ШТК-М-42.6.8-1ААА,  42U</w:t>
            </w:r>
          </w:p>
        </w:tc>
      </w:tr>
      <w:tr>
        <w:trPr>
          <w:trHeight w:val="47" w:hRule="atLeast"/>
        </w:trPr>
        <w:tc>
          <w:tcPr>
            <w:tcW w:w="10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1.1.1</w:t>
            </w:r>
          </w:p>
        </w:tc>
        <w:tc>
          <w:tcPr>
            <w:tcW w:w="4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Calibri" w:cs="Tahoma"/>
                <w:sz w:val="24"/>
                <w:szCs w:val="24"/>
                <w:lang w:val="ru-RU" w:eastAsia="ar-SA" w:bidi="ar-SA"/>
              </w:rPr>
            </w:pPr>
            <w:r>
              <w:rPr>
                <w:rFonts w:eastAsia="Calibri" w:cs="Tahoma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Полезная глубина, мм</w:t>
            </w:r>
          </w:p>
        </w:tc>
        <w:tc>
          <w:tcPr>
            <w:tcW w:w="4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Calibri" w:cs="Tahoma"/>
                <w:sz w:val="24"/>
                <w:szCs w:val="24"/>
                <w:lang w:val="ru-RU" w:eastAsia="ar-SA" w:bidi="ar-SA"/>
              </w:rPr>
            </w:pPr>
            <w:r>
              <w:rPr>
                <w:rFonts w:eastAsia="Calibri" w:cs="Tahoma" w:ascii="Times New Roman" w:hAnsi="Times New Roman"/>
                <w:kern w:val="0"/>
                <w:sz w:val="24"/>
                <w:szCs w:val="24"/>
                <w:lang w:val="ru-RU" w:eastAsia="zh-CN" w:bidi="hi-IN"/>
              </w:rPr>
              <w:t>655</w:t>
            </w:r>
          </w:p>
        </w:tc>
      </w:tr>
      <w:tr>
        <w:trPr>
          <w:trHeight w:val="638" w:hRule="atLeast"/>
        </w:trPr>
        <w:tc>
          <w:tcPr>
            <w:tcW w:w="10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pacing w:lineRule="auto" w:line="240" w:before="0" w:after="1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1.1.2</w:t>
            </w:r>
          </w:p>
        </w:tc>
        <w:tc>
          <w:tcPr>
            <w:tcW w:w="4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Calibri" w:cs="Tahoma"/>
                <w:sz w:val="24"/>
                <w:szCs w:val="24"/>
                <w:lang w:val="ru-RU" w:eastAsia="ar-SA" w:bidi="ar-SA"/>
              </w:rPr>
            </w:pPr>
            <w:r>
              <w:rPr>
                <w:rFonts w:eastAsia="Calibri" w:cs="Tahoma" w:ascii="Times New Roman" w:hAnsi="Times New Roman"/>
                <w:kern w:val="0"/>
                <w:sz w:val="24"/>
                <w:szCs w:val="24"/>
                <w:lang w:val="ru-RU" w:eastAsia="zh-CN" w:bidi="hi-IN"/>
              </w:rPr>
              <w:t>Количество дверей</w:t>
            </w:r>
          </w:p>
        </w:tc>
        <w:tc>
          <w:tcPr>
            <w:tcW w:w="4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Calibri" w:cs="Tahoma"/>
                <w:sz w:val="24"/>
                <w:szCs w:val="24"/>
                <w:lang w:val="ru-RU" w:eastAsia="ar-SA" w:bidi="ar-SA"/>
              </w:rPr>
            </w:pPr>
            <w:r>
              <w:rPr>
                <w:rFonts w:eastAsia="Calibri" w:cs="Tahoma" w:ascii="Times New Roman" w:hAnsi="Times New Roman"/>
                <w:kern w:val="0"/>
                <w:sz w:val="24"/>
                <w:szCs w:val="24"/>
                <w:lang w:val="ru-RU" w:eastAsia="zh-CN" w:bidi="hi-IN"/>
              </w:rPr>
              <w:t>1</w:t>
            </w:r>
          </w:p>
        </w:tc>
      </w:tr>
      <w:tr>
        <w:trPr>
          <w:trHeight w:val="151" w:hRule="atLeast"/>
        </w:trPr>
        <w:tc>
          <w:tcPr>
            <w:tcW w:w="10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1.1.3</w:t>
            </w:r>
          </w:p>
        </w:tc>
        <w:tc>
          <w:tcPr>
            <w:tcW w:w="4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Times New Roman" w:hAnsi="Times New Roman" w:eastAsia="Calibri" w:cs="Tahoma"/>
                <w:sz w:val="24"/>
                <w:szCs w:val="24"/>
                <w:lang w:val="ru-RU" w:eastAsia="ar-SA" w:bidi="ar-SA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Количество модулей (U-юнитов) в высоту</w:t>
            </w:r>
          </w:p>
        </w:tc>
        <w:tc>
          <w:tcPr>
            <w:tcW w:w="4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tLeast" w:line="300" w:before="0" w:after="0"/>
              <w:jc w:val="both"/>
              <w:rPr>
                <w:rFonts w:ascii="Times New Roman" w:hAnsi="Times New Roman" w:eastAsia="Calibri" w:cs="Tahoma"/>
                <w:sz w:val="24"/>
                <w:szCs w:val="24"/>
                <w:lang w:val="ru-RU" w:eastAsia="ar-SA" w:bidi="ar-SA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4</w:t>
            </w:r>
            <w:r>
              <w:rPr>
                <w:rFonts w:eastAsia="Calibri" w:cs="Tahoma" w:ascii="Times New Roman" w:hAnsi="Times New Roman"/>
                <w:kern w:val="0"/>
                <w:sz w:val="24"/>
                <w:szCs w:val="24"/>
                <w:lang w:val="ru-RU" w:eastAsia="ar-SA" w:bidi="ar-SA"/>
              </w:rPr>
              <w:t>2</w:t>
            </w:r>
          </w:p>
        </w:tc>
      </w:tr>
      <w:tr>
        <w:trPr>
          <w:trHeight w:val="506" w:hRule="atLeast"/>
        </w:trPr>
        <w:tc>
          <w:tcPr>
            <w:tcW w:w="10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1.1.4</w:t>
            </w:r>
          </w:p>
        </w:tc>
        <w:tc>
          <w:tcPr>
            <w:tcW w:w="4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Times New Roman" w:hAnsi="Times New Roman" w:eastAsia="Calibri" w:cs="Tahoma"/>
                <w:sz w:val="24"/>
                <w:szCs w:val="24"/>
                <w:lang w:val="ru-RU" w:eastAsia="ar-SA" w:bidi="ar-SA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Модель/исполнение</w:t>
            </w:r>
          </w:p>
        </w:tc>
        <w:tc>
          <w:tcPr>
            <w:tcW w:w="4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Times New Roman" w:hAnsi="Times New Roman" w:eastAsia="Calibri" w:cs="Tahoma"/>
                <w:sz w:val="24"/>
                <w:szCs w:val="24"/>
                <w:lang w:val="ru-RU" w:eastAsia="ar-SA" w:bidi="ar-SA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С неподвижной рамой</w:t>
            </w:r>
          </w:p>
        </w:tc>
      </w:tr>
      <w:tr>
        <w:trPr>
          <w:trHeight w:val="310" w:hRule="atLeast"/>
        </w:trPr>
        <w:tc>
          <w:tcPr>
            <w:tcW w:w="10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1.1.5</w:t>
            </w:r>
          </w:p>
        </w:tc>
        <w:tc>
          <w:tcPr>
            <w:tcW w:w="443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Style15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Calibri" w:cs="Tahoma"/>
                <w:sz w:val="24"/>
                <w:szCs w:val="24"/>
                <w:lang w:val="ru-RU" w:eastAsia="ar-SA" w:bidi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zh-CN" w:bidi="hi-IN"/>
              </w:rPr>
              <w:t>Материал дверей</w:t>
            </w:r>
          </w:p>
        </w:tc>
        <w:tc>
          <w:tcPr>
            <w:tcW w:w="4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Calibri" w:cs="Tahoma"/>
                <w:sz w:val="24"/>
                <w:szCs w:val="24"/>
                <w:lang w:val="ru-RU" w:eastAsia="ar-SA" w:bidi="ar-SA"/>
              </w:rPr>
            </w:pPr>
            <w:r>
              <w:rPr>
                <w:rFonts w:eastAsia="Calibri" w:cs="Tahoma" w:ascii="Times New Roman" w:hAnsi="Times New Roman"/>
                <w:sz w:val="24"/>
                <w:szCs w:val="24"/>
                <w:lang w:val="ru-RU" w:eastAsia="ar-SA" w:bidi="ar-SA"/>
              </w:rPr>
            </w:r>
          </w:p>
          <w:p>
            <w:pPr>
              <w:pStyle w:val="Style15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Calibri" w:cs="Tahoma"/>
                <w:sz w:val="24"/>
                <w:szCs w:val="24"/>
                <w:lang w:val="ru-RU" w:eastAsia="ar-SA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Стеклянная с тонированным ударопрочным стеклом</w:t>
            </w:r>
          </w:p>
        </w:tc>
      </w:tr>
      <w:tr>
        <w:trPr>
          <w:trHeight w:val="408" w:hRule="atLeast"/>
        </w:trPr>
        <w:tc>
          <w:tcPr>
            <w:tcW w:w="10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1.1.6</w:t>
            </w:r>
          </w:p>
        </w:tc>
        <w:tc>
          <w:tcPr>
            <w:tcW w:w="4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Calibri" w:cs="Tahoma"/>
                <w:sz w:val="24"/>
                <w:szCs w:val="24"/>
                <w:lang w:val="ru-RU" w:eastAsia="ar-SA" w:bidi="ar-SA"/>
              </w:rPr>
            </w:pPr>
            <w:r>
              <w:rPr>
                <w:rFonts w:eastAsia="Calibri" w:cs="Tahoma" w:ascii="Times New Roman" w:hAnsi="Times New Roman"/>
                <w:kern w:val="0"/>
                <w:sz w:val="24"/>
                <w:szCs w:val="24"/>
                <w:lang w:val="ru-RU" w:eastAsia="zh-CN" w:bidi="hi-IN"/>
              </w:rPr>
              <w:t>Тип вентиляционного блока</w:t>
            </w:r>
          </w:p>
        </w:tc>
        <w:tc>
          <w:tcPr>
            <w:tcW w:w="4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Calibri" w:cs="Tahoma"/>
                <w:sz w:val="24"/>
                <w:szCs w:val="24"/>
                <w:lang w:val="ru-RU" w:eastAsia="ar-SA" w:bidi="ar-SA"/>
              </w:rPr>
            </w:pPr>
            <w:r>
              <w:rPr>
                <w:rFonts w:eastAsia="Calibri" w:cs="Tahoma" w:ascii="Times New Roman" w:hAnsi="Times New Roman"/>
                <w:kern w:val="0"/>
                <w:sz w:val="24"/>
                <w:szCs w:val="24"/>
                <w:lang w:val="ru-RU" w:eastAsia="zh-CN" w:bidi="hi-IN"/>
              </w:rPr>
              <w:t>Активная</w:t>
            </w:r>
          </w:p>
        </w:tc>
      </w:tr>
      <w:tr>
        <w:trPr>
          <w:trHeight w:val="204" w:hRule="atLeast"/>
        </w:trPr>
        <w:tc>
          <w:tcPr>
            <w:tcW w:w="10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1.1.7</w:t>
            </w:r>
          </w:p>
        </w:tc>
        <w:tc>
          <w:tcPr>
            <w:tcW w:w="4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Calibri" w:cs="Tahoma"/>
                <w:sz w:val="24"/>
                <w:szCs w:val="24"/>
                <w:lang w:val="ru-RU" w:eastAsia="ar-SA" w:bidi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zh-CN" w:bidi="hi-IN"/>
              </w:rPr>
              <w:t>Потолочная панель</w:t>
            </w:r>
          </w:p>
        </w:tc>
        <w:tc>
          <w:tcPr>
            <w:tcW w:w="4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Calibri" w:cs="Tahoma"/>
                <w:sz w:val="24"/>
                <w:szCs w:val="24"/>
                <w:lang w:val="ru-RU" w:eastAsia="ar-SA" w:bidi="ar-SA"/>
              </w:rPr>
            </w:pPr>
            <w:r>
              <w:rPr>
                <w:rFonts w:eastAsia="Calibri" w:cs="Tahoma" w:ascii="Times New Roman" w:hAnsi="Times New Roman"/>
                <w:kern w:val="0"/>
                <w:sz w:val="24"/>
                <w:szCs w:val="24"/>
                <w:lang w:val="ru-RU" w:eastAsia="zh-CN" w:bidi="hi-IN"/>
              </w:rPr>
              <w:t xml:space="preserve"> </w:t>
            </w:r>
            <w:r>
              <w:rPr>
                <w:rFonts w:eastAsia="Calibri" w:cs="Tahoma" w:ascii="Times New Roman" w:hAnsi="Times New Roman"/>
                <w:kern w:val="0"/>
                <w:sz w:val="24"/>
                <w:szCs w:val="24"/>
                <w:lang w:val="ru-RU" w:eastAsia="zh-CN" w:bidi="hi-IN"/>
              </w:rPr>
              <w:t>Присутствует</w:t>
            </w:r>
          </w:p>
        </w:tc>
      </w:tr>
      <w:tr>
        <w:trPr>
          <w:trHeight w:val="408" w:hRule="atLeast"/>
        </w:trPr>
        <w:tc>
          <w:tcPr>
            <w:tcW w:w="101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1.1.8</w:t>
            </w:r>
          </w:p>
        </w:tc>
        <w:tc>
          <w:tcPr>
            <w:tcW w:w="443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Calibri" w:cs="Tahoma"/>
                <w:sz w:val="24"/>
                <w:szCs w:val="24"/>
                <w:lang w:val="ru-RU" w:eastAsia="ar-SA" w:bidi="ar-SA"/>
              </w:rPr>
            </w:pPr>
            <w:r>
              <w:rPr>
                <w:rFonts w:eastAsia="Calibri" w:cs="Tahoma" w:ascii="Times New Roman" w:hAnsi="Times New Roman"/>
                <w:kern w:val="0"/>
                <w:sz w:val="24"/>
                <w:szCs w:val="24"/>
                <w:lang w:val="ru-RU" w:eastAsia="zh-CN" w:bidi="hi-IN"/>
              </w:rPr>
              <w:t>Размер, мм</w:t>
            </w:r>
          </w:p>
        </w:tc>
        <w:tc>
          <w:tcPr>
            <w:tcW w:w="4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Calibri" w:cs="Tahoma"/>
                <w:sz w:val="24"/>
                <w:szCs w:val="24"/>
                <w:lang w:val="ru-RU" w:eastAsia="ar-SA" w:bidi="ar-SA"/>
              </w:rPr>
            </w:pPr>
            <w:r>
              <w:rPr>
                <w:rFonts w:eastAsia="Calibri" w:cs="Tahoma" w:ascii="Times New Roman" w:hAnsi="Times New Roman"/>
                <w:kern w:val="0"/>
                <w:sz w:val="24"/>
                <w:szCs w:val="24"/>
                <w:lang w:val="ru-RU" w:eastAsia="zh-CN" w:bidi="hi-IN"/>
              </w:rPr>
              <w:t>Высота 2030</w:t>
            </w:r>
          </w:p>
        </w:tc>
      </w:tr>
      <w:tr>
        <w:trPr>
          <w:trHeight w:val="408" w:hRule="atLeast"/>
        </w:trPr>
        <w:tc>
          <w:tcPr>
            <w:tcW w:w="101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43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position w:val="0"/>
                <w:sz w:val="24"/>
                <w:sz w:val="24"/>
                <w:szCs w:val="24"/>
                <w:vertAlign w:val="baseline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position w:val="0"/>
                <w:sz w:val="24"/>
                <w:sz w:val="24"/>
                <w:szCs w:val="24"/>
                <w:vertAlign w:val="baseline"/>
                <w:lang w:eastAsia="ar-SA"/>
              </w:rPr>
            </w:r>
          </w:p>
        </w:tc>
        <w:tc>
          <w:tcPr>
            <w:tcW w:w="4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Calibri" w:cs="Tahoma"/>
                <w:sz w:val="24"/>
                <w:szCs w:val="24"/>
                <w:lang w:val="ru-RU" w:eastAsia="ar-SA" w:bidi="ar-SA"/>
              </w:rPr>
            </w:pPr>
            <w:r>
              <w:rPr>
                <w:rFonts w:eastAsia="Calibri" w:cs="Tahoma" w:ascii="Times New Roman" w:hAnsi="Times New Roman"/>
                <w:kern w:val="0"/>
                <w:sz w:val="24"/>
                <w:szCs w:val="24"/>
                <w:lang w:val="ru-RU" w:eastAsia="zh-CN" w:bidi="hi-IN"/>
              </w:rPr>
              <w:t>Ширина 600</w:t>
            </w:r>
          </w:p>
        </w:tc>
      </w:tr>
      <w:tr>
        <w:trPr>
          <w:trHeight w:val="408" w:hRule="atLeast"/>
        </w:trPr>
        <w:tc>
          <w:tcPr>
            <w:tcW w:w="101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43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position w:val="0"/>
                <w:sz w:val="24"/>
                <w:sz w:val="24"/>
                <w:szCs w:val="24"/>
                <w:vertAlign w:val="baseline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position w:val="0"/>
                <w:sz w:val="24"/>
                <w:sz w:val="24"/>
                <w:szCs w:val="24"/>
                <w:vertAlign w:val="baseline"/>
                <w:lang w:eastAsia="ar-SA"/>
              </w:rPr>
            </w:r>
          </w:p>
        </w:tc>
        <w:tc>
          <w:tcPr>
            <w:tcW w:w="4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Calibri" w:cs="Tahoma"/>
                <w:sz w:val="24"/>
                <w:szCs w:val="24"/>
                <w:lang w:val="ru-RU" w:eastAsia="ar-SA" w:bidi="ar-SA"/>
              </w:rPr>
            </w:pPr>
            <w:r>
              <w:rPr>
                <w:rFonts w:eastAsia="Calibri" w:cs="Tahoma" w:ascii="Times New Roman" w:hAnsi="Times New Roman"/>
                <w:sz w:val="24"/>
                <w:szCs w:val="24"/>
                <w:lang w:val="ru-RU" w:eastAsia="ar-SA" w:bidi="ar-SA"/>
              </w:rPr>
              <w:t>Глубина 800</w:t>
            </w:r>
          </w:p>
        </w:tc>
      </w:tr>
      <w:tr>
        <w:trPr>
          <w:trHeight w:val="334" w:hRule="atLeast"/>
        </w:trPr>
        <w:tc>
          <w:tcPr>
            <w:tcW w:w="10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Cs/>
              </w:rPr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2.</w:t>
            </w:r>
          </w:p>
        </w:tc>
        <w:tc>
          <w:tcPr>
            <w:tcW w:w="91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Liberation Serif" w:hAnsi="Liberation Serif" w:eastAsia="Times New Roman" w:cs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</w:tr>
      <w:tr>
        <w:trPr>
          <w:trHeight w:val="1770" w:hRule="atLeast"/>
        </w:trPr>
        <w:tc>
          <w:tcPr>
            <w:tcW w:w="10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2.1</w:t>
            </w:r>
          </w:p>
        </w:tc>
        <w:tc>
          <w:tcPr>
            <w:tcW w:w="4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Liberation Serif" w:hAnsi="Liberation Serif" w:eastAsia="Times New Roman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Гарантия, не менее</w:t>
            </w:r>
          </w:p>
        </w:tc>
        <w:tc>
          <w:tcPr>
            <w:tcW w:w="4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val="ru-RU" w:eastAsia="ru-RU" w:bidi="ar-SA"/>
              </w:rPr>
              <w:t>36 месяцев с даты подписания Сторонами соответствующей товарной накладной по форме ТОРГ-12 или Универсального передаточного документа (УПД), но не менее гарантийных обязательств завода-изготовителя.</w:t>
            </w:r>
          </w:p>
        </w:tc>
      </w:tr>
      <w:tr>
        <w:trPr>
          <w:trHeight w:val="1042" w:hRule="atLeast"/>
        </w:trPr>
        <w:tc>
          <w:tcPr>
            <w:tcW w:w="10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2.2</w:t>
            </w:r>
          </w:p>
        </w:tc>
        <w:tc>
          <w:tcPr>
            <w:tcW w:w="91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Liberation Serif" w:hAnsi="Liberation Serif" w:eastAsia="Times New Roman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Условия выполнения гарантийных обязательств поставщика или производителя не должны включать требование привлечения, специально аккредитованных производителем организаций или специалистов.</w:t>
            </w:r>
          </w:p>
        </w:tc>
      </w:tr>
      <w:tr>
        <w:trPr>
          <w:trHeight w:val="510" w:hRule="atLeast"/>
        </w:trPr>
        <w:tc>
          <w:tcPr>
            <w:tcW w:w="10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Cs/>
              </w:rPr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3.</w:t>
            </w:r>
          </w:p>
        </w:tc>
        <w:tc>
          <w:tcPr>
            <w:tcW w:w="91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60" w:after="0"/>
              <w:jc w:val="left"/>
              <w:rPr>
                <w:b/>
                <w:bCs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Требования к комплектации и документам, поставляемым вместе с продукцией</w:t>
            </w:r>
          </w:p>
        </w:tc>
      </w:tr>
      <w:tr>
        <w:trPr>
          <w:trHeight w:val="480" w:hRule="atLeast"/>
        </w:trPr>
        <w:tc>
          <w:tcPr>
            <w:tcW w:w="10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3.1</w:t>
            </w:r>
          </w:p>
        </w:tc>
        <w:tc>
          <w:tcPr>
            <w:tcW w:w="4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Liberation Serif" w:hAnsi="Liberation Serif" w:eastAsia="Times New Roman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Паспорт качества</w:t>
            </w:r>
          </w:p>
        </w:tc>
        <w:tc>
          <w:tcPr>
            <w:tcW w:w="4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2 экземпляра</w:t>
            </w:r>
          </w:p>
        </w:tc>
      </w:tr>
      <w:tr>
        <w:trPr>
          <w:trHeight w:val="801" w:hRule="atLeast"/>
        </w:trPr>
        <w:tc>
          <w:tcPr>
            <w:tcW w:w="10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3.2</w:t>
            </w:r>
          </w:p>
        </w:tc>
        <w:tc>
          <w:tcPr>
            <w:tcW w:w="4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Liberation Serif" w:hAnsi="Liberation Serif" w:eastAsia="Times New Roman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Сертификат соответствия (декларация соответствия)</w:t>
            </w:r>
          </w:p>
        </w:tc>
        <w:tc>
          <w:tcPr>
            <w:tcW w:w="4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Liberation Serif" w:hAnsi="Liberation Serif" w:eastAsia="Times New Roman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2 экземпляра</w:t>
            </w:r>
          </w:p>
        </w:tc>
      </w:tr>
      <w:tr>
        <w:trPr>
          <w:trHeight w:val="795" w:hRule="atLeast"/>
        </w:trPr>
        <w:tc>
          <w:tcPr>
            <w:tcW w:w="10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3.3</w:t>
            </w:r>
          </w:p>
        </w:tc>
        <w:tc>
          <w:tcPr>
            <w:tcW w:w="4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Liberation Serif" w:hAnsi="Liberation Serif" w:eastAsia="Times New Roman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Сертификат страны происхождения (РФ)</w:t>
            </w:r>
          </w:p>
        </w:tc>
        <w:tc>
          <w:tcPr>
            <w:tcW w:w="4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Liberation Serif" w:hAnsi="Liberation Serif" w:eastAsia="Times New Roman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2 экземпляра</w:t>
            </w:r>
          </w:p>
        </w:tc>
      </w:tr>
      <w:tr>
        <w:trPr>
          <w:trHeight w:val="480" w:hRule="atLeast"/>
        </w:trPr>
        <w:tc>
          <w:tcPr>
            <w:tcW w:w="10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3.4</w:t>
            </w:r>
          </w:p>
        </w:tc>
        <w:tc>
          <w:tcPr>
            <w:tcW w:w="4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Liberation Serif" w:hAnsi="Liberation Serif" w:eastAsia="Times New Roman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Упаковочный лист</w:t>
            </w:r>
          </w:p>
        </w:tc>
        <w:tc>
          <w:tcPr>
            <w:tcW w:w="4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Liberation Serif" w:hAnsi="Liberation Serif" w:eastAsia="Times New Roman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1 шт.</w:t>
            </w:r>
          </w:p>
        </w:tc>
      </w:tr>
      <w:tr>
        <w:trPr>
          <w:trHeight w:val="819" w:hRule="atLeast"/>
        </w:trPr>
        <w:tc>
          <w:tcPr>
            <w:tcW w:w="10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Cs/>
              </w:rPr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4.</w:t>
            </w:r>
          </w:p>
        </w:tc>
        <w:tc>
          <w:tcPr>
            <w:tcW w:w="91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Cs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</w:tr>
      <w:tr>
        <w:trPr>
          <w:trHeight w:val="4452" w:hRule="atLeast"/>
        </w:trPr>
        <w:tc>
          <w:tcPr>
            <w:tcW w:w="10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4.1</w:t>
            </w:r>
          </w:p>
        </w:tc>
        <w:tc>
          <w:tcPr>
            <w:tcW w:w="44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Liberation Serif" w:hAnsi="Liberation Serif" w:eastAsia="Times New Roman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Место поставки</w:t>
            </w:r>
          </w:p>
        </w:tc>
        <w:tc>
          <w:tcPr>
            <w:tcW w:w="4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На склад Покупателя по адресу: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Кубанский филиал АО «Гидроремонт – ВКК» в г. Невинномысск, Ставропольский край, Кочубеевский р-н,с.Кочубеевское, АВТОДОРОГА «КАВКАЗ» 246КМ+1200М (СПРАВА) в рабочие дни:с 9-00 до 12-00 и с 13-00 до 16-00 (по местному времени) по предварительному уведомлению по телефону или электронной почте, не позднее предыдущего рабочего дня до прибытия транспорта</w:t>
            </w:r>
          </w:p>
        </w:tc>
      </w:tr>
      <w:tr>
        <w:trPr/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4.2</w:t>
            </w:r>
          </w:p>
        </w:tc>
        <w:tc>
          <w:tcPr>
            <w:tcW w:w="91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  <w:lang w:eastAsia="ru-RU"/>
              </w:rPr>
              <w:t>Условия поставки за счет средств Поставщика</w:t>
            </w:r>
          </w:p>
        </w:tc>
      </w:tr>
      <w:tr>
        <w:trPr/>
        <w:tc>
          <w:tcPr>
            <w:tcW w:w="10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4.3</w:t>
            </w:r>
          </w:p>
        </w:tc>
        <w:tc>
          <w:tcPr>
            <w:tcW w:w="91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  <w:lang w:eastAsia="ru-RU"/>
              </w:rPr>
              <w:t>Продукция должна быть новой, не бывшей в употреблении</w:t>
            </w:r>
          </w:p>
        </w:tc>
      </w:tr>
      <w:tr>
        <w:trPr/>
        <w:tc>
          <w:tcPr>
            <w:tcW w:w="10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4.5</w:t>
            </w:r>
          </w:p>
        </w:tc>
        <w:tc>
          <w:tcPr>
            <w:tcW w:w="91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uppressAutoHyphens w:val="true"/>
              <w:bidi w:val="0"/>
              <w:spacing w:lineRule="auto" w:line="259" w:before="0" w:after="200"/>
              <w:ind w:hanging="0" w:left="57" w:right="0"/>
              <w:contextualSpacing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  <w:lang w:eastAsia="ru-RU"/>
              </w:rPr>
              <w:t xml:space="preserve">Доставка оборудования должна соответствовать установленным требованиям.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Продукция должна поставляться в пригодной для транспортировки упаковке, которая может защитить его от воздействия внешних условий, таких как вода, пыль и т.п., в соответствии с ГОСТ Р 51908-2002 «Общие требования к машинам, приборам и другим техническим изделиям в части условий хранения и транспортирования». Упаковка должна обеспечивать полную сохранность продукции на весь срок его транспортировки с учетом перегрузок и длительного хранения.</w:t>
            </w:r>
          </w:p>
        </w:tc>
      </w:tr>
    </w:tbl>
    <w:p>
      <w:pPr>
        <w:pStyle w:val="BodyText"/>
        <w:spacing w:before="0" w:after="140"/>
        <w:rPr>
          <w:rFonts w:ascii="Times New Roman" w:hAnsi="Times New Roman"/>
          <w:shd w:fill="auto" w:val="clear"/>
        </w:rPr>
      </w:pPr>
      <w:r>
        <w:rPr>
          <w:rFonts w:ascii="Times New Roman" w:hAnsi="Times New Roman"/>
          <w:shd w:fill="auto" w:val="clear"/>
        </w:rPr>
      </w:r>
    </w:p>
    <w:sectPr>
      <w:footerReference w:type="default" r:id="rId2"/>
      <w:type w:val="nextPage"/>
      <w:pgSz w:w="11906" w:h="16838"/>
      <w:pgMar w:left="1134" w:right="624" w:gutter="0" w:header="0" w:top="454" w:footer="0" w:bottom="454"/>
      <w:pgNumType w:fmt="decimal"/>
      <w:formProt w:val="false"/>
      <w:textDirection w:val="lrTb"/>
      <w:docGrid w:type="default" w:linePitch="360" w:charSpace="6144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Liberation Serif">
    <w:altName w:val="Times New Roman"/>
    <w:charset w:val="01"/>
    <w:family w:val="swiss"/>
    <w:pitch w:val="variable"/>
  </w:font>
  <w:font w:name="Segoe U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Times New Roman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0" w:hanging="480"/>
      </w:pPr>
      <w:rPr>
        <w:sz w:val="22"/>
        <w:b/>
        <w:szCs w:val="22"/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2">
    <w:lvl w:ilvl="0">
      <w:start w:val="2"/>
      <w:numFmt w:val="decimal"/>
      <w:lvlText w:val="%1."/>
      <w:lvlJc w:val="left"/>
      <w:pPr>
        <w:tabs>
          <w:tab w:val="num" w:pos="0"/>
        </w:tabs>
        <w:ind w:left="717" w:hanging="360"/>
      </w:pPr>
      <w:rPr>
        <w:sz w:val="24"/>
        <w:b/>
        <w:szCs w:val="24"/>
        <w:bCs/>
        <w:rFonts w:ascii="Times New Roman" w:hAnsi="Times New Roman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92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27" w:hanging="720"/>
      </w:pPr>
      <w:rPr>
        <w:sz w:val="24"/>
        <w:b/>
        <w:szCs w:val="24"/>
        <w:bCs/>
        <w:rFonts w:ascii="Times New Roman" w:hAnsi="Times New Roman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30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737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12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247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322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757" w:hanging="1800"/>
      </w:pPr>
      <w:rPr/>
    </w:lvl>
  </w:abstractNum>
  <w:abstractNum w:abstractNumId="3"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rFonts w:ascii="Times New Roman" w:hAnsi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304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096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248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92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984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136" w:hanging="180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97"/>
        </w:tabs>
        <w:ind w:left="754" w:hanging="397"/>
      </w:pPr>
      <w:rPr/>
    </w:lvl>
    <w:lvl w:ilvl="1">
      <w:start w:val="1"/>
      <w:numFmt w:val="decimal"/>
      <w:lvlText w:val="%2."/>
      <w:lvlJc w:val="left"/>
      <w:pPr>
        <w:tabs>
          <w:tab w:val="num" w:pos="794"/>
        </w:tabs>
        <w:ind w:left="1151" w:hanging="397"/>
      </w:pPr>
      <w:rPr/>
    </w:lvl>
    <w:lvl w:ilvl="2">
      <w:start w:val="1"/>
      <w:numFmt w:val="decimal"/>
      <w:lvlText w:val="%3."/>
      <w:lvlJc w:val="left"/>
      <w:pPr>
        <w:tabs>
          <w:tab w:val="num" w:pos="1191"/>
        </w:tabs>
        <w:ind w:left="1548" w:hanging="397"/>
      </w:pPr>
      <w:rPr/>
    </w:lvl>
    <w:lvl w:ilvl="3">
      <w:start w:val="1"/>
      <w:numFmt w:val="decimal"/>
      <w:lvlText w:val="%4."/>
      <w:lvlJc w:val="left"/>
      <w:pPr>
        <w:tabs>
          <w:tab w:val="num" w:pos="1588"/>
        </w:tabs>
        <w:ind w:left="1945" w:hanging="397"/>
      </w:pPr>
      <w:rPr/>
    </w:lvl>
    <w:lvl w:ilvl="4">
      <w:start w:val="1"/>
      <w:numFmt w:val="decimal"/>
      <w:lvlText w:val="%5."/>
      <w:lvlJc w:val="left"/>
      <w:pPr>
        <w:tabs>
          <w:tab w:val="num" w:pos="1985"/>
        </w:tabs>
        <w:ind w:left="2342" w:hanging="397"/>
      </w:pPr>
      <w:rPr/>
    </w:lvl>
    <w:lvl w:ilvl="5">
      <w:start w:val="1"/>
      <w:numFmt w:val="decimal"/>
      <w:lvlText w:val="%6."/>
      <w:lvlJc w:val="left"/>
      <w:pPr>
        <w:tabs>
          <w:tab w:val="num" w:pos="2381"/>
        </w:tabs>
        <w:ind w:left="2738" w:hanging="397"/>
      </w:pPr>
      <w:rPr/>
    </w:lvl>
    <w:lvl w:ilvl="6">
      <w:start w:val="1"/>
      <w:numFmt w:val="decimal"/>
      <w:lvlText w:val="%7."/>
      <w:lvlJc w:val="left"/>
      <w:pPr>
        <w:tabs>
          <w:tab w:val="num" w:pos="2778"/>
        </w:tabs>
        <w:ind w:left="3135" w:hanging="397"/>
      </w:pPr>
      <w:rPr/>
    </w:lvl>
    <w:lvl w:ilvl="7">
      <w:start w:val="1"/>
      <w:numFmt w:val="decimal"/>
      <w:lvlText w:val="%8."/>
      <w:lvlJc w:val="left"/>
      <w:pPr>
        <w:tabs>
          <w:tab w:val="num" w:pos="3175"/>
        </w:tabs>
        <w:ind w:left="3532" w:hanging="397"/>
      </w:pPr>
      <w:rPr/>
    </w:lvl>
    <w:lvl w:ilvl="8">
      <w:start w:val="1"/>
      <w:numFmt w:val="decimal"/>
      <w:lvlText w:val="%9."/>
      <w:lvlJc w:val="left"/>
      <w:pPr>
        <w:tabs>
          <w:tab w:val="num" w:pos="3572"/>
        </w:tabs>
        <w:ind w:left="3929" w:hanging="397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98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59" w:before="0" w:after="160"/>
      <w:jc w:val="left"/>
    </w:pPr>
    <w:rPr>
      <w:rFonts w:ascii="Calibri" w:hAnsi="Calibri" w:eastAsia="Calibri" w:cs="Tahoma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Title"/>
    <w:next w:val="BodyText"/>
    <w:qFormat/>
    <w:pPr>
      <w:numPr>
        <w:ilvl w:val="0"/>
        <w:numId w:val="0"/>
      </w:numPr>
      <w:outlineLvl w:val="0"/>
    </w:pPr>
    <w:rPr>
      <w:rFonts w:ascii="Liberation Serif" w:hAnsi="Liberation Serif" w:eastAsia="Tahoma" w:cs="Tahoma"/>
      <w:b/>
      <w:bCs/>
      <w:sz w:val="48"/>
      <w:szCs w:val="48"/>
    </w:rPr>
  </w:style>
  <w:style w:type="paragraph" w:styleId="Heading2">
    <w:name w:val="Heading 2"/>
    <w:basedOn w:val="Title"/>
    <w:next w:val="BodyText"/>
    <w:qFormat/>
    <w:pPr>
      <w:numPr>
        <w:ilvl w:val="0"/>
        <w:numId w:val="0"/>
      </w:numPr>
      <w:spacing w:before="200" w:after="120"/>
      <w:outlineLvl w:val="1"/>
    </w:pPr>
    <w:rPr>
      <w:rFonts w:ascii="Liberation Serif" w:hAnsi="Liberation Serif" w:eastAsia="Tahoma" w:cs="Tahoma"/>
      <w:b/>
      <w:bCs/>
      <w:sz w:val="36"/>
      <w:szCs w:val="36"/>
    </w:rPr>
  </w:style>
  <w:style w:type="paragraph" w:styleId="Heading3">
    <w:name w:val="Heading 3"/>
    <w:basedOn w:val="Style12"/>
    <w:next w:val="BodyText"/>
    <w:qFormat/>
    <w:pPr>
      <w:numPr>
        <w:ilvl w:val="0"/>
        <w:numId w:val="0"/>
      </w:numPr>
      <w:spacing w:before="140" w:after="120"/>
      <w:outlineLvl w:val="2"/>
    </w:pPr>
    <w:rPr>
      <w:rFonts w:ascii="Liberation Serif" w:hAnsi="Liberation Serif" w:eastAsia="Tahoma" w:cs="Tahoma"/>
      <w:b/>
      <w:bCs/>
      <w:sz w:val="28"/>
      <w:szCs w:val="28"/>
    </w:rPr>
  </w:style>
  <w:style w:type="paragraph" w:styleId="Heading4">
    <w:name w:val="Heading 4"/>
    <w:basedOn w:val="Style12"/>
    <w:next w:val="BodyText"/>
    <w:qFormat/>
    <w:pPr>
      <w:numPr>
        <w:ilvl w:val="0"/>
        <w:numId w:val="0"/>
      </w:numPr>
      <w:spacing w:before="120" w:after="120"/>
      <w:outlineLvl w:val="3"/>
    </w:pPr>
    <w:rPr>
      <w:rFonts w:ascii="Liberation Serif" w:hAnsi="Liberation Serif" w:eastAsia="Tahoma" w:cs="Tahoma"/>
      <w:b/>
      <w:bCs/>
      <w:sz w:val="24"/>
      <w:szCs w:val="24"/>
    </w:rPr>
  </w:style>
  <w:style w:type="character" w:styleId="DefaultParagraphFont">
    <w:name w:val="Default Paragraph Font"/>
    <w:qFormat/>
    <w:rPr/>
  </w:style>
  <w:style w:type="character" w:styleId="Style5">
    <w:name w:val="Нижний колонтитул Знак"/>
    <w:basedOn w:val="DefaultParagraphFont"/>
    <w:qFormat/>
    <w:rPr>
      <w:rFonts w:ascii="Calibri" w:hAnsi="Calibri" w:eastAsia="Calibri" w:cs="Times New Roman"/>
    </w:rPr>
  </w:style>
  <w:style w:type="character" w:styleId="1">
    <w:name w:val="Нижний колонтитул Знак1"/>
    <w:basedOn w:val="DefaultParagraphFont"/>
    <w:qFormat/>
    <w:rPr/>
  </w:style>
  <w:style w:type="character" w:styleId="Style6">
    <w:name w:val="Текст выноски Знак"/>
    <w:basedOn w:val="DefaultParagraphFont"/>
    <w:link w:val="BalloonText"/>
    <w:qFormat/>
    <w:rPr>
      <w:rFonts w:ascii="Segoe UI" w:hAnsi="Segoe UI" w:cs="Segoe UI"/>
      <w:sz w:val="18"/>
      <w:szCs w:val="18"/>
    </w:rPr>
  </w:style>
  <w:style w:type="character" w:styleId="Linenumber1">
    <w:name w:val="line number1"/>
    <w:qFormat/>
    <w:rPr/>
  </w:style>
  <w:style w:type="character" w:styleId="Linenumber">
    <w:name w:val="line number"/>
    <w:qFormat/>
    <w:rPr/>
  </w:style>
  <w:style w:type="character" w:styleId="Style7">
    <w:name w:val="Символ нумерации"/>
    <w:qFormat/>
    <w:rPr/>
  </w:style>
  <w:style w:type="character" w:styleId="Hyperlink">
    <w:name w:val="Hyperlink"/>
    <w:rPr>
      <w:color w:val="000080"/>
      <w:u w:val="single"/>
    </w:rPr>
  </w:style>
  <w:style w:type="character" w:styleId="Style8">
    <w:name w:val="Маркеры"/>
    <w:qFormat/>
    <w:rPr>
      <w:rFonts w:ascii="OpenSymbol" w:hAnsi="OpenSymbol" w:eastAsia="OpenSymbol" w:cs="OpenSymbol"/>
    </w:rPr>
  </w:style>
  <w:style w:type="character" w:styleId="Style9">
    <w:name w:val="Ссылка указателя"/>
    <w:qFormat/>
    <w:rPr/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Style10">
    <w:name w:val="Текст примечания Знак"/>
    <w:basedOn w:val="DefaultParagraphFont"/>
    <w:link w:val="Annotationtext"/>
    <w:qFormat/>
    <w:rPr>
      <w:sz w:val="20"/>
      <w:szCs w:val="20"/>
    </w:rPr>
  </w:style>
  <w:style w:type="character" w:styleId="Style11">
    <w:name w:val="Тема примечания Знак"/>
    <w:basedOn w:val="Style10"/>
    <w:link w:val="Annotationsubject"/>
    <w:qFormat/>
    <w:rPr>
      <w:b/>
      <w:bCs/>
      <w:sz w:val="20"/>
      <w:szCs w:val="20"/>
    </w:rPr>
  </w:style>
  <w:style w:type="character" w:styleId="Strong">
    <w:name w:val="Strong"/>
    <w:qFormat/>
    <w:rPr>
      <w:b/>
      <w:bCs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">
    <w:name w:val="caption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">
    <w:name w:val="caption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">
    <w:name w:val="caption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">
    <w:name w:val="caption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1">
    <w:name w:val="caption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4">
    <w:name w:val="Колонтитул"/>
    <w:basedOn w:val="Normal"/>
    <w:qFormat/>
    <w:pPr/>
    <w:rPr/>
  </w:style>
  <w:style w:type="paragraph" w:styleId="Footer">
    <w:name w:val="Footer"/>
    <w:basedOn w:val="Normal"/>
    <w:link w:val="Style5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cs="Times New Roman"/>
    </w:rPr>
  </w:style>
  <w:style w:type="paragraph" w:styleId="BalloonText">
    <w:name w:val="Balloon Text"/>
    <w:basedOn w:val="Normal"/>
    <w:link w:val="Style6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15">
    <w:name w:val="Содержимое таблицы"/>
    <w:basedOn w:val="Normal"/>
    <w:qFormat/>
    <w:pPr>
      <w:widowControl w:val="false"/>
      <w:suppressLineNumbers/>
    </w:pPr>
    <w:rPr/>
  </w:style>
  <w:style w:type="paragraph" w:styleId="Style16">
    <w:name w:val="Заголовок таблицы"/>
    <w:basedOn w:val="Style15"/>
    <w:qFormat/>
    <w:pPr>
      <w:jc w:val="center"/>
    </w:pPr>
    <w:rPr>
      <w:b/>
      <w:bCs/>
    </w:rPr>
  </w:style>
  <w:style w:type="paragraph" w:styleId="Style17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ListParagraph">
    <w:name w:val="List Paragraph"/>
    <w:basedOn w:val="Normal"/>
    <w:qFormat/>
    <w:pPr>
      <w:spacing w:before="0" w:after="200"/>
      <w:ind w:hanging="0" w:left="720" w:right="0"/>
      <w:contextualSpacing/>
    </w:pPr>
    <w:rPr/>
  </w:style>
  <w:style w:type="paragraph" w:styleId="TOC2">
    <w:name w:val="TOC 2"/>
    <w:basedOn w:val="Indexheading"/>
    <w:pPr>
      <w:tabs>
        <w:tab w:val="clear" w:pos="708"/>
        <w:tab w:val="right" w:pos="9865" w:leader="dot"/>
      </w:tabs>
      <w:ind w:hanging="0" w:left="283" w:right="0"/>
    </w:pPr>
    <w:rPr/>
  </w:style>
  <w:style w:type="paragraph" w:styleId="TOC1">
    <w:name w:val="TOC 1"/>
    <w:basedOn w:val="Indexheading"/>
    <w:pPr>
      <w:tabs>
        <w:tab w:val="clear" w:pos="708"/>
        <w:tab w:val="right" w:pos="10148" w:leader="dot"/>
      </w:tabs>
    </w:pPr>
    <w:rPr/>
  </w:style>
  <w:style w:type="paragraph" w:styleId="TOC3">
    <w:name w:val="TOC 3"/>
    <w:basedOn w:val="Indexheading"/>
    <w:pPr>
      <w:tabs>
        <w:tab w:val="clear" w:pos="708"/>
        <w:tab w:val="right" w:pos="9581" w:leader="dot"/>
      </w:tabs>
      <w:ind w:hanging="0" w:left="567" w:right="0"/>
    </w:pPr>
    <w:rPr/>
  </w:style>
  <w:style w:type="paragraph" w:styleId="Annotationtext">
    <w:name w:val="annotation text"/>
    <w:basedOn w:val="Normal"/>
    <w:link w:val="Style10"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1"/>
    <w:qFormat/>
    <w:pPr/>
    <w:rPr>
      <w:b/>
      <w:bCs/>
    </w:rPr>
  </w:style>
  <w:style w:type="paragraph" w:styleId="Header">
    <w:name w:val="Header"/>
    <w:basedOn w:val="Style14"/>
    <w:pPr>
      <w:suppressLineNumbers/>
      <w:tabs>
        <w:tab w:val="clear" w:pos="708"/>
        <w:tab w:val="center" w:pos="5074" w:leader="none"/>
        <w:tab w:val="right" w:pos="10148" w:leader="none"/>
      </w:tabs>
    </w:pPr>
    <w:rPr/>
  </w:style>
  <w:style w:type="numbering" w:styleId="123">
    <w:name w:val="Нумерованный 123"/>
    <w:qFormat/>
  </w:style>
  <w:style w:type="numbering" w:styleId="9124036821">
    <w:name w:val="9124036821"/>
    <w:qFormat/>
  </w:style>
  <w:style w:type="numbering" w:styleId="26549995371">
    <w:name w:val="26549995371"/>
    <w:qFormat/>
  </w:style>
  <w:style w:type="numbering" w:styleId="8885772351">
    <w:name w:val="888577235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19838</TotalTime>
  <Application>AlterOffice/2026.2.1.0$Linux_X86_64 LibreOffice_project/f008988ffacaa0b2bf57911c2759d08ca79831df</Application>
  <AppVersion>15.0000</AppVersion>
  <Pages>5</Pages>
  <Words>562</Words>
  <Characters>4077</Characters>
  <CharactersWithSpaces>4528</CharactersWithSpaces>
  <Paragraphs>118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2024-11-20T06:48:00Z</dcterms:created>
  <dc:creator>Бухарев Сергей Викторович</dc:creator>
  <dc:description/>
  <dc:language>ru-RU</dc:language>
  <cp:lastModifiedBy>velikosvyatnn@corp.gidroogk.com</cp:lastModifiedBy>
  <cp:lastPrinted>2025-09-11T13:24:04Z</cp:lastPrinted>
  <dcterms:modified xsi:type="dcterms:W3CDTF">2026-09-17T14:05:32Z</dcterms:modified>
  <cp:revision>161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