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                                              </w:t>
      </w:r>
      <w:r>
        <w:rPr>
          <w:b/>
          <w:bCs/>
        </w:rPr>
        <w:t>Техническое Задание</w:t>
      </w:r>
    </w:p>
    <w:p>
      <w:pPr>
        <w:pStyle w:val="Normal"/>
        <w:ind w:hanging="0" w:start="-142" w:end="283"/>
        <w:jc w:val="center"/>
        <w:rPr>
          <w:sz w:val="18"/>
          <w:szCs w:val="18"/>
        </w:rPr>
      </w:pPr>
      <w:r>
        <w:rPr>
          <w:rFonts w:cs="Times New Roman" w:ascii="Times New Roman" w:hAnsi="Times New Roman"/>
          <w:bCs/>
          <w:color w:val="000080"/>
          <w:sz w:val="18"/>
          <w:szCs w:val="18"/>
        </w:rPr>
        <w:t xml:space="preserve">Выполнение работ по </w:t>
      </w:r>
      <w:r>
        <w:rPr>
          <w:rFonts w:cs="Times New Roman" w:ascii="Times New Roman" w:hAnsi="Times New Roman"/>
          <w:color w:val="000080"/>
          <w:sz w:val="18"/>
          <w:szCs w:val="18"/>
        </w:rPr>
        <w:t>оснащению категорированных объектов инженерно-техническими системами обеспечения транспортной безопасности объектов транспортной инфраструктуры в</w:t>
      </w:r>
      <w:r>
        <w:rPr>
          <w:rFonts w:cs="Times New Roman" w:ascii="Times New Roman" w:hAnsi="Times New Roman"/>
          <w:b/>
          <w:bCs/>
          <w:color w:val="000080"/>
          <w:sz w:val="18"/>
          <w:szCs w:val="18"/>
        </w:rPr>
        <w:t xml:space="preserve"> </w:t>
      </w:r>
      <w:r>
        <w:rPr>
          <w:rFonts w:cs="Times New Roman" w:ascii="Times New Roman" w:hAnsi="Times New Roman"/>
          <w:color w:val="000080"/>
          <w:sz w:val="18"/>
          <w:szCs w:val="18"/>
        </w:rPr>
        <w:t>Кстовском муниципальном округе Нижегородской области:</w:t>
      </w:r>
      <w:r>
        <w:rPr>
          <w:rFonts w:cs="Times New Roman" w:ascii="Times New Roman" w:hAnsi="Times New Roman"/>
          <w:iCs/>
          <w:color w:val="000080"/>
          <w:sz w:val="18"/>
          <w:szCs w:val="18"/>
        </w:rPr>
        <w:t xml:space="preserve"> Путепровод (22 ОП РЗ 22К-0102) Нижний Новгород - Кстово на км 2+705 (1 категория), Путепровод через Горьковскую ж/д на км 3+028 (22 ОП РЗ 22К-0102) а/д Нижний Новгород – Кстово (1 категория), Мост ч/р р.Черная на км 5+606 (22 ОП РЗ 22К-0102) а/д Нижний Новгород – Кстово (3 категория).</w:t>
      </w:r>
    </w:p>
    <w:p>
      <w:pPr>
        <w:pStyle w:val="Normal"/>
        <w:rPr/>
      </w:pPr>
      <w:r>
        <w:rPr/>
      </w:r>
    </w:p>
    <w:tbl>
      <w:tblPr>
        <w:tblW w:w="10065" w:type="dxa"/>
        <w:jc w:val="start"/>
        <w:tblInd w:w="-14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26"/>
        <w:gridCol w:w="7939"/>
      </w:tblGrid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1. Наименования объекта 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Путепровод (22 ОП РЗ 22К-0102) Нижний Новгород - Кстово на км 2+705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(1 категория),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Путепровод через Горьковскую ж/д на км 3+028 (22 ОП РЗ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22К-0102) а/д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Нижний Новгород – Кстово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(1 категория), Мост ч/р р.Черная на км 5+606 (22 ОП РЗ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22К-0102) а/д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Нижний Новгород – Кстово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(3 категория).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2. Описание объекта выполнения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Оснащение категорированного объекта транспортной инфраструктуры инженерно-техническими системами (средствами) обеспечения транспортной безопасности на автомобильных дорогах Кстовском муниципальном округе Нижегородской области: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Путепровод (22 ОП РЗ 22К-0102) Нижний Новгород - Кстово на км 2+705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(1 категория),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Путепровод через Горьковскую ж/д на км 3+028 (22 ОП РЗ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22К-0102) а/д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Нижний Новгород – Кстово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(1 категория), Мост ч/р р.Черная на км 5+606 (22 ОП РЗ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22К-0102) а/д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Нижний Новгород – Кстово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(3 категория).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3. Основание для выполнения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3.1. Федеральный закон от 09.02.2007 г. № 16-ФЗ «О транспортной безопасности».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3.2. Федеральный закон от 06.03.2006 г. № 35-ФЗ «О противодействии терроризму».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3.3. Постановление Правительства Российской Федерации от 21.12.2020г. № 2201 "Об утверждении требований по обеспечению транспортной безопасности, в том числе требований к антитеррористической защищенности объектов (территорий), учитывающих уровни безопасности для различных категорий объектов транспортной инфраструктуры дорожного хозяйства".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3.4. Постановление Правительства Российской Федерации от 26.09.2016г. №969 «Об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безопасности».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3.5. Распоряжение Правительства Российской Федерации от 18.09.2023г. №1518–р «Об утверждении перечня работ, связанных с обеспечением транспортной безопасности».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3.6. Постановление Правительства Российской Федерации </w:t>
              <w:br/>
              <w:t>от 14.11.2022г. №2051 «Об утверждении Правил обращения со сведениями о результатах проведенной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со сведениями, содержащимися в планах и паспортах обеспечения транспортной безопасности объектов транспортной инфраструктуры и (или) транспортных средств, которые являются информацией ограниченного доступа, и Правил проверки субъектом транспортной инфраструктуры сведений в отношении лиц, принимаемых на работу, непосредственно связанную с обеспечением транспортной безопасности, или выполняющих такую работу».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3.6. План обеспечения транспортной безопасности (с внесенными изменениями/дополнениями).</w:t>
            </w:r>
          </w:p>
        </w:tc>
      </w:tr>
      <w:tr>
        <w:trPr/>
        <w:tc>
          <w:tcPr>
            <w:tcW w:w="21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4. Цели и задачи выполнения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Оснащение объекта транспортной инфраструктуры инженерно-техническими системами обеспечения транспортной безопасности, обеспечивающими требования к антитеррористической защищенности объектов транспортной инфраструктуры.</w:t>
            </w:r>
          </w:p>
        </w:tc>
      </w:tr>
      <w:tr>
        <w:trPr/>
        <w:tc>
          <w:tcPr>
            <w:tcW w:w="21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ind w:firstLine="360" w:start="0" w:end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Инженерно-технические системы обеспечения транспортной безопасности (ИТСОТБ) должны выполнять следующие задачи: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непрерывное функционирование ПУ ОТБ ОТИ;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33094410"/>
            <w:bookmarkEnd w:id="0"/>
            <w:r>
              <w:rPr>
                <w:rFonts w:cs="Times New Roman" w:ascii="Times New Roman" w:hAnsi="Times New Roman"/>
                <w:sz w:val="18"/>
                <w:szCs w:val="18"/>
              </w:rPr>
              <w:t>- накопление, обработку и хранение в электронном виде данных с технических средств ОТБ;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bookmarkStart w:id="1" w:name="_Hlk33094410_Копия_1"/>
            <w:bookmarkEnd w:id="1"/>
            <w:r>
              <w:rPr>
                <w:rFonts w:cs="Times New Roman" w:ascii="Times New Roman" w:hAnsi="Times New Roman"/>
                <w:sz w:val="18"/>
                <w:szCs w:val="18"/>
              </w:rPr>
              <w:t>- аудио- и видеозапись в целях документирования действий сил обеспечения транспортной безопасности на КПП и постах ОТИ, а также ПУ ОТБ ОТИ;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осуществление на КПП и постах ОТИ документирования перемещения служебного оружия работниками ПТБ, обладающими правом на его ношение, через границы ЗТБ ОТИ или ее части;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идентификацию физических лиц и (или) транспортных средств, являющихся объектами видеонаблюдения, на основании данных видеонаблюдения (далее-видеоиндентификация) при их перемещении через КПП, посты на границах ЗТБ, ее частей, а также на КЭ ОТИ;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обнаружение физических лиц и транспортных средств, являющихся объектами видеонаблюдения, в заданном месте и в заданное время (далее - видео мониторинг) на периметре ЗТБ ОТИ;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передачу данных с систем видеонаблюдения в соответствии с порядком передачи данных;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хранение в электронном виде данных с технических средств обеспечения транспортной безопасности, имеющих для этого технические возможности, в течение одного месяца;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выявление нарушителя, в том числе оснащенного специальными средствами для проникновения на ОТИ, в реальном времени на периметре внешних границ КЭ ОТИ;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 интеграцию и (или) совместное применение технических средств обеспечения транспортной безопасности с учетом технических характеристик инженерных систем и сооружений, препятствующих проникновению нарушителя в ЗТБ ОТИ (при наличии технической возможности);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- интеграцию взаимодействия центрального оборудования ССОИ с единым центром мониторинга АПК Безопасного Города (ЦМК).</w:t>
            </w:r>
          </w:p>
        </w:tc>
      </w:tr>
      <w:tr>
        <w:trPr>
          <w:trHeight w:val="360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firstLine="142" w:start="0" w:end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5. Заказчик 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hanging="0" w:start="0" w:end="-39"/>
              <w:contextualSpacing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Государственное казенное учреждение Нижегородской области «Главное управление автомобильных дорог»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6. Местоположение   объекта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hanging="0" w:start="0" w:end="-39"/>
              <w:contextualSpacing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Кстовский муниципальный округ Нижегородской области: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Путепровод (22 ОП РЗ 22К-0102) Нижний Новгород - Кстово на км 2+705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(1 категория),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Путепровод через Горьковскую ж/д на км 3+028 (22 ОП РЗ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22К-0102) а/д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Нижний Новгород – Кстово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(1 категория), Мост ч/р р.Черная на км 5+606 (22 ОП РЗ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22К-0102) а/д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Нижний Новгород – Кстово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(3 категория).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7. Сроки выполнения работ: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Начало выполнения работ – с даты заключения Контракта.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Окончание выполнения работ – 31.07.2027 года.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8. Исходные данные, предоставляемые Заказчиком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 xml:space="preserve">    </w:t>
            </w: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>В соответствии с Постановлениями Правительства Российской Федерации от 14.11.2022г.N2049 и от 14.11.2022г. №2051 установлен порядок обращения со сведениями о результатах проведенной оценки уязвимости объектов транспортной инфраструктуры и транспортных средств и сведениями, содержащимися в планах обеспечения транспортной безопасности объектов транспортной инфраструктуры и транспортных средств.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 xml:space="preserve">    </w:t>
            </w: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>Проектная документация разработана с учетом проведенной оценки уязвимости и утвержденного плана обеспечения транспортной безопасности объекта транспортной инфраструктуры и соответственно также является информацией ограниченного доступа.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 xml:space="preserve">    </w:t>
            </w: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>Согласно Постановлениям Правительства Российской Федерации от 14.11.2022г.N2049 и от 14.11.2022г. №2051, работа с носителями информации ограниченного доступа выполняется при помощи специально выделенных для этих целей средств вычислительной техники или оборудования, не подключенных к информационно-телекоммуникационным сетям и находящихся в помещениях субъекта транспортной инфраструктуры или специализированной организации, в которые возможность доступа сторонних лиц должна быть исключена. В связи с указанными обстоятельствами проектная и рабочая документация объекта транспортной инфраструктуры не опубликована на официальном сайте Единой информационной системы в сфере закупок www.zakupki.gov.ru.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 xml:space="preserve">   </w:t>
            </w:r>
            <w:r>
              <w:rPr>
                <w:rFonts w:cs="Times New Roman" w:ascii="Times New Roman" w:hAnsi="Times New Roman"/>
                <w:bCs/>
                <w:sz w:val="18"/>
                <w:szCs w:val="18"/>
              </w:rPr>
              <w:t>Ознакомление с проектной документацией производится на основании письменного обращения в адрес ГКУ НО «ГУАД» по адресу: 603086,  г.Н.Новгород,  ул. Керченская,  дом  № 12. Лицо, направленное для ознакомления с документами, должно иметь доверенность и быть аттестованным в качестве работника, непосредственно связанным с обеспечением транспортной безопасности, иметь при себе паспорт гражданина для оформления пропуска на территорию субъекта транспортной инфраструктуры.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9. Состав комплекса инженерно-техническими системами   обеспечения транспортной безопасности</w:t>
            </w:r>
          </w:p>
          <w:p>
            <w:pPr>
              <w:pStyle w:val="Normal"/>
              <w:spacing w:before="0" w:after="0"/>
              <w:ind w:firstLine="360" w:start="0" w:end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В состав комплекса ИТСОТБ входят следующие системы: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1.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Книга 1.   Общая пояснительная записка.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2.  Книга 1.1.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 Система передачи данных и информации.</w:t>
            </w:r>
          </w:p>
          <w:p>
            <w:pPr>
              <w:pStyle w:val="Normal"/>
              <w:widowControl w:val="false"/>
              <w:spacing w:before="0" w:after="0"/>
              <w:ind w:hanging="0" w:start="-284" w:end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Fonts w:eastAsia="SimSun;宋体" w:cs="Times New Roman" w:ascii="Times New Roman" w:hAnsi="Times New Roman"/>
                <w:iCs/>
                <w:color w:val="000000"/>
                <w:kern w:val="2"/>
                <w:sz w:val="18"/>
                <w:szCs w:val="18"/>
                <w:lang w:eastAsia="zh-CN" w:bidi="hi-IN"/>
              </w:rPr>
              <w:t>3.  Книга 1.2. Система сбора и обработки информации.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4.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  Книга 1.3. Система охранная телевизионная.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5.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1.4. Система контроля и управления доступом.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6.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1.5. Система охранной сигнализации.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7.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1.6. Система громкоговорящего оповещения.</w:t>
            </w:r>
          </w:p>
          <w:p>
            <w:pPr>
              <w:pStyle w:val="Normal"/>
              <w:spacing w:before="0" w:after="0"/>
              <w:ind w:hanging="0" w:start="-264" w:end="-113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8.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1.7. Система электроснабжения.</w:t>
            </w:r>
          </w:p>
          <w:p>
            <w:pPr>
              <w:pStyle w:val="Normal"/>
              <w:spacing w:before="0" w:after="0"/>
              <w:ind w:hanging="0" w:start="-284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9.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  Книга 1.8. Система охранного освещения.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10.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4.1. Инженерные сооружения.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11.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 </w:t>
            </w:r>
            <w:bookmarkStart w:id="2" w:name="_Hlk228790929"/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 Книга 4.2. </w:t>
            </w:r>
            <w:bookmarkEnd w:id="2"/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Единый пункт управления обеспечением транспортной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без  безопасностью.</w:t>
            </w:r>
          </w:p>
          <w:p>
            <w:pPr>
              <w:pStyle w:val="Normal"/>
              <w:widowControl w:val="false"/>
              <w:spacing w:before="0" w:after="0"/>
              <w:ind w:hanging="0" w:start="-426" w:end="0"/>
              <w:jc w:val="both"/>
              <w:textAlignment w:val="baseline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kern w:val="2"/>
                <w:sz w:val="18"/>
                <w:szCs w:val="18"/>
                <w:lang w:bidi="hi-IN"/>
              </w:rPr>
              <w:t>12.</w:t>
            </w:r>
            <w:r>
              <w:rPr>
                <w:rFonts w:eastAsia="SimSun;宋体" w:cs="Times New Roman" w:ascii="Times New Roman" w:hAnsi="Times New Roman"/>
                <w:iCs/>
                <w:color w:val="000000"/>
                <w:kern w:val="2"/>
                <w:sz w:val="18"/>
                <w:szCs w:val="18"/>
                <w:lang w:eastAsia="zh-CN" w:bidi="hi-IN"/>
              </w:rPr>
              <w:t xml:space="preserve">  Книга 5.1. Проект организации строительства.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13. </w:t>
            </w:r>
            <w:bookmarkStart w:id="3" w:name="_Hlk228791313"/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Книга 7.1. </w:t>
            </w:r>
            <w:bookmarkEnd w:id="3"/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Мероприятия по обеспечению пожарной безопасности.</w:t>
            </w:r>
          </w:p>
          <w:p>
            <w:pPr>
              <w:pStyle w:val="Normal"/>
              <w:spacing w:before="0" w:after="0"/>
              <w:ind w:hanging="0" w:start="0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9.1. Сводный сметный расчет. Ча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с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ть1.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15.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9.2. Сводный сметный расчет. Часть2.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16.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9.3.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 Перечень цен, прайс-листы.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17.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Книга 9.4.Конъюктурный анализ стоимости оборудования и материалов.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18.  Книга 9.5. Ведомости объемов работ.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19.  Книга 10.1. Программа проведения и график выполнения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пусконаладочных работ.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20.  Книга 10.2. Сведения о реестровых записях и сертификатах.</w:t>
            </w:r>
          </w:p>
          <w:p>
            <w:pPr>
              <w:pStyle w:val="Normal"/>
              <w:spacing w:before="0" w:after="0"/>
              <w:ind w:hanging="0" w:start="-426" w:end="141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18"/>
                <w:szCs w:val="18"/>
              </w:rPr>
              <w:t>21.  Книга 10.3. Инженерно-геодезические изыскания.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10.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Стадии выполнения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 выполняет следующие работы: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10.1.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Разработка рабочей документации (Согласование с Заказчиком).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Подрядчик разрабатывает рабочую документацию на оснащение ОТИ инженерно-техническими средствами (системами) обеспечения транспортной безопасности в течении 30 календарных дней после заключения государственного контракта.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Подрядчик представляет рабочую документацию не позднее, чем за 10 (десять) рабочих дней до начала производства конкретного вида работ на согласование Заказчику. Срок согласования заказчиком составляет 3 (три) рабочих дня.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При наличии замечаний Заказчика, Подрядчик обязан внести изменения в рабочую документацию, в сроки, установленные Заказчиком. 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Вне зависимости от того, когда в ходе исполнения настоящего Контракта будут выявлены недостатки проведения работ по разработке рабочей документации Подрядчик, устраняет их в сроки, устанавливаемые Заказчиком.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10.2. Подготовительные работы (проект производства работ, схемы организации дорожного движения и ограждение мест производства краткосрочных работ).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10.3. Доставка оборудования.</w:t>
            </w:r>
          </w:p>
          <w:p>
            <w:pPr>
              <w:pStyle w:val="Normal"/>
              <w:spacing w:before="0" w:after="0"/>
              <w:ind w:firstLine="360" w:start="0" w:end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10.4. Строительно-монтажные работы.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10.5. Пуско-наладочные работы.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10.6. Разработка исполнительной документации.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10.7. Разработка эксплуатационной документации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10.8. Приемо-сдаточные испытания. Ввод комплекса инженерно-технических средств (систем) обеспечения транспортной безопасности в эксплуатацию.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10.9. Проведение обучения сотрудников подразделений транспортной безопасности работе с оборудованием (инженерно-техническими системами обеспечения транспортной безопасности), установленным на объекте.</w:t>
            </w:r>
          </w:p>
        </w:tc>
      </w:tr>
      <w:tr>
        <w:trPr/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11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. </w:t>
            </w: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Состав и виды и объём выполняемых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hanging="0" w:start="95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Система защиты объекта транспортной инфраструктуры должна обеспечивать круглосуточное непрерывное функционирование постов (пунктов) управления обеспечением транспортной безопасности ОТИ, а также накопление, обработку и хранение в электронном виде данных со всех технических средств обеспечения транспортной безопасности и передачу указанных данных в соответствии с установленным порядком и утвержденными планами обеспечения транспортной безопасности, должна быть модульной и иметь функциональную взаимосвязь всех входящих в него систем, как на программном, так и аппаратном уровнях. Система защиты должна иметь возможность различного конфигурирования – от интеграции систем, включающих в себя несколько подсистем, объединённых на основе локальной вычислительной сети, до автономно работающих мини-систем и отдельных модулей, из которых возможна компоновка системы, соответствующей текущим задачам обеспечения безопасности объекта.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Объём выполняемых работ:</w:t>
            </w:r>
            <w:r>
              <w:rPr>
                <w:rFonts w:cs="Times New Roman"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>в соответствии с Описанием объекта закупки и сметной документацией.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11.1. Состав производимых работ по установке оборудования системы сбора и обработки информации, мониторинга: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подготовительные работы, разметка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прокладка кабельных линий, в т.ч. оптоволоконных;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сварка оптического кабеля, коммутация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маркировка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тестирование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и подключение распределительных щитов;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и подключение стоек аппаратных, серверного и сетевого оборудования;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и настройка общего и специального серверного ПО;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оборудования и ПО автоматизированного рабочего места оператора.</w:t>
            </w:r>
          </w:p>
          <w:p>
            <w:pPr>
              <w:pStyle w:val="Normal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Поставляемое (предустановленное) программное обеспечение должно быть включено в Единый реестр российских программ для электронных вычислительных машин и баз данных и (или) реестр евразийского программного обеспечения в соответствии с постановлением Правительства Российской Федерации от 16.11.2015 № 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11.2. Состав производимых работ по установке оборудования системы видеонаблюдения: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подготовительные работы;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разметка мест установки видеокамер;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прокладка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маркировка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тестирование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 видеокамер;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подключение подводящих кабелей, тестирование;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включение, первичная настройка и юстировка видеокамер.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11.3. Состав производимых работ по установке оборудования системы контроля и управления доступом: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подготовительные работы;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прокладка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маркировка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тестирование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и подключение исполнительных устройств;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и подключение контроллеров доступа.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11.4. Состав производимых работ по установке оборудования системы громкоговорящего оповещения: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подготовительные работы;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прокладка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маркировка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маркировка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тестирование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оборудования;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коммутация кабельных линий и оборудования;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 громкоговорителей и подключение к ним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включение и юстировка громкоговорителей и усилителей.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11.5. Состав производимых работ при прокладке кабельных линий и установке оборудования электроснабжения: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подготовительные работы, разметка мест прокладки кабельных линий и оборудования;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прокладка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маркировка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тестирование кабельных линий;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контуров заземления;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 ВРУ;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и подключение оборудования электроснабжения;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установка дизельной генераторной установки и подключение кабельных линий к АВР;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включение и юстировка оборудования электроснабжения;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настройка работы АВР;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подключение электрических потребителей.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11.9. Состав производимых работ при установке инженерных сооружений обеспечения транспортной безопасности: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подготовительные работы, разметка мест для установки информационных знаков;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 информационных знаков.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 xml:space="preserve">11.10. Пусконаладочные работы: 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локальные пусконаладочные работы по системам;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объектовые пусконаладочные работы;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772" w:leader="none"/>
              </w:tabs>
              <w:spacing w:lineRule="auto" w:line="240" w:before="0" w:after="0"/>
              <w:ind w:hanging="940" w:start="1287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разработка эксплуатационной документации.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11.12. Разработка исполнительной документации.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sz w:val="18"/>
                <w:szCs w:val="18"/>
                <w:u w:val="single"/>
              </w:rPr>
              <w:t>11.13. Приемо-сдаточные испытания. Ввод комплекса ИТСОТБ в эксплуатацию.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 без дополнительной оплаты разрабатывает Программу и методику приемо-сдаточных испытаний и утверждает у Заказчика.</w:t>
            </w:r>
          </w:p>
        </w:tc>
      </w:tr>
      <w:tr>
        <w:trPr>
          <w:trHeight w:val="1154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12. Условия выполнения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Подрядчик несет ответственность за выполнение собственным персоналом требований: 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Федерального закона Российской Федерации № 16-ФЗ «О транспортной безопасности» от 09.02.2007 года;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 разрабатывает календарный график работ и согласовывает с Заказчиком, который не противоречит графику выполнения строительно-монтажных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Последовательность и сроки выполнения работ определяются Календарным графиком выполнения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 не позднее, чем за 10 (десять) рабочих дней до начала производства работ без дополнительной оплаты должен разработать проект производства работ, включающий технологические карты, регламентирующие технологию выполнения отдельных видов работ с целью обеспечения их надлежащего качества, и другую документацию, необходимость в которой может возникнуть в процессе выполнения работ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 разрабатывает (в соответствии с ОДМ 218.6.019-2016) и утверждает схемы организации дорожного движения (ОДД) в ГКУ НО «ГУАД» И ГИБДД по Нижегородской области.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 обязан собственными силами без дополнительной стоимости обеспечить технологическое присоединение всех энергопотребителей объекта (при необходимости).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7" w:leader="none"/>
              </w:tabs>
              <w:spacing w:before="0" w:after="0"/>
              <w:contextualSpacing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  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Подрядчик обеспечивает и содержит за свой счет охрану Объекта, материалов, оборудования, стоянки строительной техники и другого имущества и сооружений, необходимых для производства работ на объекте, вплоть до ввода объекта в эксплуатацию, с учетом технологического присоединения к питающим сетям.</w:t>
            </w:r>
          </w:p>
        </w:tc>
      </w:tr>
      <w:tr>
        <w:trPr>
          <w:trHeight w:val="1154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13. Требование к Подрядчику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Персонал обязан соблюдать инструкции по охране труда, устанавливающие правила выполнения работ и поведения на объектах и сооружениях транспортной инфраструктуры, и находиться в пределах границ участка проведения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Персонал должен иметь профессиональную подготовку (в том числе и по безопасности труда), соответствующую характеру выполняемых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Персонал может быть допущен к работе только после прохождения инструктажа по безопасности труда, обучения безопасным методам труда, проверки знаний по охране труда с учетом должности, профессии применительно к выполняемой работе, проведенных в установленном порядке, а также при отсутствии медицинских противопоказаний, установлены. Рабочие, должны быть обеспечены специальной одеждой (жилетами) ярко-оранжевого или ярко-желтого цвета (далее сигнальная одежда) с наименованием Подрядчика, надеваемой поверх обычной спецодежды и другими средствами индивидуальной защиты по установленным нормам. Выдача работникам сигнальной одежды, специальной обуви и других средств индивидуальной защиты по установленным нормам.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 выполнении работ по оснащению ОТИ инженерно-техническими средствами (системами) обеспечения транспортной безопасности подрядчик или привлекаемый им субподрядчик должен обладать Лицензией МЧС со следующими видами работ в соответствии с постановлением Правительства Российской Федерации от 30.12.2011 года № 1225 «О лицензировании деятельности по монтажу, техническому обслуживанию и ремонту средств обеспечения пожарной безопасности зданий и сооружений» с указанием видов работ: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 </w:t>
            </w:r>
            <w:r>
              <w:rPr>
                <w:rFonts w:cs="Times New Roman" w:ascii="Times New Roman" w:hAnsi="Times New Roman"/>
                <w:iCs/>
                <w:sz w:val="18"/>
                <w:szCs w:val="18"/>
              </w:rPr>
              <w:t xml:space="preserve">или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в соответствии с постановлением Правительства Российской Федерации от 28.07.2020 года № 1128 «О лицензировании деятельности по монтажу, техническому обслуживанию и ремонту средств обеспечения пожарной безопасности зданий и сооружений» с указанием видов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Копию лицензии с указанными видами работ или копию выписки из реестра лицензий подрядчик или привлекаемый им субподрядчик должен предоставить заказчику до начала выполнения указанных работ.</w:t>
            </w:r>
          </w:p>
        </w:tc>
      </w:tr>
      <w:tr>
        <w:trPr>
          <w:trHeight w:val="359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14. Общие требования к выполнению работ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Работы выполняются Подрядчиком в соответствии с требованиями сметной документации и рабочей документацией, согласованной в соответствии с п.12 Описания объекта закупки, и действующей на момент производства работ нормативно-технической документации;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Подрядчик, для приёмки работ, обязан вызвать представителей Заказчика за 2 рабочих дня до сдачи. На момент приемки работ Подрядчик обязан подготовить реестр Актов освидетельствования скрытых работ и выполненных работ, исполнительные схемы. В случае отсутствия у Заказчика возможности присутствия на комиссии по приемке работ, Подрядчик представляет Заказчику детальный фотоотчет о принимаемой конструкции с использованием средств измерений в электронном виде;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 каждому акту о приемке выполненных работ и акту скрытых работ, Подрядчик прикладывает исполнительную схему, реестр документов (паспорта, сертификаты на материалы и оборудование), фотоотчет с ОТИ о выполненной работе, согласно предъявленных актов;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течение гарантийного срока Подрядчик гарантирует исправную и полнофункциональную работу оборудования в соответствии с техническим описанием производителя оборудования;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Гарантия качества распространяется на технические средства (оборудование) подрядчиком по Контракту. 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случае выявления дефектов в процессе эксплуатации технических средств (оборудования), наличие дефектов фиксируется трехсторонним Актом Заказчика, подрядчика и организации по обслуживанию инженерно-технических средств (систем) обеспечения транспортной безопасности;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случае установления Заказчиком или подрядной организацией по обслуживанию инженерно-технических средств (систем) обеспечения транспортной безопасности в гарантийный период несоответствия качества, поставленных подрядчиком технических средств (оборудования), Заказчик оформляет Акт выявленных дефектов, в котором указывает дефект (замечание) и срок его устранения;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 обнаружении недостатков, замечаний, дефектов Заказчиком, подрядная организация по обслуживанию инженерно-технических систем обеспечения транспортной безопасности передает оборудование (с актом рекламации) Подрядчику. Подрядчик обязан передать данное оборудование с актом рекламации в сервисный центр производителя для гарантийного ремонта или замене оборудования с не истекшим гарантийным сроком. После гарантийного ремонта или замены оборудования Подрядчик обязан передать Заказчику или подрядной организации по обслуживанию инженерно-технических систем обеспечения транспортной безопасности данное оборудование.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Период времени, затраченный на устранение дефектов, в гарантийный срок не включается;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Гарантии качества распространяются на все работы, выполненные Подрядчиком по настоящему Контракту, а также – на всё Оборудование, установленное Подрядчиком, и составляет 24 месяца с даты подписания заказчиком последнего документа о приемке, в том числе:</w:t>
            </w:r>
          </w:p>
          <w:p>
            <w:pPr>
              <w:pStyle w:val="Normal"/>
              <w:spacing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Гарантийный срок эксплуатации Оборудования равен сроку гарантии, установленному производителем Оборудования.</w:t>
            </w:r>
          </w:p>
          <w:p>
            <w:pPr>
              <w:pStyle w:val="Normal"/>
              <w:spacing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Гарантийный срок на установку (монтаж, пуско-наладка) Оборудования – 24 месяца с даты подписания заказчиком соответствующего документа о приемке.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течение гарантийного срока Подрядчик обеспечивает Заказчика консультациями по использованию технических средств (оборудования) и его технической поддержкой;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Для участия в комиссии по обследованию технических средств (оборудования), в том числе в гарантийный период, и составлении Акта, фиксирующего дефекты, согласования порядка и сроков их устранения, Подрядчик обязан направить, в установленный в извещении Заказчика срок, уполномоченного представителя.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ind w:firstLine="347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 отказе Подрядчика от составления или подписания Акта выявленных дефектов Заказчиком составляется Акт, в который вносится соответствующая запись. Кроме того, Заказчик имеет право привлечь экспертов, все расходы по которым, при установлении вины Подрядчика, предъявляются подрядчику в полном объёме и оплачиваются за счёт средств подрядчика.</w:t>
            </w:r>
          </w:p>
        </w:tc>
      </w:tr>
      <w:tr>
        <w:trPr>
          <w:trHeight w:val="248" w:hRule="atLeast"/>
        </w:trPr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15. Требования к разработке исполнительной и эксплуатационной документации.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Порядок согласования и утверждения.</w:t>
            </w:r>
          </w:p>
        </w:tc>
        <w:tc>
          <w:tcPr>
            <w:tcW w:w="79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ind w:hanging="360" w:start="814" w:end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Требования к Исполнительной документации.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Исполнительная документация представляет собой текстовые и графические материалы, отражающие фактическое исполнение проектных решений и фактическое положение элементов инженерно-технических средств (систем) обеспечения транспортной безопасности по мере завершения определенных в сметной документации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Состав исполнительной документации: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исполнительные планы, чертежи, схемы;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сертификаты, технические паспорта, журналы лабораторных испытаний и другие документы, удостоверяющие качество материалов, конструкций и деталей, примененных при производстве работ и подтверждающих исполнение проектных решений;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общий журнал производства работ по форме КС-6;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акты/протоколы испытания и опробования технических устройств инженерно-технических средств (систем) обеспечения транспортной безопасности и его составных частей (смонтированного оборудования);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протоколы замера сопротивления изоляции кабелей;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протоколы и акты внешних проверяющих органов при необходимости (подключение к электросети здания, и т.п.);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результаты экспертиз, обследований, лабораторных и иных испытаний выполненных работ (в случае проведения/необходимости);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документы, подтверждающие проведение контроля за качеством применяемых оборудования и материалов (журнал входного контроля)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ведомость смонтированного оборудования;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-ведомость выполненных строительно-монтажных работ на объекте;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акты освидетельствования скрытых работ, включая сертификаты и документы, подтверждающие качество материалов, фотоматериалы, подтверждающие исполнение проектных решений;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акты освидетельствования выполненных работ, включая сертификаты и документы, подтверждающие качество материалов, фотоматериалы, подтверждающие исполнение проектных решений;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рабочая документация на оснащение объекта транспортной инфраструктуры инженерно-техническими средствами (системами) обеспечения транспортной безопасности;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иные документы, отражающие фактическое исполнение проектных решений;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Окончательный состав исполнительной документации и порядок ее представления должен быть согласован с Заказчиком до начала производства работ.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ind w:hanging="360" w:start="814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Требования к Эксплуатационной документации.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эксплуатационную документацию на инженерно-технические  системы обеспечения транспортной безопасности включают в необходимых объемах сведения об инженерно-технических  системах обеспечения транспортной безопасности в целом и составных частях.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Эксплуатационную документацию на составные части инженерно-технических систем обеспечения транспортной безопасности допускается включать в состав эксплуатационной документации на изделие, при этом в эксплуатационную документацию на инженерно-технические системы обеспечения транспортной безопасности не повторяют содержание документов на его составные части.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Состав эксплуатационной документации: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- Ведомость эксплуатационных документов; 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Ведомость сертификатов на установленное оборудование;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-Регламент и руководство по эксплуатации на инженерно-технические средства (системы) обеспечения транспортной безопасности.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Окончательный состав и содержание эксплуатационной документации и порядок ее представления должен быть согласован с Заказчиком до начала пусконаладочных работ.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Исполнительная и эксплуатационная документация в трех экземплярах должна быть утверждена Заказчиком. Один экземпляр утвержденных документов должен находиться на объекте к началу проведения приемо-сдаточных испытаний.</w:t>
            </w:r>
          </w:p>
          <w:p>
            <w:pPr>
              <w:pStyle w:val="Normal"/>
              <w:spacing w:before="0" w:after="0"/>
              <w:ind w:firstLine="360" w:start="0" w:end="0"/>
              <w:jc w:val="both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Приемо-сдаточные испытания проводятся согласно «Программы и методики приемо-сдаточных испытаний», разработанной Подрядчиком и утвержденной Заказчиком.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bookmarkStart w:id="4" w:name="_Hlk130375705"/>
      <w:bookmarkEnd w:id="4"/>
      <w:r>
        <w:rPr>
          <w:rFonts w:eastAsia="Times New Roman" w:cs="Times New Roman" w:ascii="Times New Roman" w:hAnsi="Times New Roman"/>
          <w:i/>
          <w:sz w:val="18"/>
          <w:szCs w:val="18"/>
          <w:lang w:eastAsia="ru-RU"/>
        </w:rPr>
        <w:t>Примечание: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bookmarkStart w:id="5" w:name="_Hlk130375705_Копия_1"/>
      <w:bookmarkEnd w:id="5"/>
      <w:r>
        <w:rPr>
          <w:rFonts w:eastAsia="Times New Roman" w:cs="Times New Roman" w:ascii="Times New Roman" w:hAnsi="Times New Roman"/>
          <w:i/>
          <w:color w:val="000080"/>
          <w:sz w:val="18"/>
          <w:szCs w:val="18"/>
          <w:lang w:eastAsia="ru-RU"/>
        </w:rPr>
        <w:t>Любое упоминание на товарные знаки материалов, оборудования, конструкций в Требованиях к качеству работ (приложение 8 к Контракту) и проектной документации (приложение 9 к Контракту),подразумевает возможность их замены участником закупки на эквивалентные (соответствующие или превосходящие по характеристикам) при соблюдении ограничений, регламентированных ст. 14 Федерального закона от 05.04.2013 № 44-ФЗ и нормативными правовыми актами Российской Федерации в области импортозамещения;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rFonts w:eastAsia="Times New Roman" w:cs="Times New Roman" w:ascii="Times New Roman" w:hAnsi="Times New Roman"/>
          <w:i/>
          <w:color w:val="000080"/>
          <w:sz w:val="18"/>
          <w:szCs w:val="18"/>
          <w:lang w:eastAsia="ru-RU"/>
        </w:rPr>
        <w:t>Наименование материалов, оборудования, конструкций в Требованиях к качеству работ (приложение 8 к Контракту) и проектной документации (приложение 9 к Контракту), содержащие товарные знаки, использованы заказчиком для определения начальной (максимальной) цены контракта.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rFonts w:eastAsia="Times New Roman" w:cs="Times New Roman" w:ascii="Times New Roman" w:hAnsi="Times New Roman"/>
          <w:i/>
          <w:color w:val="000080"/>
          <w:sz w:val="18"/>
          <w:szCs w:val="18"/>
          <w:lang w:eastAsia="ru-RU"/>
        </w:rPr>
        <w:t>Все товарные знаки (указание на конкретных производителей), указанные в Требованиях к качеству работ (приложение 8 к Контракту) и проектной документации (приложение 9 к Контракту), необходимо считать сопровождаемыми словами «или эквивалент».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rFonts w:eastAsia="Times New Roman" w:cs="Times New Roman" w:ascii="Times New Roman" w:hAnsi="Times New Roman"/>
          <w:i/>
          <w:color w:val="000080"/>
          <w:sz w:val="18"/>
          <w:szCs w:val="18"/>
          <w:lang w:eastAsia="ru-RU"/>
        </w:rPr>
        <w:t>Извещение не содержит положений, запрещающих осуществлять замену предусмотренных в Требованиях к качеству работ (приложение 8 к Контракту) и проектной документации (приложение 9 к Контракту) материалов, конструкций, оборудования), используемых при выполнении работ, на аналогичное (эквивалентное).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0" w:after="0"/>
        <w:jc w:val="both"/>
        <w:rPr>
          <w:sz w:val="18"/>
          <w:szCs w:val="18"/>
        </w:rPr>
      </w:pPr>
      <w:r>
        <w:rPr>
          <w:rFonts w:eastAsia="Times New Roman" w:cs="Times New Roman" w:ascii="Times New Roman" w:hAnsi="Times New Roman"/>
          <w:i/>
          <w:color w:val="000080"/>
          <w:sz w:val="18"/>
          <w:szCs w:val="18"/>
          <w:lang w:eastAsia="ru-RU"/>
        </w:rPr>
        <w:t>Товары, указанные в Требованиях к качеству работ (приложение 8 к Контракту) и проектной документации (приложение 9 к Контракту), являются используемыми при выполнении работ. Указанные товары не передаются заказчику по товарной накладной или акту передачи, не принимаются к бухгалтерскому учету заказчика в соответствии с Федеральным законом от 06.12.2011 № 402-ФЗ «О бухгалтерском учете», а являются строительными материалами, конструкциями, которые используются в ходе выполнения работ за исключением поставляемого товара, принимаемого к бухгалтерскому учету заказчика.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color w:val="000080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i/>
          <w:color w:val="000080"/>
          <w:sz w:val="18"/>
          <w:szCs w:val="18"/>
          <w:lang w:eastAsia="ru-RU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304" w:right="73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Wingdings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Symbo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708"/>
        </w:tabs>
        <w:ind w:start="1287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814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1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user">
    <w:name w:val="Символ сноски (user)"/>
    <w:qFormat/>
    <w:rPr/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WW8Num30z0">
    <w:name w:val="WW8Num30z0"/>
    <w:qFormat/>
    <w:rPr>
      <w:rFonts w:ascii="Wingdings" w:hAnsi="Wingdings" w:cs="Wingdings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3z0">
    <w:name w:val="WW8Num33z0"/>
    <w:qFormat/>
    <w:rPr>
      <w:rFonts w:ascii="Symbol" w:hAnsi="Symbol" w:cs="Symbol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Noto 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0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2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user3">
    <w:name w:val="Колонтитулы (user)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6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14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80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numbering" w:styleId="WW8Num30">
    <w:name w:val="WW8Num30"/>
    <w:qFormat/>
  </w:style>
  <w:style w:type="numbering" w:styleId="WW8Num33">
    <w:name w:val="WW8Num3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LibreOffice/25.8.7.3$Linux_X86_64 LibreOffice_project/30742500f2d3eb4366ac312fa33d3dcabdb3eba5</Application>
  <AppVersion>15.0000</AppVersion>
  <Pages>6</Pages>
  <Words>3354</Words>
  <Characters>25071</Characters>
  <CharactersWithSpaces>28310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2025-07-25T09:04:47Z</dcterms:created>
  <dc:creator/>
  <dc:description/>
  <dc:language>ru-RU</dc:language>
  <cp:lastModifiedBy/>
  <dcterms:modified xsi:type="dcterms:W3CDTF">2026-09-16T11:29:16Z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