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
          <w:bCs/>
        </w:rPr>
      </w:pPr>
      <w:r>
        <w:rPr>
          <w:rFonts w:eastAsia="Times New Roman" w:cs="Times New Roman" w:ascii="Times New Roman" w:hAnsi="Times New Roman"/>
          <w:b/>
          <w:bCs/>
          <w:iCs/>
          <w:sz w:val="24"/>
          <w:szCs w:val="24"/>
          <w:lang w:eastAsia="ru-RU"/>
        </w:rPr>
        <w:t>Т</w:t>
      </w:r>
      <w:r>
        <w:rPr>
          <w:rFonts w:eastAsia="Times New Roman" w:cs="Times New Roman" w:ascii="Times New Roman" w:hAnsi="Times New Roman"/>
          <w:b/>
          <w:bCs/>
          <w:iCs/>
          <w:sz w:val="24"/>
          <w:szCs w:val="24"/>
          <w:lang w:eastAsia="ru-RU"/>
        </w:rPr>
        <w:t>ехническое Задание</w:t>
      </w:r>
      <w:r>
        <w:rPr>
          <w:rFonts w:cs="Times New Roman" w:ascii="Times New Roman" w:hAnsi="Times New Roman"/>
          <w:b/>
          <w:bCs/>
          <w:sz w:val="24"/>
          <w:szCs w:val="24"/>
        </w:rPr>
        <w:t>.</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tabs>
          <w:tab w:val="clear" w:pos="720"/>
          <w:tab w:val="left" w:pos="360" w:leader="none"/>
          <w:tab w:val="left" w:pos="928" w:leader="none"/>
          <w:tab w:val="left" w:pos="993" w:leader="none"/>
        </w:tabs>
        <w:spacing w:lineRule="auto" w:line="240" w:before="0" w:after="0"/>
        <w:ind w:end="-115"/>
        <w:jc w:val="center"/>
        <w:rPr>
          <w:rFonts w:ascii="Times New Roman" w:hAnsi="Times New Roman"/>
          <w:color w:val="000000"/>
          <w:sz w:val="20"/>
          <w:szCs w:val="20"/>
        </w:rPr>
      </w:pPr>
      <w:r>
        <w:rPr>
          <w:rFonts w:cs="Times New Roman" w:ascii="Times New Roman" w:hAnsi="Times New Roman"/>
          <w:color w:val="000000"/>
          <w:sz w:val="20"/>
          <w:szCs w:val="20"/>
        </w:rPr>
        <w:t xml:space="preserve">Выполнение работ по </w:t>
      </w:r>
      <w:r>
        <w:rPr>
          <w:rFonts w:cs="Times New Roman" w:ascii="Times New Roman" w:hAnsi="Times New Roman"/>
          <w:color w:val="000000"/>
          <w:sz w:val="20"/>
          <w:szCs w:val="20"/>
        </w:rPr>
        <w:t>о</w:t>
      </w:r>
      <w:r>
        <w:rPr>
          <w:rFonts w:ascii="Times New Roman" w:hAnsi="Times New Roman"/>
          <w:b w:val="false"/>
          <w:i w:val="false"/>
          <w:caps w:val="false"/>
          <w:smallCaps w:val="false"/>
          <w:color w:val="000000"/>
          <w:spacing w:val="0"/>
          <w:sz w:val="20"/>
          <w:szCs w:val="20"/>
        </w:rPr>
        <w:t>снащени</w:t>
      </w:r>
      <w:r>
        <w:rPr>
          <w:rFonts w:ascii="Times New Roman" w:hAnsi="Times New Roman"/>
          <w:b w:val="false"/>
          <w:i w:val="false"/>
          <w:caps w:val="false"/>
          <w:smallCaps w:val="false"/>
          <w:color w:val="000000"/>
          <w:spacing w:val="0"/>
          <w:sz w:val="20"/>
          <w:szCs w:val="20"/>
        </w:rPr>
        <w:t>ю</w:t>
      </w:r>
      <w:r>
        <w:rPr>
          <w:rFonts w:ascii="Times New Roman" w:hAnsi="Times New Roman"/>
          <w:b w:val="false"/>
          <w:i w:val="false"/>
          <w:caps w:val="false"/>
          <w:smallCaps w:val="false"/>
          <w:color w:val="000000"/>
          <w:spacing w:val="0"/>
          <w:sz w:val="20"/>
          <w:szCs w:val="20"/>
        </w:rPr>
        <w:t xml:space="preserve"> категорированного объекта транспортной инфраструктуры инженерно-техническими системами (средствами) обеспечения транспортной безопасности на автомобильных дорогах в Воротынском муниципальном округе Нижегородской области на объекте:- Мост ч/р р. Сережа на км 35+305 а/д Павлово-Сосновское-Лесуново-Мухтолово-Саконы (3 категория)</w:t>
      </w:r>
    </w:p>
    <w:p>
      <w:pPr>
        <w:pStyle w:val="Normal"/>
        <w:tabs>
          <w:tab w:val="clear" w:pos="720"/>
          <w:tab w:val="left" w:pos="360" w:leader="none"/>
          <w:tab w:val="left" w:pos="928" w:leader="none"/>
          <w:tab w:val="left" w:pos="993" w:leader="none"/>
        </w:tabs>
        <w:spacing w:lineRule="auto" w:line="240" w:before="0" w:after="0"/>
        <w:ind w:end="-115"/>
        <w:jc w:val="center"/>
        <w:rPr>
          <w:rFonts w:ascii="Times New Roman" w:hAnsi="Times New Roman" w:cs="Times New Roman"/>
          <w:color w:val="000099"/>
          <w:sz w:val="24"/>
          <w:szCs w:val="24"/>
        </w:rPr>
      </w:pPr>
      <w:r>
        <w:rPr>
          <w:rFonts w:cs="Times New Roman" w:ascii="Times New Roman" w:hAnsi="Times New Roman"/>
          <w:color w:val="000099"/>
          <w:sz w:val="24"/>
          <w:szCs w:val="24"/>
        </w:rPr>
      </w:r>
    </w:p>
    <w:tbl>
      <w:tblPr>
        <w:tblW w:w="10065" w:type="dxa"/>
        <w:jc w:val="start"/>
        <w:tblInd w:w="-147" w:type="dxa"/>
        <w:tblLayout w:type="fixed"/>
        <w:tblCellMar>
          <w:top w:w="0" w:type="dxa"/>
          <w:start w:w="108" w:type="dxa"/>
          <w:bottom w:w="0" w:type="dxa"/>
          <w:end w:w="108" w:type="dxa"/>
        </w:tblCellMar>
      </w:tblPr>
      <w:tblGrid>
        <w:gridCol w:w="2247"/>
        <w:gridCol w:w="7818"/>
      </w:tblGrid>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b/>
                <w:sz w:val="24"/>
                <w:szCs w:val="24"/>
                <w:lang w:eastAsia="ru-RU"/>
              </w:rPr>
              <w:t xml:space="preserve">1. Наименования объекта </w:t>
            </w:r>
          </w:p>
        </w:tc>
        <w:tc>
          <w:tcPr>
            <w:tcW w:w="781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60" w:leader="none"/>
                <w:tab w:val="left" w:pos="928" w:leader="none"/>
                <w:tab w:val="left" w:pos="993" w:leader="none"/>
              </w:tabs>
              <w:spacing w:lineRule="auto" w:line="240" w:before="0" w:after="0"/>
              <w:ind w:end="-115"/>
              <w:jc w:val="center"/>
              <w:rPr>
                <w:rFonts w:ascii="Times New Roman" w:hAnsi="Times New Roman"/>
                <w:color w:val="000000"/>
                <w:sz w:val="20"/>
                <w:szCs w:val="20"/>
              </w:rPr>
            </w:pPr>
            <w:r>
              <w:rPr>
                <w:rFonts w:cs="Times New Roman" w:ascii="Times New Roman" w:hAnsi="Times New Roman"/>
                <w:b w:val="false"/>
                <w:i w:val="false"/>
                <w:caps w:val="false"/>
                <w:smallCaps w:val="false"/>
                <w:color w:val="000000"/>
                <w:spacing w:val="0"/>
                <w:sz w:val="24"/>
                <w:szCs w:val="24"/>
              </w:rPr>
              <w:t>Мост ч/р р. Сережа на км 35+305 а/д Павлово-Сосновское-Лесуново-Мухтолово-Саконы (3 категория)</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2. Описание объекта выполнения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pPr>
            <w:r>
              <w:rPr>
                <w:rFonts w:eastAsia="Times New Roman" w:cs="Times New Roman" w:ascii="Times New Roman" w:hAnsi="Times New Roman"/>
                <w:sz w:val="24"/>
                <w:szCs w:val="24"/>
                <w:lang w:eastAsia="ru-RU"/>
              </w:rPr>
              <w:t>Оснащение категорированного объекта транспортной инфраструктуры инженерно-техническими системами (средствами) обеспечения транспортной безопасности на автомобильных дорогах в</w:t>
            </w: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sz w:val="24"/>
                <w:szCs w:val="24"/>
                <w:lang w:eastAsia="ru-RU"/>
              </w:rPr>
              <w:t>Воротынском муниципальном округе Нижегородской области на объекте:</w:t>
            </w:r>
            <w:r>
              <w:rPr>
                <w:rFonts w:eastAsia="Times New Roman" w:cs="Times New Roman" w:ascii="Times New Roman" w:hAnsi="Times New Roman"/>
                <w:iCs/>
                <w:sz w:val="24"/>
                <w:szCs w:val="24"/>
                <w:lang w:eastAsia="ru-RU"/>
              </w:rPr>
              <w:t xml:space="preserve"> </w:t>
            </w:r>
            <w:r>
              <w:rPr>
                <w:rFonts w:eastAsia="Times New Roman" w:cs="Times New Roman" w:ascii="Times New Roman" w:hAnsi="Times New Roman"/>
                <w:sz w:val="24"/>
                <w:szCs w:val="24"/>
                <w:lang w:eastAsia="ru-RU"/>
              </w:rPr>
              <w:t>-</w:t>
            </w:r>
            <w:r>
              <w:rPr>
                <w:rFonts w:cs="Times New Roman" w:ascii="Times New Roman" w:hAnsi="Times New Roman"/>
                <w:sz w:val="24"/>
                <w:szCs w:val="24"/>
                <w:lang w:eastAsia="ru-RU"/>
              </w:rPr>
              <w:t xml:space="preserve"> </w:t>
            </w:r>
            <w:r>
              <w:rPr>
                <w:rFonts w:cs="Times New Roman" w:ascii="Times New Roman" w:hAnsi="Times New Roman"/>
                <w:b w:val="false"/>
                <w:i w:val="false"/>
                <w:caps w:val="false"/>
                <w:smallCaps w:val="false"/>
                <w:color w:val="000000"/>
                <w:spacing w:val="0"/>
                <w:sz w:val="20"/>
                <w:szCs w:val="20"/>
                <w:lang w:eastAsia="ru-RU"/>
              </w:rPr>
              <w:t>Мост ч/р р. Сережа на км 35+305 а/д Павлово-Сосновское-Лесуново-Мухтолово-Саконы (3 категория)</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3. Основание для выполнения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cs="Times New Roman" w:ascii="Times New Roman" w:hAnsi="Times New Roman"/>
                <w:sz w:val="24"/>
                <w:szCs w:val="24"/>
                <w:lang w:eastAsia="ru-RU"/>
              </w:rPr>
              <w:t>3.1. Федеральный закон от 09.02.2007 г. № 16-ФЗ «О транспортной безопасности».</w:t>
            </w:r>
          </w:p>
          <w:p>
            <w:pPr>
              <w:pStyle w:val="Normal"/>
              <w:spacing w:lineRule="auto" w:line="240" w:before="0" w:after="0"/>
              <w:jc w:val="both"/>
              <w:rPr/>
            </w:pPr>
            <w:r>
              <w:rPr>
                <w:rFonts w:cs="Times New Roman" w:ascii="Times New Roman" w:hAnsi="Times New Roman"/>
                <w:sz w:val="24"/>
                <w:szCs w:val="24"/>
                <w:lang w:eastAsia="ru-RU"/>
              </w:rPr>
              <w:t>3.2. Федеральный закон от 06.03.2006 г. № 35-ФЗ «О противодействии терроризму».</w:t>
            </w:r>
          </w:p>
          <w:p>
            <w:pPr>
              <w:pStyle w:val="Normal"/>
              <w:spacing w:lineRule="auto" w:line="240" w:before="0" w:after="0"/>
              <w:jc w:val="both"/>
              <w:rPr/>
            </w:pPr>
            <w:r>
              <w:rPr>
                <w:rFonts w:cs="Times New Roman" w:ascii="Times New Roman" w:hAnsi="Times New Roman"/>
                <w:sz w:val="24"/>
                <w:szCs w:val="24"/>
                <w:lang w:eastAsia="ru-RU"/>
              </w:rPr>
              <w:t>3.3. Постановление Правительства Российской Федерации от 21.12.2020г. № 2201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дорожного хозяйства".</w:t>
            </w:r>
          </w:p>
          <w:p>
            <w:pPr>
              <w:pStyle w:val="Normal"/>
              <w:spacing w:lineRule="auto" w:line="240" w:before="0" w:after="0"/>
              <w:jc w:val="both"/>
              <w:rPr/>
            </w:pPr>
            <w:r>
              <w:rPr>
                <w:rFonts w:cs="Times New Roman" w:ascii="Times New Roman" w:hAnsi="Times New Roman"/>
                <w:sz w:val="24"/>
                <w:szCs w:val="24"/>
                <w:lang w:eastAsia="ru-RU"/>
              </w:rPr>
              <w:t>3.4. Постановление Правительства Российской Федерации от 26.09.2016г.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p>
          <w:p>
            <w:pPr>
              <w:pStyle w:val="Normal"/>
              <w:spacing w:lineRule="auto" w:line="240" w:before="0" w:after="0"/>
              <w:jc w:val="both"/>
              <w:rPr/>
            </w:pPr>
            <w:r>
              <w:rPr>
                <w:rFonts w:cs="Times New Roman" w:ascii="Times New Roman" w:hAnsi="Times New Roman"/>
                <w:sz w:val="24"/>
                <w:szCs w:val="24"/>
                <w:lang w:eastAsia="ru-RU"/>
              </w:rPr>
              <w:t xml:space="preserve">3.5. </w:t>
            </w:r>
            <w:r>
              <w:rPr>
                <w:rFonts w:eastAsia="Times New Roman" w:cs="Times New Roman" w:ascii="Times New Roman" w:hAnsi="Times New Roman"/>
                <w:sz w:val="24"/>
                <w:szCs w:val="24"/>
                <w:lang w:eastAsia="ru-RU"/>
              </w:rPr>
              <w:t>Распоряжение Правительства Российской Федерации от 18.09.2023г. №1518–р «Об утверждении перечня работ, связанных с обеспечением транспортной безопасности».</w:t>
            </w:r>
          </w:p>
          <w:p>
            <w:pPr>
              <w:pStyle w:val="Normal"/>
              <w:spacing w:lineRule="auto" w:line="240" w:before="0" w:after="0"/>
              <w:jc w:val="both"/>
              <w:rPr/>
            </w:pPr>
            <w:r>
              <w:rPr>
                <w:rFonts w:eastAsia="Times New Roman" w:cs="Times New Roman" w:ascii="Times New Roman" w:hAnsi="Times New Roman"/>
                <w:sz w:val="24"/>
                <w:szCs w:val="24"/>
                <w:lang w:eastAsia="ru-RU"/>
              </w:rPr>
              <w:t xml:space="preserve">3.6. Постановление Правительства Российской Федерации </w:t>
              <w:br/>
              <w:t>от 14.11.2022г. №2051 «Об утверждении Правил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планах и паспортах обеспечения транспортной безопасности объектов транспортной инфраструктуры и (или) транспортных средств, которые являются информацией ограниченного доступа, и Правил проверки субъектом транспортной инфраструктуры сведений в отношении лиц, принимаемых на работу, непосредственно связанную с обеспечением транспортной безопасности, или выполняющих такую работу».</w:t>
            </w:r>
          </w:p>
          <w:p>
            <w:pPr>
              <w:pStyle w:val="Normal"/>
              <w:spacing w:lineRule="auto" w:line="240" w:before="0" w:after="0"/>
              <w:jc w:val="both"/>
              <w:rPr/>
            </w:pPr>
            <w:r>
              <w:rPr>
                <w:rFonts w:cs="Times New Roman" w:ascii="Times New Roman" w:hAnsi="Times New Roman"/>
                <w:sz w:val="24"/>
                <w:szCs w:val="24"/>
                <w:lang w:eastAsia="ru-RU"/>
              </w:rPr>
              <w:t>3.6. План обеспечения транспортной безопасности (с внесенными изменениями/дополнениями).</w:t>
            </w:r>
          </w:p>
        </w:tc>
      </w:tr>
      <w:tr>
        <w:trPr/>
        <w:tc>
          <w:tcPr>
            <w:tcW w:w="22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4. Цели и задачи выполнения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firstLine="360" w:end="0"/>
              <w:jc w:val="both"/>
              <w:rPr/>
            </w:pPr>
            <w:r>
              <w:rPr>
                <w:rFonts w:cs="Times New Roman" w:ascii="Times New Roman" w:hAnsi="Times New Roman"/>
                <w:sz w:val="24"/>
                <w:szCs w:val="24"/>
                <w:lang w:eastAsia="ru-RU"/>
              </w:rPr>
              <w:t>Оснащение объекта транспортной инфраструктуры инженерно-техническими системами обеспечения транспортной безопасности, обеспечивающими требования к антитеррористической защищенности объектов транспортной инфраструктуры.</w:t>
            </w:r>
          </w:p>
        </w:tc>
      </w:tr>
      <w:tr>
        <w:trPr/>
        <w:tc>
          <w:tcPr>
            <w:tcW w:w="22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ind w:firstLine="360" w:end="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firstLine="360" w:end="0"/>
              <w:jc w:val="both"/>
              <w:rPr/>
            </w:pPr>
            <w:r>
              <w:rPr>
                <w:rFonts w:cs="Times New Roman" w:ascii="Times New Roman" w:hAnsi="Times New Roman"/>
                <w:sz w:val="24"/>
                <w:szCs w:val="24"/>
                <w:lang w:eastAsia="ru-RU"/>
              </w:rPr>
              <w:t>Инженерно-технические системы обеспечения транспортной безопасности (ИТСОТБ) должны выполнять следующие задачи:</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непрерывное функционирование ПУ ОТБ ОТИ;</w:t>
            </w:r>
          </w:p>
          <w:p>
            <w:pPr>
              <w:pStyle w:val="Normal"/>
              <w:spacing w:lineRule="auto" w:line="240" w:before="0" w:after="0"/>
              <w:ind w:firstLine="360" w:end="0"/>
              <w:jc w:val="both"/>
              <w:rPr/>
            </w:pPr>
            <w:bookmarkStart w:id="0" w:name="_Hlk33094410"/>
            <w:bookmarkEnd w:id="0"/>
            <w:r>
              <w:rPr>
                <w:rFonts w:cs="Times New Roman" w:ascii="Times New Roman" w:hAnsi="Times New Roman"/>
                <w:sz w:val="24"/>
                <w:szCs w:val="24"/>
                <w:lang w:eastAsia="ru-RU"/>
              </w:rPr>
              <w:t>- накопление, обработку и хранение в электронном виде данных с технических средств ОТБ;</w:t>
            </w:r>
          </w:p>
          <w:p>
            <w:pPr>
              <w:pStyle w:val="Normal"/>
              <w:spacing w:lineRule="auto" w:line="240" w:before="0" w:after="0"/>
              <w:ind w:firstLine="360" w:end="0"/>
              <w:jc w:val="both"/>
              <w:rPr/>
            </w:pPr>
            <w:bookmarkStart w:id="1" w:name="_Hlk33094410"/>
            <w:bookmarkEnd w:id="1"/>
            <w:r>
              <w:rPr>
                <w:rFonts w:cs="Times New Roman" w:ascii="Times New Roman" w:hAnsi="Times New Roman"/>
                <w:sz w:val="24"/>
                <w:szCs w:val="24"/>
                <w:lang w:eastAsia="ru-RU"/>
              </w:rPr>
              <w:t>- аудио- и видеозапись в целях документирования действий сил обеспечения транспортной безопасности на КПП и постах ОТИ, а также ПУ ОТБ ОТИ;</w:t>
            </w:r>
          </w:p>
          <w:p>
            <w:pPr>
              <w:pStyle w:val="Normal"/>
              <w:spacing w:lineRule="auto" w:line="240" w:before="0" w:after="0"/>
              <w:ind w:firstLine="360" w:end="0"/>
              <w:jc w:val="both"/>
              <w:rPr/>
            </w:pPr>
            <w:r>
              <w:rPr>
                <w:rFonts w:cs="Times New Roman" w:ascii="Times New Roman" w:hAnsi="Times New Roman"/>
                <w:sz w:val="24"/>
                <w:szCs w:val="24"/>
                <w:lang w:eastAsia="ru-RU"/>
              </w:rPr>
              <w:t>- осуществление на КПП и постах ОТИ документирования перемещения служебного оружия работниками ПТБ, обладающими правом на его ношение, через границы ЗТБ ОТИ или ее части;</w:t>
            </w:r>
          </w:p>
          <w:p>
            <w:pPr>
              <w:pStyle w:val="Normal"/>
              <w:spacing w:lineRule="auto" w:line="240" w:before="0" w:after="0"/>
              <w:ind w:firstLine="360" w:end="0"/>
              <w:jc w:val="both"/>
              <w:rPr/>
            </w:pPr>
            <w:r>
              <w:rPr>
                <w:rFonts w:cs="Times New Roman" w:ascii="Times New Roman" w:hAnsi="Times New Roman"/>
                <w:sz w:val="24"/>
                <w:szCs w:val="24"/>
                <w:lang w:eastAsia="ru-RU"/>
              </w:rPr>
              <w:t>- идентификацию физических лиц и (или) транспортных средств, являющихся объектами видеонаблюдения, на основании данных видеонаблюдения (далее-видеоиндентификация) при их перемещении через КПП, посты на границах ЗТБ, ее частей, а также на КЭ ОТИ;</w:t>
            </w:r>
          </w:p>
          <w:p>
            <w:pPr>
              <w:pStyle w:val="Normal"/>
              <w:spacing w:lineRule="auto" w:line="240" w:before="0" w:after="0"/>
              <w:ind w:firstLine="360" w:end="0"/>
              <w:jc w:val="both"/>
              <w:rPr/>
            </w:pPr>
            <w:r>
              <w:rPr>
                <w:rFonts w:cs="Times New Roman" w:ascii="Times New Roman" w:hAnsi="Times New Roman"/>
                <w:sz w:val="24"/>
                <w:szCs w:val="24"/>
                <w:lang w:eastAsia="ru-RU"/>
              </w:rPr>
              <w:t>- обнаружение физических лиц и транспортных средств, являющихся объектами видеонаблюдения, в заданном месте и в заданное время (далее - видео мониторинг) на периметре ЗТБ ОТИ;</w:t>
            </w:r>
          </w:p>
          <w:p>
            <w:pPr>
              <w:pStyle w:val="Normal"/>
              <w:spacing w:lineRule="auto" w:line="240" w:before="0" w:after="0"/>
              <w:ind w:firstLine="360" w:end="0"/>
              <w:jc w:val="both"/>
              <w:rPr/>
            </w:pPr>
            <w:r>
              <w:rPr>
                <w:rFonts w:cs="Times New Roman" w:ascii="Times New Roman" w:hAnsi="Times New Roman"/>
                <w:sz w:val="24"/>
                <w:szCs w:val="24"/>
                <w:lang w:eastAsia="ru-RU"/>
              </w:rPr>
              <w:t>- передачу данных с систем видеонаблюдения в соответствии с порядком передачи данных;</w:t>
            </w:r>
          </w:p>
          <w:p>
            <w:pPr>
              <w:pStyle w:val="Normal"/>
              <w:spacing w:lineRule="auto" w:line="240" w:before="0" w:after="0"/>
              <w:ind w:firstLine="360" w:end="0"/>
              <w:jc w:val="both"/>
              <w:rPr/>
            </w:pPr>
            <w:r>
              <w:rPr>
                <w:rFonts w:cs="Times New Roman" w:ascii="Times New Roman" w:hAnsi="Times New Roman"/>
                <w:sz w:val="24"/>
                <w:szCs w:val="24"/>
                <w:lang w:eastAsia="ru-RU"/>
              </w:rPr>
              <w:t>- 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pPr>
              <w:pStyle w:val="Normal"/>
              <w:spacing w:lineRule="auto" w:line="240" w:before="0" w:after="0"/>
              <w:ind w:firstLine="360" w:end="0"/>
              <w:jc w:val="both"/>
              <w:rPr/>
            </w:pPr>
            <w:r>
              <w:rPr>
                <w:rFonts w:cs="Times New Roman" w:ascii="Times New Roman" w:hAnsi="Times New Roman"/>
                <w:sz w:val="24"/>
                <w:szCs w:val="24"/>
                <w:lang w:eastAsia="ru-RU"/>
              </w:rPr>
              <w:t>- выявление нарушителя, в том числе оснащенного специальными средствами для проникновения на ОТИ, в реальном времени на периметре внешних границ КЭ ОТИ;</w:t>
            </w:r>
          </w:p>
          <w:p>
            <w:pPr>
              <w:pStyle w:val="Normal"/>
              <w:spacing w:lineRule="auto" w:line="240" w:before="0" w:after="0"/>
              <w:ind w:firstLine="360" w:end="0"/>
              <w:jc w:val="both"/>
              <w:rPr/>
            </w:pPr>
            <w:r>
              <w:rPr>
                <w:rFonts w:cs="Times New Roman" w:ascii="Times New Roman" w:hAnsi="Times New Roman"/>
                <w:sz w:val="24"/>
                <w:szCs w:val="24"/>
                <w:lang w:eastAsia="ru-RU"/>
              </w:rPr>
              <w:t>- интеграцию и (или) совместное применение технических средств обеспечения транспортной безопасности с учетом технических характеристик инженерных систем и сооружений, препятствующих проникновению нарушителя в ЗТБ ОТИ (при наличии технической возможности);</w:t>
            </w:r>
          </w:p>
          <w:p>
            <w:pPr>
              <w:pStyle w:val="Normal"/>
              <w:autoSpaceDE w:val="false"/>
              <w:spacing w:lineRule="auto" w:line="240" w:before="0" w:after="0"/>
              <w:jc w:val="both"/>
              <w:rPr/>
            </w:pPr>
            <w:r>
              <w:rPr>
                <w:rFonts w:cs="Times New Roman" w:ascii="Times New Roman" w:hAnsi="Times New Roman"/>
                <w:sz w:val="24"/>
                <w:szCs w:val="24"/>
              </w:rPr>
              <w:t xml:space="preserve"> </w:t>
            </w:r>
            <w:r>
              <w:rPr>
                <w:rFonts w:cs="Times New Roman" w:ascii="Times New Roman" w:hAnsi="Times New Roman"/>
                <w:sz w:val="24"/>
                <w:szCs w:val="24"/>
              </w:rPr>
              <w:t>- интеграцию взаимодействия центрального оборудования ССОИ с единым центром мониторинга АПК Безопасного Города (ЦМК).</w:t>
            </w:r>
          </w:p>
        </w:tc>
      </w:tr>
      <w:tr>
        <w:trPr>
          <w:trHeight w:val="360" w:hRule="atLeast"/>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 xml:space="preserve">5. Заказчик </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end="-39"/>
              <w:contextualSpacing/>
              <w:jc w:val="both"/>
              <w:rPr/>
            </w:pPr>
            <w:r>
              <w:rPr>
                <w:rFonts w:eastAsia="Times New Roman" w:cs="Times New Roman" w:ascii="Times New Roman" w:hAnsi="Times New Roman"/>
                <w:sz w:val="24"/>
                <w:szCs w:val="24"/>
                <w:lang w:eastAsia="ru-RU"/>
              </w:rPr>
              <w:t>Государственное казенное учреждение Нижегородской области «Главное управление автомобильных дорог»</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b/>
                <w:sz w:val="24"/>
                <w:szCs w:val="24"/>
                <w:lang w:eastAsia="ru-RU"/>
              </w:rPr>
              <w:t>6. Местоположение   объекта</w:t>
            </w:r>
          </w:p>
        </w:tc>
        <w:tc>
          <w:tcPr>
            <w:tcW w:w="781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end="-39"/>
              <w:contextualSpacing/>
              <w:jc w:val="both"/>
              <w:rPr/>
            </w:pPr>
            <w:r>
              <w:rPr>
                <w:rFonts w:eastAsia="Times New Roman" w:cs="Times New Roman" w:ascii="Times New Roman" w:hAnsi="Times New Roman"/>
                <w:sz w:val="24"/>
                <w:szCs w:val="24"/>
                <w:lang w:eastAsia="ru-RU"/>
              </w:rPr>
              <w:t>Воротынский муниципальный округ Нижегородской области</w:t>
            </w:r>
            <w:r>
              <w:rPr>
                <w:rFonts w:eastAsia="Times New Roman" w:cs="Times New Roman" w:ascii="Times New Roman" w:hAnsi="Times New Roman"/>
                <w:iCs/>
                <w:sz w:val="24"/>
                <w:szCs w:val="24"/>
                <w:lang w:eastAsia="ru-RU"/>
              </w:rPr>
              <w:t xml:space="preserve"> </w:t>
            </w:r>
            <w:r>
              <w:rPr>
                <w:rFonts w:eastAsia="Times New Roman" w:cs="Times New Roman" w:ascii="Times New Roman" w:hAnsi="Times New Roman"/>
                <w:sz w:val="24"/>
                <w:szCs w:val="24"/>
                <w:lang w:eastAsia="ru-RU"/>
              </w:rPr>
              <w:t>-</w:t>
            </w:r>
            <w:r>
              <w:rPr>
                <w:rFonts w:cs="Times New Roman" w:ascii="Times New Roman" w:hAnsi="Times New Roman"/>
                <w:sz w:val="24"/>
                <w:szCs w:val="24"/>
                <w:lang w:eastAsia="ru-RU"/>
              </w:rPr>
              <w:t xml:space="preserve"> </w:t>
            </w:r>
            <w:r>
              <w:rPr>
                <w:rFonts w:cs="Times New Roman" w:ascii="Times New Roman" w:hAnsi="Times New Roman"/>
                <w:b w:val="false"/>
                <w:i w:val="false"/>
                <w:caps w:val="false"/>
                <w:smallCaps w:val="false"/>
                <w:color w:val="000000"/>
                <w:spacing w:val="0"/>
                <w:sz w:val="20"/>
                <w:szCs w:val="20"/>
                <w:lang w:eastAsia="ru-RU"/>
              </w:rPr>
              <w:t>Мост ч/р р. Сережа на км 35+305 а/д Павлово-Сосновское-Лесуново-Мухтолово-Саконы (3 категория)</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7. Сроки выполнения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cs="Times New Roman" w:ascii="Times New Roman" w:hAnsi="Times New Roman"/>
                <w:sz w:val="24"/>
                <w:szCs w:val="24"/>
                <w:lang w:eastAsia="ru-RU"/>
              </w:rPr>
              <w:t>Начало выполнения работ – с даты заключения Контракта.</w:t>
            </w:r>
          </w:p>
          <w:p>
            <w:pPr>
              <w:pStyle w:val="Normal"/>
              <w:spacing w:lineRule="auto" w:line="240" w:before="0" w:after="0"/>
              <w:jc w:val="both"/>
              <w:rPr/>
            </w:pPr>
            <w:r>
              <w:rPr>
                <w:rFonts w:cs="Times New Roman" w:ascii="Times New Roman" w:hAnsi="Times New Roman"/>
                <w:sz w:val="24"/>
                <w:szCs w:val="24"/>
                <w:lang w:eastAsia="ru-RU"/>
              </w:rPr>
              <w:t>Окончание выполнения работ – 31.07.2027 года.</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8. Исходные данные, предоставляемые Заказчиком</w:t>
            </w:r>
          </w:p>
        </w:tc>
        <w:tc>
          <w:tcPr>
            <w:tcW w:w="7818" w:type="dxa"/>
            <w:tcBorders>
              <w:top w:val="single" w:sz="4" w:space="0" w:color="000000"/>
              <w:start w:val="single" w:sz="4" w:space="0" w:color="000000"/>
              <w:bottom w:val="single" w:sz="4" w:space="0" w:color="000000"/>
              <w:end w:val="single" w:sz="4" w:space="0" w:color="000000"/>
            </w:tcBorders>
          </w:tcPr>
          <w:p>
            <w:pPr>
              <w:pStyle w:val="Normal"/>
              <w:widowControl w:val="false"/>
              <w:shd w:fill="FFFFFF" w:val="clear"/>
              <w:autoSpaceDE w:val="false"/>
              <w:spacing w:lineRule="auto" w:line="240" w:before="0" w:after="0"/>
              <w:jc w:val="both"/>
              <w:rPr/>
            </w:pP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lang w:eastAsia="ru-RU"/>
              </w:rPr>
              <w:t>В соответствии с Постановлениями Правительства Российской Федерации от 14.11.2022г.N2049 и от 14.11.2022г. №2051 установлен порядок обращения со сведениями о результатах проведенной оценки уязвимости объектов транспортной инфраструктуры и транспортных средств и сведениями, содержащимися в планах обеспечения транспортной безопасности объектов транспортной инфраструктуры и транспортных средств.</w:t>
            </w:r>
          </w:p>
          <w:p>
            <w:pPr>
              <w:pStyle w:val="Normal"/>
              <w:widowControl w:val="false"/>
              <w:shd w:fill="FFFFFF" w:val="clear"/>
              <w:autoSpaceDE w:val="false"/>
              <w:spacing w:lineRule="auto" w:line="240" w:before="0" w:after="0"/>
              <w:jc w:val="both"/>
              <w:rPr/>
            </w:pP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lang w:eastAsia="ru-RU"/>
              </w:rPr>
              <w:t>Проектная документация разработана с учетом проведенной оценки уязвимости и утвержденного плана обеспечения транспортной безопасности объекта транспортной инфраструктуры и соответственно также является информацией ограниченного доступа.</w:t>
            </w:r>
          </w:p>
          <w:p>
            <w:pPr>
              <w:pStyle w:val="Normal"/>
              <w:widowControl w:val="false"/>
              <w:shd w:fill="FFFFFF" w:val="clear"/>
              <w:autoSpaceDE w:val="false"/>
              <w:spacing w:lineRule="auto" w:line="240" w:before="0" w:after="0"/>
              <w:jc w:val="both"/>
              <w:rPr/>
            </w:pP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lang w:eastAsia="ru-RU"/>
              </w:rPr>
              <w:t>Согласно Постановлениям Правительства Российской Федерации от 14.11.2022г.N2049 и от 14.11.2022г. №2051, работа с носителями информации ограниченного доступа выполняется при помощи специально выделенных для этих целей средств вычислительной техники или оборудования, не подключенных к информационно-телекоммуникационным сетям и находящихся в помещениях субъекта транспортной инфраструктуры или специализированной организации, в которые возможность доступа сторонних лиц должна быть исключена. В связи с указанными обстоятельствами проектная и рабочая документация объекта транспортной инфраструктуры не опубликована на официальном сайте Единой информационной системы в сфере закупок www.zakupki.gov.ru.</w:t>
            </w:r>
          </w:p>
          <w:p>
            <w:pPr>
              <w:pStyle w:val="Normal"/>
              <w:spacing w:lineRule="auto" w:line="240" w:before="0" w:after="0"/>
              <w:jc w:val="both"/>
              <w:rPr/>
            </w:pP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lang w:eastAsia="ru-RU"/>
              </w:rPr>
              <w:t>Ознакомление с проектной документацией производится на основании письменного обращения в адрес ГКУ НО «ГУАД» по адресу: 603086,  г.Н.Новгород,  ул. Керченская,  дом  № 12. Лицо, направленное для ознакомления с документами, должно иметь доверенность и быть аттестованным в качестве работника, непосредственно связанным с обеспечением транспортной безопасности, иметь при себе паспорт гражданина для оформления пропуска на территорию субъекта транспортной инфраструктуры.</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b/>
                <w:sz w:val="24"/>
                <w:szCs w:val="24"/>
                <w:lang w:eastAsia="ru-RU"/>
              </w:rPr>
              <w:t>9. Состав комплекса инженерно-техническими системами   обеспечения транспортной безопасности</w:t>
            </w:r>
          </w:p>
          <w:p>
            <w:pPr>
              <w:pStyle w:val="Normal"/>
              <w:spacing w:lineRule="auto" w:line="240" w:before="0" w:after="0"/>
              <w:ind w:firstLine="360" w:end="0"/>
              <w:jc w:val="center"/>
              <w:rPr>
                <w:rFonts w:ascii="Times New Roman" w:hAnsi="Times New Roman" w:cs="Times New Roman"/>
                <w:b/>
                <w:sz w:val="24"/>
                <w:szCs w:val="24"/>
                <w:lang w:eastAsia="ru-RU"/>
              </w:rPr>
            </w:pPr>
            <w:r>
              <w:rPr>
                <w:rFonts w:cs="Times New Roman" w:ascii="Times New Roman" w:hAnsi="Times New Roman"/>
                <w:b/>
                <w:sz w:val="24"/>
                <w:szCs w:val="24"/>
                <w:lang w:eastAsia="ru-RU"/>
              </w:rPr>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В состав комплекса ИТСОТБ входят следующие системы:</w:t>
            </w:r>
          </w:p>
          <w:p>
            <w:pPr>
              <w:pStyle w:val="Normal"/>
              <w:spacing w:lineRule="auto" w:line="240" w:before="0" w:after="0"/>
              <w:ind w:start="-284" w:end="141"/>
              <w:jc w:val="both"/>
              <w:rPr/>
            </w:pPr>
            <w:r>
              <w:rPr>
                <w:rFonts w:cs="Times New Roman" w:ascii="Times New Roman" w:hAnsi="Times New Roman"/>
                <w:iCs/>
                <w:sz w:val="28"/>
                <w:szCs w:val="28"/>
              </w:rPr>
              <w:t>1.</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4"/>
                <w:szCs w:val="24"/>
                <w:lang w:eastAsia="ru-RU"/>
              </w:rPr>
              <w:t>Книга 1.   Общая пояснительная записка.</w:t>
            </w:r>
          </w:p>
          <w:p>
            <w:pPr>
              <w:pStyle w:val="Normal"/>
              <w:spacing w:lineRule="auto" w:line="240" w:before="0" w:after="0"/>
              <w:ind w:start="-284" w:end="141"/>
              <w:jc w:val="both"/>
              <w:rPr/>
            </w:pPr>
            <w:r>
              <w:rPr>
                <w:rFonts w:eastAsia="Times New Roman" w:cs="Times New Roman" w:ascii="Times New Roman" w:hAnsi="Times New Roman"/>
                <w:sz w:val="24"/>
                <w:szCs w:val="24"/>
                <w:lang w:eastAsia="ru-RU"/>
              </w:rPr>
              <w:t>2.  Книга 1.1.</w:t>
            </w:r>
            <w:r>
              <w:rPr>
                <w:rFonts w:eastAsia="Times New Roman" w:cs="Times New Roman" w:ascii="Times New Roman" w:hAnsi="Times New Roman"/>
                <w:iCs/>
                <w:color w:val="000000"/>
                <w:sz w:val="24"/>
                <w:szCs w:val="24"/>
                <w:lang w:eastAsia="ru-RU"/>
              </w:rPr>
              <w:t xml:space="preserve"> Система передачи данных и информации.</w:t>
            </w:r>
          </w:p>
          <w:p>
            <w:pPr>
              <w:pStyle w:val="Normal"/>
              <w:widowControl w:val="false"/>
              <w:spacing w:before="0" w:after="0"/>
              <w:ind w:start="-284" w:end="0"/>
              <w:jc w:val="both"/>
              <w:textAlignment w:val="baseline"/>
              <w:rPr/>
            </w:pPr>
            <w:r>
              <w:rPr>
                <w:rFonts w:eastAsia="SimSun;宋体" w:cs="Mangal" w:ascii="Times New Roman" w:hAnsi="Times New Roman"/>
                <w:iCs/>
                <w:color w:val="000000"/>
                <w:kern w:val="2"/>
                <w:sz w:val="24"/>
                <w:szCs w:val="24"/>
                <w:lang w:eastAsia="zh-CN" w:bidi="hi-IN"/>
              </w:rPr>
              <w:t xml:space="preserve">3.  Книга 1.2. </w:t>
            </w:r>
            <w:r>
              <w:rPr>
                <w:rFonts w:eastAsia="SimSun;宋体" w:cs="Times New Roman" w:ascii="Times New Roman" w:hAnsi="Times New Roman"/>
                <w:iCs/>
                <w:color w:val="000000"/>
                <w:kern w:val="2"/>
                <w:sz w:val="24"/>
                <w:szCs w:val="24"/>
                <w:lang w:eastAsia="zh-CN" w:bidi="hi-IN"/>
              </w:rPr>
              <w:t>Система сбора и обработки информации.</w:t>
            </w:r>
          </w:p>
          <w:p>
            <w:pPr>
              <w:pStyle w:val="Normal"/>
              <w:spacing w:lineRule="auto" w:line="240" w:before="0" w:after="0"/>
              <w:ind w:start="-284" w:end="141"/>
              <w:jc w:val="both"/>
              <w:rPr/>
            </w:pPr>
            <w:r>
              <w:rPr>
                <w:rFonts w:cs="Times New Roman" w:ascii="Times New Roman" w:hAnsi="Times New Roman"/>
                <w:iCs/>
                <w:sz w:val="24"/>
                <w:szCs w:val="24"/>
              </w:rPr>
              <w:t>4.</w:t>
            </w:r>
            <w:r>
              <w:rPr>
                <w:rFonts w:eastAsia="Times New Roman" w:cs="Times New Roman" w:ascii="Times New Roman" w:hAnsi="Times New Roman"/>
                <w:iCs/>
                <w:color w:val="000000"/>
                <w:sz w:val="24"/>
                <w:szCs w:val="24"/>
                <w:lang w:eastAsia="ru-RU"/>
              </w:rPr>
              <w:t xml:space="preserve">  Книга 1.3. Система охранная телевизионная.</w:t>
            </w:r>
          </w:p>
          <w:p>
            <w:pPr>
              <w:pStyle w:val="Normal"/>
              <w:spacing w:lineRule="auto" w:line="240" w:before="0" w:after="0"/>
              <w:ind w:start="-284" w:end="141"/>
              <w:jc w:val="both"/>
              <w:rPr/>
            </w:pPr>
            <w:r>
              <w:rPr>
                <w:rFonts w:cs="Times New Roman" w:ascii="Times New Roman" w:hAnsi="Times New Roman"/>
                <w:iCs/>
                <w:sz w:val="24"/>
                <w:szCs w:val="24"/>
              </w:rPr>
              <w:t xml:space="preserve">5.  </w:t>
            </w:r>
            <w:r>
              <w:rPr>
                <w:rFonts w:eastAsia="Times New Roman" w:cs="Times New Roman" w:ascii="Times New Roman" w:hAnsi="Times New Roman"/>
                <w:iCs/>
                <w:color w:val="000000"/>
                <w:sz w:val="24"/>
                <w:szCs w:val="24"/>
                <w:lang w:eastAsia="ru-RU"/>
              </w:rPr>
              <w:t>Книга 1.4. Система контроля и управления доступом.</w:t>
            </w:r>
          </w:p>
          <w:p>
            <w:pPr>
              <w:pStyle w:val="Normal"/>
              <w:spacing w:lineRule="auto" w:line="240" w:before="0" w:after="0"/>
              <w:ind w:start="-284" w:end="141"/>
              <w:jc w:val="both"/>
              <w:rPr/>
            </w:pPr>
            <w:r>
              <w:rPr>
                <w:rFonts w:cs="Times New Roman" w:ascii="Times New Roman" w:hAnsi="Times New Roman"/>
                <w:iCs/>
                <w:sz w:val="24"/>
                <w:szCs w:val="24"/>
              </w:rPr>
              <w:t xml:space="preserve">6.  </w:t>
            </w:r>
            <w:r>
              <w:rPr>
                <w:rFonts w:eastAsia="Times New Roman" w:cs="Times New Roman" w:ascii="Times New Roman" w:hAnsi="Times New Roman"/>
                <w:iCs/>
                <w:color w:val="000000"/>
                <w:sz w:val="24"/>
                <w:szCs w:val="24"/>
                <w:lang w:eastAsia="ru-RU"/>
              </w:rPr>
              <w:t>Книга 1.5. Система охранной сигнализации.</w:t>
            </w:r>
          </w:p>
          <w:p>
            <w:pPr>
              <w:pStyle w:val="Normal"/>
              <w:spacing w:lineRule="auto" w:line="240" w:before="0" w:after="0"/>
              <w:ind w:start="-284" w:end="141"/>
              <w:jc w:val="both"/>
              <w:rPr/>
            </w:pPr>
            <w:r>
              <w:rPr>
                <w:rFonts w:cs="Times New Roman" w:ascii="Times New Roman" w:hAnsi="Times New Roman"/>
                <w:iCs/>
                <w:sz w:val="24"/>
                <w:szCs w:val="24"/>
              </w:rPr>
              <w:t xml:space="preserve">7.  </w:t>
            </w:r>
            <w:r>
              <w:rPr>
                <w:rFonts w:eastAsia="Times New Roman" w:cs="Times New Roman" w:ascii="Times New Roman" w:hAnsi="Times New Roman"/>
                <w:iCs/>
                <w:color w:val="000000"/>
                <w:sz w:val="24"/>
                <w:szCs w:val="24"/>
                <w:lang w:eastAsia="ru-RU"/>
              </w:rPr>
              <w:t>Книга 1.6. Система громкоговорящего оповещения.</w:t>
            </w:r>
          </w:p>
          <w:p>
            <w:pPr>
              <w:pStyle w:val="Normal"/>
              <w:spacing w:lineRule="auto" w:line="240" w:before="0" w:after="0"/>
              <w:ind w:start="-264" w:end="-113"/>
              <w:jc w:val="both"/>
              <w:rPr/>
            </w:pPr>
            <w:r>
              <w:rPr>
                <w:rFonts w:cs="Times New Roman" w:ascii="Times New Roman" w:hAnsi="Times New Roman"/>
                <w:iCs/>
                <w:sz w:val="24"/>
                <w:szCs w:val="24"/>
              </w:rPr>
              <w:t xml:space="preserve">8.  </w:t>
            </w:r>
            <w:r>
              <w:rPr>
                <w:rFonts w:eastAsia="Times New Roman" w:cs="Times New Roman" w:ascii="Times New Roman" w:hAnsi="Times New Roman"/>
                <w:iCs/>
                <w:color w:val="000000"/>
                <w:sz w:val="24"/>
                <w:szCs w:val="24"/>
                <w:lang w:eastAsia="ru-RU"/>
              </w:rPr>
              <w:t>Книга 1.7. Система электроснабжения.</w:t>
            </w:r>
          </w:p>
          <w:p>
            <w:pPr>
              <w:pStyle w:val="Normal"/>
              <w:spacing w:lineRule="auto" w:line="240" w:before="0" w:after="0"/>
              <w:ind w:start="-284" w:end="141"/>
              <w:jc w:val="both"/>
              <w:rPr/>
            </w:pPr>
            <w:r>
              <w:rPr>
                <w:rFonts w:cs="Times New Roman" w:ascii="Times New Roman" w:hAnsi="Times New Roman"/>
                <w:iCs/>
                <w:sz w:val="24"/>
                <w:szCs w:val="24"/>
              </w:rPr>
              <w:t>9.</w:t>
            </w:r>
            <w:r>
              <w:rPr>
                <w:rFonts w:eastAsia="Times New Roman" w:cs="Times New Roman" w:ascii="Times New Roman" w:hAnsi="Times New Roman"/>
                <w:iCs/>
                <w:color w:val="000000"/>
                <w:sz w:val="24"/>
                <w:szCs w:val="24"/>
                <w:lang w:eastAsia="ru-RU"/>
              </w:rPr>
              <w:t xml:space="preserve">  Книга 1.8. Система охранного освещения.</w:t>
            </w:r>
          </w:p>
          <w:p>
            <w:pPr>
              <w:pStyle w:val="Normal"/>
              <w:spacing w:lineRule="auto" w:line="240" w:before="0" w:after="0"/>
              <w:ind w:start="-426" w:end="141"/>
              <w:jc w:val="both"/>
              <w:rPr/>
            </w:pPr>
            <w:r>
              <w:rPr>
                <w:rFonts w:cs="Times New Roman" w:ascii="Times New Roman" w:hAnsi="Times New Roman"/>
                <w:iCs/>
                <w:sz w:val="24"/>
                <w:szCs w:val="24"/>
              </w:rPr>
              <w:t xml:space="preserve">10.  </w:t>
            </w:r>
            <w:r>
              <w:rPr>
                <w:rFonts w:eastAsia="Times New Roman" w:cs="Times New Roman" w:ascii="Times New Roman" w:hAnsi="Times New Roman"/>
                <w:iCs/>
                <w:color w:val="000000"/>
                <w:sz w:val="24"/>
                <w:szCs w:val="24"/>
                <w:lang w:eastAsia="ru-RU"/>
              </w:rPr>
              <w:t>Книга 4.1. Инженерные сооружения.</w:t>
            </w:r>
          </w:p>
          <w:p>
            <w:pPr>
              <w:pStyle w:val="Normal"/>
              <w:spacing w:lineRule="auto" w:line="240" w:before="0" w:after="0"/>
              <w:ind w:start="-426" w:end="141"/>
              <w:jc w:val="both"/>
              <w:rPr/>
            </w:pPr>
            <w:r>
              <w:rPr>
                <w:rFonts w:cs="Times New Roman" w:ascii="Times New Roman" w:hAnsi="Times New Roman"/>
                <w:iCs/>
                <w:sz w:val="24"/>
                <w:szCs w:val="24"/>
              </w:rPr>
              <w:t>11.</w:t>
            </w:r>
            <w:r>
              <w:rPr>
                <w:rFonts w:eastAsia="Times New Roman" w:cs="Times New Roman" w:ascii="Times New Roman" w:hAnsi="Times New Roman"/>
                <w:iCs/>
                <w:color w:val="000000"/>
                <w:sz w:val="24"/>
                <w:szCs w:val="24"/>
                <w:lang w:eastAsia="ru-RU"/>
              </w:rPr>
              <w:t xml:space="preserve"> </w:t>
            </w:r>
            <w:bookmarkStart w:id="2" w:name="_Hlk228790929"/>
            <w:r>
              <w:rPr>
                <w:rFonts w:eastAsia="Times New Roman" w:cs="Times New Roman" w:ascii="Times New Roman" w:hAnsi="Times New Roman"/>
                <w:iCs/>
                <w:color w:val="000000"/>
                <w:sz w:val="24"/>
                <w:szCs w:val="24"/>
                <w:lang w:eastAsia="ru-RU"/>
              </w:rPr>
              <w:t xml:space="preserve"> Книга 4.2. </w:t>
            </w:r>
            <w:bookmarkEnd w:id="2"/>
            <w:r>
              <w:rPr>
                <w:rFonts w:eastAsia="Times New Roman" w:cs="Times New Roman" w:ascii="Times New Roman" w:hAnsi="Times New Roman"/>
                <w:iCs/>
                <w:color w:val="000000"/>
                <w:sz w:val="24"/>
                <w:szCs w:val="24"/>
                <w:lang w:eastAsia="ru-RU"/>
              </w:rPr>
              <w:t>Единый пункт управления обеспечением транспортной</w:t>
            </w:r>
          </w:p>
          <w:p>
            <w:pPr>
              <w:pStyle w:val="Normal"/>
              <w:spacing w:lineRule="auto" w:line="240" w:before="0" w:after="0"/>
              <w:ind w:start="-426" w:end="141"/>
              <w:jc w:val="both"/>
              <w:rPr/>
            </w:pPr>
            <w:r>
              <w:rPr>
                <w:rFonts w:eastAsia="Times New Roman" w:cs="Times New Roman" w:ascii="Times New Roman" w:hAnsi="Times New Roman"/>
                <w:iCs/>
                <w:color w:val="000000"/>
                <w:sz w:val="24"/>
                <w:szCs w:val="24"/>
                <w:lang w:eastAsia="ru-RU"/>
              </w:rPr>
              <w:t>без  безопасностью.</w:t>
            </w:r>
          </w:p>
          <w:p>
            <w:pPr>
              <w:pStyle w:val="Normal"/>
              <w:widowControl w:val="false"/>
              <w:spacing w:before="0" w:after="0"/>
              <w:ind w:start="-426" w:end="0"/>
              <w:jc w:val="both"/>
              <w:textAlignment w:val="baseline"/>
              <w:rPr/>
            </w:pPr>
            <w:r>
              <w:rPr>
                <w:rFonts w:cs="Mangal" w:ascii="Times New Roman" w:hAnsi="Times New Roman"/>
                <w:iCs/>
                <w:kern w:val="2"/>
                <w:sz w:val="24"/>
                <w:szCs w:val="24"/>
                <w:lang w:bidi="hi-IN"/>
              </w:rPr>
              <w:t>12.</w:t>
            </w:r>
            <w:r>
              <w:rPr>
                <w:rFonts w:eastAsia="SimSun;宋体" w:cs="Mangal" w:ascii="Times New Roman" w:hAnsi="Times New Roman"/>
                <w:iCs/>
                <w:color w:val="000000"/>
                <w:kern w:val="2"/>
                <w:sz w:val="24"/>
                <w:szCs w:val="24"/>
                <w:lang w:eastAsia="zh-CN" w:bidi="hi-IN"/>
              </w:rPr>
              <w:t xml:space="preserve">  Книга 5.1. </w:t>
            </w:r>
            <w:r>
              <w:rPr>
                <w:rFonts w:eastAsia="SimSun;宋体" w:cs="Times New Roman" w:ascii="Times New Roman" w:hAnsi="Times New Roman"/>
                <w:iCs/>
                <w:color w:val="000000"/>
                <w:kern w:val="2"/>
                <w:sz w:val="24"/>
                <w:szCs w:val="24"/>
                <w:lang w:eastAsia="zh-CN" w:bidi="hi-IN"/>
              </w:rPr>
              <w:t>Проект организации строительства.</w:t>
            </w:r>
          </w:p>
          <w:p>
            <w:pPr>
              <w:pStyle w:val="Normal"/>
              <w:spacing w:lineRule="auto" w:line="240" w:before="0" w:after="0"/>
              <w:ind w:start="-426" w:end="141"/>
              <w:jc w:val="both"/>
              <w:rPr/>
            </w:pPr>
            <w:r>
              <w:rPr>
                <w:rFonts w:cs="Times New Roman" w:ascii="Times New Roman" w:hAnsi="Times New Roman"/>
                <w:iCs/>
                <w:sz w:val="24"/>
                <w:szCs w:val="24"/>
              </w:rPr>
              <w:t xml:space="preserve">13. </w:t>
            </w:r>
            <w:bookmarkStart w:id="3" w:name="_Hlk228791313"/>
            <w:r>
              <w:rPr>
                <w:rFonts w:cs="Times New Roman" w:ascii="Times New Roman" w:hAnsi="Times New Roman"/>
                <w:iCs/>
                <w:sz w:val="24"/>
                <w:szCs w:val="24"/>
              </w:rPr>
              <w:t xml:space="preserve"> </w:t>
            </w:r>
            <w:r>
              <w:rPr>
                <w:rFonts w:eastAsia="Times New Roman" w:cs="Times New Roman" w:ascii="Times New Roman" w:hAnsi="Times New Roman"/>
                <w:iCs/>
                <w:color w:val="000000"/>
                <w:sz w:val="24"/>
                <w:szCs w:val="24"/>
                <w:lang w:eastAsia="ru-RU"/>
              </w:rPr>
              <w:t xml:space="preserve">Книга 7.1. </w:t>
            </w:r>
            <w:bookmarkEnd w:id="3"/>
            <w:r>
              <w:rPr>
                <w:rFonts w:eastAsia="Times New Roman" w:cs="Times New Roman" w:ascii="Times New Roman" w:hAnsi="Times New Roman"/>
                <w:iCs/>
                <w:color w:val="000000"/>
                <w:sz w:val="24"/>
                <w:szCs w:val="24"/>
                <w:lang w:eastAsia="ru-RU"/>
              </w:rPr>
              <w:t>Мероприятия по обеспечению пожарной безопасности.</w:t>
            </w:r>
          </w:p>
          <w:p>
            <w:pPr>
              <w:pStyle w:val="Normal"/>
              <w:spacing w:lineRule="auto" w:line="240" w:before="0" w:after="0"/>
              <w:ind w:end="141"/>
              <w:jc w:val="both"/>
              <w:rPr/>
            </w:pPr>
            <w:r>
              <w:rPr>
                <w:rFonts w:eastAsia="Times New Roman" w:cs="Times New Roman" w:ascii="Times New Roman" w:hAnsi="Times New Roman"/>
                <w:iCs/>
                <w:color w:val="000000"/>
                <w:sz w:val="24"/>
                <w:szCs w:val="24"/>
                <w:lang w:eastAsia="ru-RU"/>
              </w:rPr>
              <w:t>Книга 9.1. Сводный сметный расчет. Локальные и объектные сметы.    Чать1.</w:t>
            </w:r>
          </w:p>
          <w:p>
            <w:pPr>
              <w:pStyle w:val="Normal"/>
              <w:spacing w:lineRule="auto" w:line="240" w:before="0" w:after="0"/>
              <w:ind w:start="-426" w:end="141"/>
              <w:jc w:val="both"/>
              <w:rPr/>
            </w:pPr>
            <w:r>
              <w:rPr>
                <w:rFonts w:cs="Times New Roman" w:ascii="Times New Roman" w:hAnsi="Times New Roman"/>
                <w:iCs/>
                <w:sz w:val="24"/>
                <w:szCs w:val="24"/>
              </w:rPr>
              <w:t xml:space="preserve">15. </w:t>
            </w:r>
            <w:r>
              <w:rPr>
                <w:rFonts w:eastAsia="Times New Roman" w:cs="Times New Roman" w:ascii="Times New Roman" w:hAnsi="Times New Roman"/>
                <w:iCs/>
                <w:color w:val="000000"/>
                <w:sz w:val="24"/>
                <w:szCs w:val="24"/>
                <w:lang w:eastAsia="ru-RU"/>
              </w:rPr>
              <w:t>Книга 9.2. Сводный сметный расчет. Локальные и объектные сметы. Часть2.</w:t>
            </w:r>
          </w:p>
          <w:p>
            <w:pPr>
              <w:pStyle w:val="Normal"/>
              <w:spacing w:lineRule="auto" w:line="240" w:before="0" w:after="0"/>
              <w:ind w:start="-426" w:end="141"/>
              <w:jc w:val="both"/>
              <w:rPr/>
            </w:pPr>
            <w:r>
              <w:rPr>
                <w:rFonts w:cs="Times New Roman" w:ascii="Times New Roman" w:hAnsi="Times New Roman"/>
                <w:iCs/>
                <w:sz w:val="24"/>
                <w:szCs w:val="24"/>
              </w:rPr>
              <w:t xml:space="preserve">16.  </w:t>
            </w:r>
            <w:r>
              <w:rPr>
                <w:rFonts w:eastAsia="Times New Roman" w:cs="Times New Roman" w:ascii="Times New Roman" w:hAnsi="Times New Roman"/>
                <w:iCs/>
                <w:color w:val="000000"/>
                <w:sz w:val="24"/>
                <w:szCs w:val="24"/>
                <w:lang w:eastAsia="ru-RU"/>
              </w:rPr>
              <w:t>Книга 9.3.</w:t>
            </w:r>
            <w:r>
              <w:rPr>
                <w:rFonts w:eastAsia="Times New Roman" w:cs="Times New Roman" w:ascii="Times New Roman" w:hAnsi="Times New Roman"/>
                <w:iCs/>
                <w:sz w:val="24"/>
                <w:szCs w:val="24"/>
                <w:lang w:eastAsia="ru-RU"/>
              </w:rPr>
              <w:t xml:space="preserve"> Перечень цен, прайс-листы.</w:t>
            </w:r>
          </w:p>
          <w:p>
            <w:pPr>
              <w:pStyle w:val="Normal"/>
              <w:spacing w:lineRule="auto" w:line="240" w:before="0" w:after="0"/>
              <w:ind w:start="-426" w:end="141"/>
              <w:jc w:val="both"/>
              <w:rPr/>
            </w:pPr>
            <w:r>
              <w:rPr>
                <w:rFonts w:cs="Times New Roman" w:ascii="Times New Roman" w:hAnsi="Times New Roman"/>
                <w:iCs/>
                <w:sz w:val="24"/>
                <w:szCs w:val="24"/>
              </w:rPr>
              <w:t xml:space="preserve">17. </w:t>
            </w:r>
            <w:r>
              <w:rPr>
                <w:rFonts w:eastAsia="Times New Roman" w:cs="Times New Roman" w:ascii="Times New Roman" w:hAnsi="Times New Roman"/>
                <w:iCs/>
                <w:color w:val="000000"/>
                <w:sz w:val="24"/>
                <w:szCs w:val="24"/>
                <w:lang w:eastAsia="ru-RU"/>
              </w:rPr>
              <w:t>Книга 9.4.Конъюктурный анализ стоимости оборудования и материалов.</w:t>
            </w:r>
          </w:p>
          <w:p>
            <w:pPr>
              <w:pStyle w:val="Normal"/>
              <w:spacing w:lineRule="auto" w:line="240" w:before="0" w:after="0"/>
              <w:ind w:start="-426" w:end="141"/>
              <w:jc w:val="both"/>
              <w:rPr>
                <w:rFonts w:ascii="Times New Roman" w:hAnsi="Times New Roman" w:eastAsia="Times New Roman" w:cs="Times New Roman"/>
                <w:iCs/>
                <w:color w:val="000000"/>
                <w:sz w:val="24"/>
                <w:szCs w:val="24"/>
                <w:lang w:eastAsia="ru-RU"/>
              </w:rPr>
            </w:pPr>
            <w:r>
              <w:rPr>
                <w:rFonts w:eastAsia="Times New Roman" w:cs="Times New Roman" w:ascii="Times New Roman" w:hAnsi="Times New Roman"/>
                <w:iCs/>
                <w:color w:val="000000"/>
                <w:sz w:val="24"/>
                <w:szCs w:val="24"/>
                <w:lang w:eastAsia="ru-RU"/>
              </w:rPr>
              <w:t>18.  Книга 9.5. Ведомости объемов работ.</w:t>
            </w:r>
          </w:p>
          <w:p>
            <w:pPr>
              <w:pStyle w:val="Normal"/>
              <w:spacing w:lineRule="auto" w:line="240" w:before="0" w:after="0"/>
              <w:ind w:start="-426" w:end="141"/>
              <w:jc w:val="both"/>
              <w:rPr>
                <w:rFonts w:ascii="Times New Roman" w:hAnsi="Times New Roman" w:eastAsia="Times New Roman" w:cs="Times New Roman"/>
                <w:iCs/>
                <w:color w:val="000000"/>
                <w:sz w:val="24"/>
                <w:szCs w:val="24"/>
                <w:lang w:eastAsia="ru-RU"/>
              </w:rPr>
            </w:pPr>
            <w:r>
              <w:rPr>
                <w:rFonts w:eastAsia="Times New Roman" w:cs="Times New Roman" w:ascii="Times New Roman" w:hAnsi="Times New Roman"/>
                <w:iCs/>
                <w:color w:val="000000"/>
                <w:sz w:val="24"/>
                <w:szCs w:val="24"/>
                <w:lang w:eastAsia="ru-RU"/>
              </w:rPr>
              <w:t>19.  Книга 10.1. Программа проведения и график выполнения</w:t>
            </w:r>
          </w:p>
          <w:p>
            <w:pPr>
              <w:pStyle w:val="Normal"/>
              <w:spacing w:lineRule="auto" w:line="240" w:before="0" w:after="0"/>
              <w:ind w:start="-426" w:end="141"/>
              <w:jc w:val="both"/>
              <w:rPr/>
            </w:pPr>
            <w:r>
              <w:rPr>
                <w:rFonts w:eastAsia="Times New Roman" w:cs="Times New Roman" w:ascii="Times New Roman" w:hAnsi="Times New Roman"/>
                <w:iCs/>
                <w:color w:val="000000"/>
                <w:sz w:val="24"/>
                <w:szCs w:val="24"/>
                <w:lang w:eastAsia="ru-RU"/>
              </w:rPr>
              <w:t xml:space="preserve">       </w:t>
            </w:r>
            <w:r>
              <w:rPr>
                <w:rFonts w:eastAsia="Times New Roman" w:cs="Times New Roman" w:ascii="Times New Roman" w:hAnsi="Times New Roman"/>
                <w:iCs/>
                <w:color w:val="000000"/>
                <w:sz w:val="24"/>
                <w:szCs w:val="24"/>
                <w:lang w:eastAsia="ru-RU"/>
              </w:rPr>
              <w:t>пусконаладочных работ.</w:t>
            </w:r>
          </w:p>
          <w:p>
            <w:pPr>
              <w:pStyle w:val="Normal"/>
              <w:spacing w:lineRule="auto" w:line="240" w:before="0" w:after="0"/>
              <w:ind w:start="-426" w:end="141"/>
              <w:jc w:val="both"/>
              <w:rPr/>
            </w:pPr>
            <w:r>
              <w:rPr>
                <w:rFonts w:eastAsia="Times New Roman" w:cs="Times New Roman" w:ascii="Times New Roman" w:hAnsi="Times New Roman"/>
                <w:iCs/>
                <w:color w:val="000000"/>
                <w:sz w:val="24"/>
                <w:szCs w:val="24"/>
                <w:lang w:eastAsia="ru-RU"/>
              </w:rPr>
              <w:t>20.  Книга 10.2. Сведения о реестровых записях и сертификатах.</w:t>
            </w:r>
          </w:p>
          <w:p>
            <w:pPr>
              <w:pStyle w:val="Normal"/>
              <w:spacing w:lineRule="auto" w:line="240" w:before="0" w:after="0"/>
              <w:ind w:start="-426" w:end="141"/>
              <w:jc w:val="both"/>
              <w:rPr/>
            </w:pPr>
            <w:r>
              <w:rPr>
                <w:rFonts w:eastAsia="Times New Roman" w:cs="Times New Roman" w:ascii="Times New Roman" w:hAnsi="Times New Roman"/>
                <w:iCs/>
                <w:color w:val="000000"/>
                <w:sz w:val="24"/>
                <w:szCs w:val="24"/>
                <w:lang w:eastAsia="ru-RU"/>
              </w:rPr>
              <w:t>21.  Книга 10.3. Инженерно-геодезические изыскания.</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b/>
                <w:sz w:val="24"/>
                <w:szCs w:val="24"/>
                <w:lang w:eastAsia="ru-RU"/>
              </w:rPr>
              <w:t xml:space="preserve">10. </w:t>
            </w:r>
            <w:r>
              <w:rPr>
                <w:rFonts w:cs="Times New Roman" w:ascii="Times New Roman" w:hAnsi="Times New Roman"/>
                <w:b/>
                <w:bCs/>
                <w:sz w:val="24"/>
                <w:szCs w:val="24"/>
                <w:lang w:eastAsia="ru-RU"/>
              </w:rPr>
              <w:t>Стадии выполнения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Подрядчик выполняет следующие работы:</w:t>
            </w:r>
          </w:p>
          <w:p>
            <w:pPr>
              <w:pStyle w:val="Normal"/>
              <w:spacing w:lineRule="auto" w:line="240" w:before="0" w:after="0"/>
              <w:ind w:firstLine="360" w:end="0"/>
              <w:jc w:val="both"/>
              <w:rPr/>
            </w:pPr>
            <w:r>
              <w:rPr>
                <w:rFonts w:cs="Times New Roman" w:ascii="Times New Roman" w:hAnsi="Times New Roman"/>
                <w:sz w:val="24"/>
                <w:szCs w:val="24"/>
                <w:lang w:eastAsia="ru-RU"/>
              </w:rPr>
              <w:t xml:space="preserve">10.1. </w:t>
            </w:r>
            <w:r>
              <w:rPr>
                <w:rFonts w:cs="Times New Roman" w:ascii="Times New Roman" w:hAnsi="Times New Roman"/>
                <w:b/>
                <w:bCs/>
                <w:sz w:val="24"/>
                <w:szCs w:val="24"/>
                <w:lang w:eastAsia="ru-RU"/>
              </w:rPr>
              <w:t>Разработка рабочей документации (Согласование с Заказчиком).</w:t>
            </w:r>
          </w:p>
          <w:p>
            <w:pPr>
              <w:pStyle w:val="Normal"/>
              <w:spacing w:lineRule="auto" w:line="240" w:before="0" w:after="0"/>
              <w:jc w:val="both"/>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Подрядчик разрабатывает рабочую документацию на оснащение ОТИ инженерно-техническими средствами (системами) обеспечения транспортной безопасности в течении 30 календарных дней после заключения государственного контракта.</w:t>
            </w:r>
          </w:p>
          <w:p>
            <w:pPr>
              <w:pStyle w:val="Normal"/>
              <w:spacing w:lineRule="auto" w:line="240" w:before="0" w:after="0"/>
              <w:jc w:val="both"/>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Подрядчик представляет рабочую документацию не позднее, чем за 10 (десять) рабочих дней до начала производства конкретного вида работ на согласование Заказчику. Срок согласования заказчиком составляет 3 (три) рабочих дня.</w:t>
            </w:r>
          </w:p>
          <w:p>
            <w:pPr>
              <w:pStyle w:val="Normal"/>
              <w:spacing w:lineRule="auto" w:line="240" w:before="0" w:after="0"/>
              <w:jc w:val="both"/>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 xml:space="preserve">При наличии замечаний Заказчика, Подрядчик обязан внести изменения в рабочую документацию, в сроки, установленные Заказчиком. </w:t>
            </w:r>
          </w:p>
          <w:p>
            <w:pPr>
              <w:pStyle w:val="Normal"/>
              <w:spacing w:lineRule="auto" w:line="240" w:before="0" w:after="0"/>
              <w:jc w:val="both"/>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Вне зависимости от того, когда в ходе исполнения настоящего Контракта будут выявлены недостатки проведения работ по разработке рабочей документации Подрядчик, устраняет их в сроки, устанавливаемые Заказчиком.</w:t>
            </w:r>
          </w:p>
          <w:p>
            <w:pPr>
              <w:pStyle w:val="Normal"/>
              <w:spacing w:lineRule="auto" w:line="240" w:before="0" w:after="0"/>
              <w:ind w:firstLine="360" w:end="0"/>
              <w:jc w:val="both"/>
              <w:rPr/>
            </w:pPr>
            <w:r>
              <w:rPr>
                <w:rFonts w:cs="Times New Roman" w:ascii="Times New Roman" w:hAnsi="Times New Roman"/>
                <w:sz w:val="24"/>
                <w:szCs w:val="24"/>
                <w:lang w:eastAsia="ru-RU"/>
              </w:rPr>
              <w:t>10.2. Подготовительные работы (проект производства работ, схемы организации дорожного движения и ограждение мест производства краткосрочных работ).</w:t>
            </w:r>
          </w:p>
          <w:p>
            <w:pPr>
              <w:pStyle w:val="Normal"/>
              <w:spacing w:lineRule="auto" w:line="240" w:before="0" w:after="0"/>
              <w:ind w:firstLine="360" w:end="0"/>
              <w:jc w:val="both"/>
              <w:rPr/>
            </w:pPr>
            <w:r>
              <w:rPr>
                <w:rFonts w:cs="Times New Roman" w:ascii="Times New Roman" w:hAnsi="Times New Roman"/>
                <w:sz w:val="24"/>
                <w:szCs w:val="24"/>
                <w:lang w:eastAsia="ru-RU"/>
              </w:rPr>
              <w:t>10.3. Доставка оборудования.</w:t>
            </w:r>
          </w:p>
          <w:p>
            <w:pPr>
              <w:pStyle w:val="Normal"/>
              <w:spacing w:lineRule="auto" w:line="240" w:before="0" w:after="0"/>
              <w:ind w:firstLine="360" w:end="0"/>
              <w:rPr/>
            </w:pPr>
            <w:r>
              <w:rPr>
                <w:rFonts w:cs="Times New Roman" w:ascii="Times New Roman" w:hAnsi="Times New Roman"/>
                <w:sz w:val="24"/>
                <w:szCs w:val="24"/>
                <w:lang w:eastAsia="ru-RU"/>
              </w:rPr>
              <w:t>10.4. Строительно-монтажные работы.</w:t>
            </w:r>
          </w:p>
          <w:p>
            <w:pPr>
              <w:pStyle w:val="Normal"/>
              <w:spacing w:lineRule="auto" w:line="240" w:before="0" w:after="0"/>
              <w:ind w:firstLine="360" w:end="0"/>
              <w:jc w:val="both"/>
              <w:rPr/>
            </w:pPr>
            <w:r>
              <w:rPr>
                <w:rFonts w:cs="Times New Roman" w:ascii="Times New Roman" w:hAnsi="Times New Roman"/>
                <w:sz w:val="24"/>
                <w:szCs w:val="24"/>
                <w:lang w:eastAsia="ru-RU"/>
              </w:rPr>
              <w:t>10.5. Пуско-наладочные работы.</w:t>
            </w:r>
          </w:p>
          <w:p>
            <w:pPr>
              <w:pStyle w:val="Normal"/>
              <w:spacing w:lineRule="auto" w:line="240" w:before="0" w:after="0"/>
              <w:ind w:firstLine="360" w:end="0"/>
              <w:jc w:val="both"/>
              <w:rPr/>
            </w:pPr>
            <w:r>
              <w:rPr>
                <w:rFonts w:cs="Times New Roman" w:ascii="Times New Roman" w:hAnsi="Times New Roman"/>
                <w:sz w:val="24"/>
                <w:szCs w:val="24"/>
                <w:lang w:eastAsia="ru-RU"/>
              </w:rPr>
              <w:t>10.6. Разработка исполнительной документации.</w:t>
            </w:r>
          </w:p>
          <w:p>
            <w:pPr>
              <w:pStyle w:val="Normal"/>
              <w:spacing w:lineRule="auto" w:line="240" w:before="0" w:after="0"/>
              <w:ind w:firstLine="360" w:end="0"/>
              <w:jc w:val="both"/>
              <w:rPr/>
            </w:pPr>
            <w:r>
              <w:rPr>
                <w:rFonts w:cs="Times New Roman" w:ascii="Times New Roman" w:hAnsi="Times New Roman"/>
                <w:sz w:val="24"/>
                <w:szCs w:val="24"/>
                <w:lang w:eastAsia="ru-RU"/>
              </w:rPr>
              <w:t>10.7. Разработка эксплуатационной документации</w:t>
            </w:r>
          </w:p>
          <w:p>
            <w:pPr>
              <w:pStyle w:val="Normal"/>
              <w:spacing w:lineRule="auto" w:line="240" w:before="0" w:after="0"/>
              <w:ind w:firstLine="360" w:end="0"/>
              <w:jc w:val="both"/>
              <w:rPr/>
            </w:pPr>
            <w:r>
              <w:rPr>
                <w:rFonts w:cs="Times New Roman" w:ascii="Times New Roman" w:hAnsi="Times New Roman"/>
                <w:sz w:val="24"/>
                <w:szCs w:val="24"/>
                <w:lang w:eastAsia="ru-RU"/>
              </w:rPr>
              <w:t>10.8. Приемо-сдаточные испытания. Ввод комплекса инженерно-технических средств (систем) обеспечения транспортной безопасности в эксплуатацию.</w:t>
            </w:r>
          </w:p>
          <w:p>
            <w:pPr>
              <w:pStyle w:val="Normal"/>
              <w:spacing w:lineRule="auto" w:line="240" w:before="0" w:after="0"/>
              <w:ind w:firstLine="360" w:end="0"/>
              <w:jc w:val="both"/>
              <w:rPr/>
            </w:pPr>
            <w:r>
              <w:rPr>
                <w:rFonts w:eastAsia="Times New Roman" w:cs="Times New Roman" w:ascii="Times New Roman" w:hAnsi="Times New Roman"/>
                <w:lang w:eastAsia="ru-RU"/>
              </w:rPr>
              <w:t xml:space="preserve">10.9. </w:t>
            </w:r>
            <w:r>
              <w:rPr>
                <w:rFonts w:eastAsia="Times New Roman" w:cs="Times New Roman" w:ascii="Times New Roman" w:hAnsi="Times New Roman"/>
                <w:sz w:val="24"/>
                <w:szCs w:val="24"/>
                <w:lang w:eastAsia="ru-RU"/>
              </w:rPr>
              <w:t>Проведение обучения сотрудников подразделений транспортной безопасности работе с оборудованием (инженерно-техническими системами обеспечения транспортной безопасности), установленным на объекте.</w:t>
            </w:r>
          </w:p>
        </w:tc>
      </w:tr>
      <w:tr>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b/>
                <w:sz w:val="24"/>
                <w:szCs w:val="24"/>
                <w:lang w:eastAsia="ru-RU"/>
              </w:rPr>
              <w:t>11</w:t>
            </w:r>
            <w:r>
              <w:rPr>
                <w:rFonts w:cs="Times New Roman" w:ascii="Times New Roman" w:hAnsi="Times New Roman"/>
                <w:sz w:val="24"/>
                <w:szCs w:val="24"/>
                <w:lang w:eastAsia="ru-RU"/>
              </w:rPr>
              <w:t xml:space="preserve">. </w:t>
            </w:r>
            <w:r>
              <w:rPr>
                <w:rFonts w:cs="Times New Roman" w:ascii="Times New Roman" w:hAnsi="Times New Roman"/>
                <w:b/>
                <w:sz w:val="24"/>
                <w:szCs w:val="24"/>
                <w:lang w:eastAsia="ru-RU"/>
              </w:rPr>
              <w:t>Состав и виды и объём выполняемых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widowControl w:val="false"/>
              <w:shd w:fill="FFFFFF" w:val="clear"/>
              <w:autoSpaceDE w:val="false"/>
              <w:spacing w:lineRule="auto" w:line="240" w:before="0" w:after="0"/>
              <w:ind w:start="95" w:end="0"/>
              <w:jc w:val="both"/>
              <w:rPr/>
            </w:pPr>
            <w:r>
              <w:rPr>
                <w:rFonts w:eastAsia="Times New Roman" w:cs="Arial" w:ascii="Times New Roman" w:hAnsi="Times New Roman"/>
                <w:sz w:val="24"/>
                <w:szCs w:val="24"/>
                <w:lang w:eastAsia="ru-RU"/>
              </w:rPr>
              <w:t xml:space="preserve">     </w:t>
            </w:r>
            <w:r>
              <w:rPr>
                <w:rFonts w:eastAsia="Times New Roman" w:cs="Arial" w:ascii="Times New Roman" w:hAnsi="Times New Roman"/>
                <w:sz w:val="24"/>
                <w:szCs w:val="24"/>
                <w:lang w:eastAsia="ru-RU"/>
              </w:rPr>
              <w:t>Система защиты объекта транспортной инфраструктуры должна обеспечивать круглосуточное непрерывное функционирование постов (пунктов) управления обеспечением транспортной безопасности ОТИ, а также накопление, обработку и хранение в электронном виде данных со всех технических средств обеспечения транспортной безопасности и передачу указанных данных в соответствии с установленным порядком и утвержденными планами обеспечения транспортной безопасности, должна быть модульной и иметь функциональную взаимосвязь всех входящих в него систем, как на программном, так и аппаратном уровнях. Система защиты должна иметь возможность различного конфигурирования – от интеграции систем, включающих в себя несколько подсистем, объединённых на основе локальной вычислительной сети, до автономно работающих мини-систем и отдельных модулей, из которых возможна компоновка системы, соответствующей текущим задачам обеспечения безопасности объекта.</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Объём выполняемых работ:</w:t>
            </w:r>
            <w:r>
              <w:rPr>
                <w:rFonts w:cs="Times New Roman" w:ascii="Times New Roman" w:hAnsi="Times New Roman"/>
                <w:i/>
                <w:sz w:val="24"/>
                <w:szCs w:val="24"/>
                <w:lang w:eastAsia="ru-RU"/>
              </w:rPr>
              <w:t xml:space="preserve"> </w:t>
            </w:r>
            <w:r>
              <w:rPr>
                <w:rFonts w:cs="Times New Roman" w:ascii="Times New Roman" w:hAnsi="Times New Roman"/>
                <w:iCs/>
                <w:sz w:val="24"/>
                <w:szCs w:val="24"/>
                <w:lang w:eastAsia="ru-RU"/>
              </w:rPr>
              <w:t>в соответствии с Описанием объекта закупки и сметной документацией.</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11.1. Состав производимых работ по установке оборудования системы сбора и обработки информации, мониторинга:</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подготовительные работы, разметка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прокладка кабельных линий, в т.ч. оптоволоконных;</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сварка оптического кабеля, коммутация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маркировка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тестирование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и подключение распределительных щитов;</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и подключение стоек аппаратных, серверного и сетевого оборудования;</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и настройка общего и специального серверного ПО;</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оборудования и ПО автоматизированного рабочего места оператора.</w:t>
            </w:r>
          </w:p>
          <w:p>
            <w:pPr>
              <w:pStyle w:val="Normal"/>
              <w:spacing w:lineRule="auto" w:line="240" w:before="0" w:after="0"/>
              <w:jc w:val="both"/>
              <w:rPr/>
            </w:pPr>
            <w:r>
              <w:rPr>
                <w:rFonts w:cs="Times New Roman" w:ascii="Times New Roman" w:hAnsi="Times New Roman"/>
                <w:sz w:val="24"/>
                <w:szCs w:val="24"/>
                <w:lang w:eastAsia="ru-RU"/>
              </w:rPr>
              <w:t>Поставляемое (предустановленное) программное обеспечение должно быть включено в Единый реестр российских программ для электронных вычислительных машин и баз данных и (или) реестр евразийского программного обеспечения в соответствии с постановлением Правительства Российской Федерации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11.2. Состав производимых работ по установке оборудования системы видеонаблюдения:</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подготовительные работы;</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разметка мест установки видеокамер;</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прокладка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маркировка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тестирование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монтаж видеокамер;</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подключение подводящих кабелей, тестирование;</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включение, первичная настройка и юстировка видеокамер.</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11.3. Состав производимых работ по установке оборудования системы контроля и управления доступом:</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подготовительные работы;</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прокладка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маркировка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тестирование кабельных линий;</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и подключение исполнительных устройств;</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и подключение контроллеров доступа.</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11.4. Состав производимых работ по установке оборудования системы громкоговорящего оповещения: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подготовительные работы;</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прокладка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маркировка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маркировка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тестирование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оборудования;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коммутация кабельных линий и оборудования;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монтаж громкоговорителей и подключение к ним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включение и юстировка громкоговорителей и усилителей.</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11.5. Состав производимых работ при прокладке кабельных линий и установке оборудования электроснабжения: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подготовительные работы, разметка мест прокладки кабельных линий и оборудования;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прокладка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маркировка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тестирование кабельных линий;</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устройство контуров заземления;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монтаж ВРУ;</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и подключение оборудования электроснабжения;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установка дизельной генераторной установки и подключение кабельных линий к АВР;</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включение и юстировка оборудования электроснабжения;</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настройка работы АВР;</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подключение электрических потребителей.</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11.9. Состав производимых работ при установке инженерных сооружений обеспечения транспортной безопасности:</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подготовительные работы, разметка мест для установки информационных знаков;</w:t>
            </w:r>
          </w:p>
          <w:p>
            <w:pPr>
              <w:pStyle w:val="Normal"/>
              <w:numPr>
                <w:ilvl w:val="0"/>
                <w:numId w:val="1"/>
              </w:numPr>
              <w:tabs>
                <w:tab w:val="clear" w:pos="720"/>
                <w:tab w:val="left" w:pos="772" w:leader="none"/>
              </w:tabs>
              <w:spacing w:lineRule="auto" w:line="240" w:before="0" w:after="0"/>
              <w:ind w:firstLine="347"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монтаж информационных знаков.</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 xml:space="preserve">11.10. Пусконаладочные работы: </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локальные пусконаладочные работы по системам;</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объектовые пусконаладочные работы;</w:t>
            </w:r>
          </w:p>
          <w:p>
            <w:pPr>
              <w:pStyle w:val="Normal"/>
              <w:numPr>
                <w:ilvl w:val="0"/>
                <w:numId w:val="1"/>
              </w:numPr>
              <w:tabs>
                <w:tab w:val="clear" w:pos="720"/>
                <w:tab w:val="left" w:pos="772" w:leader="none"/>
              </w:tabs>
              <w:spacing w:lineRule="auto" w:line="240" w:before="0" w:after="0"/>
              <w:ind w:hanging="940" w:start="128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разработка эксплуатационной документации.</w:t>
            </w:r>
          </w:p>
          <w:p>
            <w:pPr>
              <w:pStyle w:val="Normal"/>
              <w:spacing w:lineRule="auto" w:line="240" w:before="0" w:after="0"/>
              <w:ind w:firstLine="360" w:end="0"/>
              <w:jc w:val="both"/>
              <w:rPr>
                <w:rFonts w:ascii="Times New Roman" w:hAnsi="Times New Roman" w:cs="Times New Roman"/>
                <w:i/>
                <w:sz w:val="24"/>
                <w:szCs w:val="24"/>
                <w:u w:val="single"/>
                <w:lang w:eastAsia="ru-RU"/>
              </w:rPr>
            </w:pPr>
            <w:r>
              <w:rPr>
                <w:rFonts w:cs="Times New Roman" w:ascii="Times New Roman" w:hAnsi="Times New Roman"/>
                <w:i/>
                <w:sz w:val="24"/>
                <w:szCs w:val="24"/>
                <w:u w:val="single"/>
                <w:lang w:eastAsia="ru-RU"/>
              </w:rPr>
              <w:t>11.12. Разработка исполнительной документации.</w:t>
            </w:r>
          </w:p>
          <w:p>
            <w:pPr>
              <w:pStyle w:val="Normal"/>
              <w:spacing w:lineRule="auto" w:line="240" w:before="0" w:after="0"/>
              <w:ind w:firstLine="360" w:end="0"/>
              <w:jc w:val="both"/>
              <w:rPr/>
            </w:pPr>
            <w:r>
              <w:rPr>
                <w:rFonts w:cs="Times New Roman" w:ascii="Times New Roman" w:hAnsi="Times New Roman"/>
                <w:i/>
                <w:sz w:val="24"/>
                <w:szCs w:val="24"/>
                <w:u w:val="single"/>
                <w:lang w:eastAsia="ru-RU"/>
              </w:rPr>
              <w:t>11.13. Приемо-сдаточные испытания. Ввод комплекса ИТСОТБ в эксплуатацию.</w:t>
            </w:r>
          </w:p>
          <w:p>
            <w:pPr>
              <w:pStyle w:val="Normal"/>
              <w:spacing w:lineRule="auto" w:line="240" w:before="0" w:after="0"/>
              <w:ind w:firstLine="360" w:end="0"/>
              <w:jc w:val="both"/>
              <w:rPr/>
            </w:pPr>
            <w:r>
              <w:rPr>
                <w:rFonts w:cs="Times New Roman" w:ascii="Times New Roman" w:hAnsi="Times New Roman"/>
                <w:sz w:val="24"/>
                <w:szCs w:val="24"/>
                <w:lang w:eastAsia="ru-RU"/>
              </w:rPr>
              <w:t>Подрядчик без дополнительной оплаты разрабатывает Программу и методику приемо-сдаточных испытаний и утверждает у Заказчика.</w:t>
            </w:r>
          </w:p>
        </w:tc>
      </w:tr>
      <w:tr>
        <w:trPr>
          <w:trHeight w:val="1154" w:hRule="atLeast"/>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12. Условия выполнения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firstLine="360" w:end="0"/>
              <w:jc w:val="both"/>
              <w:rPr/>
            </w:pPr>
            <w:r>
              <w:rPr>
                <w:rFonts w:cs="Times New Roman" w:ascii="Times New Roman" w:hAnsi="Times New Roman"/>
                <w:sz w:val="24"/>
                <w:szCs w:val="24"/>
                <w:lang w:eastAsia="ru-RU"/>
              </w:rPr>
              <w:t xml:space="preserve">Подрядчик несет ответственность за выполнение собственным персоналом требований: </w:t>
            </w:r>
          </w:p>
          <w:p>
            <w:pPr>
              <w:pStyle w:val="Normal"/>
              <w:spacing w:lineRule="auto" w:line="240" w:before="0" w:after="0"/>
              <w:ind w:firstLine="360" w:end="0"/>
              <w:jc w:val="both"/>
              <w:rPr/>
            </w:pPr>
            <w:r>
              <w:rPr>
                <w:rFonts w:cs="Times New Roman" w:ascii="Times New Roman" w:hAnsi="Times New Roman"/>
                <w:sz w:val="24"/>
                <w:szCs w:val="24"/>
                <w:lang w:eastAsia="ru-RU"/>
              </w:rPr>
              <w:t>Федерального закона Российской Федерации № 16-ФЗ «О транспортной безопасности» от 09.02.2007 года;</w:t>
            </w:r>
          </w:p>
          <w:p>
            <w:pPr>
              <w:pStyle w:val="Normal"/>
              <w:spacing w:lineRule="auto" w:line="240" w:before="0" w:after="0"/>
              <w:ind w:firstLine="360" w:end="0"/>
              <w:jc w:val="both"/>
              <w:rPr/>
            </w:pPr>
            <w:r>
              <w:rPr>
                <w:rFonts w:cs="Times New Roman" w:ascii="Times New Roman" w:hAnsi="Times New Roman"/>
                <w:sz w:val="24"/>
                <w:szCs w:val="24"/>
                <w:lang w:eastAsia="ru-RU"/>
              </w:rPr>
              <w:t>Подрядчик разрабатывает календарный график работ и согласовывает с Заказчиком, который не противоречит графику выполнения строительно-монтажных работ.</w:t>
            </w:r>
          </w:p>
          <w:p>
            <w:pPr>
              <w:pStyle w:val="Normal"/>
              <w:spacing w:lineRule="auto" w:line="240" w:before="0" w:after="0"/>
              <w:ind w:firstLine="360" w:end="0"/>
              <w:jc w:val="both"/>
              <w:rPr/>
            </w:pPr>
            <w:r>
              <w:rPr>
                <w:rFonts w:cs="Times New Roman" w:ascii="Times New Roman" w:hAnsi="Times New Roman"/>
                <w:sz w:val="24"/>
                <w:szCs w:val="24"/>
                <w:lang w:eastAsia="ru-RU"/>
              </w:rPr>
              <w:t>Последовательность и сроки выполнения работ определяются Календарным графиком выполнения работ.</w:t>
            </w:r>
          </w:p>
          <w:p>
            <w:pPr>
              <w:pStyle w:val="Normal"/>
              <w:spacing w:lineRule="auto" w:line="240" w:before="0" w:after="0"/>
              <w:ind w:firstLine="360" w:end="0"/>
              <w:jc w:val="both"/>
              <w:rPr/>
            </w:pPr>
            <w:r>
              <w:rPr>
                <w:rFonts w:cs="Times New Roman" w:ascii="Times New Roman" w:hAnsi="Times New Roman"/>
                <w:sz w:val="24"/>
                <w:szCs w:val="24"/>
                <w:lang w:eastAsia="ru-RU"/>
              </w:rPr>
              <w:t>Подрядчик не позднее, чем за 10 (десять) рабочих дней до начала производства работ без дополнительной оплаты должен разработать проект производства работ, включающий технологические карты, регламентирующие технологию выполнения отдельных видов работ с целью обеспечения их надлежащего качества, и другую документацию, необходимость в которой может возникнуть в процессе выполнения работ</w:t>
            </w:r>
          </w:p>
          <w:p>
            <w:pPr>
              <w:pStyle w:val="Normal"/>
              <w:spacing w:lineRule="auto" w:line="240" w:before="0" w:after="0"/>
              <w:ind w:firstLine="360" w:end="0"/>
              <w:jc w:val="both"/>
              <w:rPr/>
            </w:pPr>
            <w:r>
              <w:rPr>
                <w:rFonts w:cs="Times New Roman" w:ascii="Times New Roman" w:hAnsi="Times New Roman"/>
                <w:sz w:val="24"/>
                <w:szCs w:val="24"/>
                <w:lang w:eastAsia="ru-RU"/>
              </w:rPr>
              <w:t>Подрядчик разрабатывает (в соответствии с ОДМ 218.6.019-2016) и утверждает схемы организации дорожного движения (ОДД) в ГКУ НО «ГУАД» И ГИБДД по Нижегородской области.</w:t>
            </w:r>
          </w:p>
          <w:p>
            <w:pPr>
              <w:pStyle w:val="Normal"/>
              <w:spacing w:lineRule="auto" w:line="240" w:before="0" w:after="0"/>
              <w:ind w:firstLine="360" w:end="0"/>
              <w:jc w:val="both"/>
              <w:rPr/>
            </w:pPr>
            <w:r>
              <w:rPr>
                <w:rFonts w:eastAsia="Times New Roman" w:cs="Times New Roman" w:ascii="Times New Roman" w:hAnsi="Times New Roman"/>
                <w:sz w:val="24"/>
                <w:szCs w:val="24"/>
                <w:lang w:eastAsia="ru-RU"/>
              </w:rPr>
              <w:t>Подрядчик обязан собственными силами без дополнительной стоимости обеспечить технологическое присоединение всех энергопотребителей объекта (при необходимости).</w:t>
            </w:r>
          </w:p>
          <w:p>
            <w:pPr>
              <w:pStyle w:val="Normal"/>
              <w:widowControl w:val="false"/>
              <w:tabs>
                <w:tab w:val="clear" w:pos="720"/>
                <w:tab w:val="left" w:pos="397" w:leader="none"/>
              </w:tabs>
              <w:autoSpaceDE w:val="false"/>
              <w:spacing w:lineRule="auto" w:line="240" w:before="0" w:after="0"/>
              <w:contextualSpacing/>
              <w:jc w:val="both"/>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Подрядчик обеспечивает и содержит за свой счет охрану Объекта, материалов, оборудования, стоянки строительной техники и другого имущества и сооружений, необходимых для производства работ на объекте, вплоть до ввода объекта в эксплуатацию, с учетом технологического присоединения к питающим сетям.</w:t>
            </w:r>
          </w:p>
        </w:tc>
      </w:tr>
      <w:tr>
        <w:trPr>
          <w:trHeight w:val="1154" w:hRule="atLeast"/>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13. Требование к Подрядчику</w:t>
            </w:r>
          </w:p>
        </w:tc>
        <w:tc>
          <w:tcPr>
            <w:tcW w:w="78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firstLine="360" w:end="0"/>
              <w:jc w:val="both"/>
              <w:rPr/>
            </w:pPr>
            <w:r>
              <w:rPr>
                <w:rFonts w:cs="Times New Roman" w:ascii="Times New Roman" w:hAnsi="Times New Roman"/>
                <w:sz w:val="24"/>
                <w:szCs w:val="24"/>
                <w:lang w:eastAsia="ru-RU"/>
              </w:rPr>
              <w:t>Персонал обязан соблюдать инструкции по охране труда, устанавливающие правила выполнения работ и поведения на объектах и сооружениях транспортной инфраструктуры, и находиться в пределах границ участка проведения работ.</w:t>
            </w:r>
          </w:p>
          <w:p>
            <w:pPr>
              <w:pStyle w:val="Normal"/>
              <w:spacing w:lineRule="auto" w:line="240" w:before="0" w:after="0"/>
              <w:ind w:firstLine="360" w:end="0"/>
              <w:jc w:val="both"/>
              <w:rPr/>
            </w:pPr>
            <w:r>
              <w:rPr>
                <w:rFonts w:cs="Times New Roman" w:ascii="Times New Roman" w:hAnsi="Times New Roman"/>
                <w:sz w:val="24"/>
                <w:szCs w:val="24"/>
                <w:lang w:eastAsia="ru-RU"/>
              </w:rPr>
              <w:t>Персонал должен иметь профессиональную подготовку (в том числе и по безопасности труда), соответствующую характеру выполняемых работ.</w:t>
            </w:r>
          </w:p>
          <w:p>
            <w:pPr>
              <w:pStyle w:val="Normal"/>
              <w:spacing w:lineRule="auto" w:line="240" w:before="0" w:after="0"/>
              <w:ind w:firstLine="360" w:end="0"/>
              <w:jc w:val="both"/>
              <w:rPr/>
            </w:pPr>
            <w:r>
              <w:rPr>
                <w:rFonts w:cs="Times New Roman" w:ascii="Times New Roman" w:hAnsi="Times New Roman"/>
                <w:sz w:val="24"/>
                <w:szCs w:val="24"/>
                <w:lang w:eastAsia="ru-RU"/>
              </w:rPr>
              <w:t>Персонал может быть допущен к работе только после прохождения инструктажа по безопасности труда, обучения безопасным методам труда, проверки знаний по охране труда с учетом должности, профессии применительно к выполняемой работе, проведенных в установленном порядке, а также при отсутствии медицинских противопоказаний, установлены. Рабочие, должны быть обеспечены специальной одеждой (жилетами) ярко-оранжевого или ярко-желтого цвета (далее сигнальная одежда) с наименованием Подрядчика, надеваемой поверх обычной спецодежды и другими средствами индивидуальной защиты по установленным нормам. Выдача работникам сигнальной одежды, специальной обуви и других средств индивидуальной защиты по установленным нормам.</w:t>
            </w:r>
          </w:p>
          <w:p>
            <w:pPr>
              <w:pStyle w:val="Normal"/>
              <w:spacing w:lineRule="auto" w:line="240" w:before="0" w:after="0"/>
              <w:ind w:firstLine="360" w:end="0"/>
              <w:jc w:val="both"/>
              <w:rPr/>
            </w:pPr>
            <w:r>
              <w:rPr>
                <w:rFonts w:cs="Times New Roman" w:ascii="Times New Roman" w:hAnsi="Times New Roman"/>
                <w:sz w:val="24"/>
                <w:szCs w:val="24"/>
                <w:lang w:eastAsia="ru-RU"/>
              </w:rPr>
              <w:t>При выполнении работ по оснащению ОТИ инженерно-техническими средствами (системами) обеспечения транспортной безопасности подрядчик или привлекаемый им субподрядчик должен обладать Лицензией МЧС со следующими видами работ в соответствии с постановлением Правительства Российской Федерации от 30.12.2011 года № 1225 «О лицензировании деятельности по монтажу, техническому обслуживанию и ремонту средств обеспечения пожарной безопасности зданий и сооружений» с указанием видов работ:</w:t>
            </w:r>
          </w:p>
          <w:p>
            <w:pPr>
              <w:pStyle w:val="Normal"/>
              <w:spacing w:lineRule="auto" w:line="240" w:before="0" w:after="0"/>
              <w:ind w:firstLine="360" w:end="0"/>
              <w:jc w:val="both"/>
              <w:rPr/>
            </w:pPr>
            <w:r>
              <w:rPr>
                <w:rFonts w:cs="Times New Roman" w:ascii="Times New Roman" w:hAnsi="Times New Roman"/>
                <w:sz w:val="24"/>
                <w:szCs w:val="24"/>
                <w:lang w:eastAsia="ru-RU"/>
              </w:rPr>
              <w:t>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pPr>
              <w:pStyle w:val="Normal"/>
              <w:spacing w:lineRule="auto" w:line="240" w:before="0" w:after="0"/>
              <w:ind w:firstLine="360" w:end="0"/>
              <w:jc w:val="both"/>
              <w:rPr/>
            </w:pPr>
            <w:r>
              <w:rPr>
                <w:rFonts w:cs="Times New Roman" w:ascii="Times New Roman" w:hAnsi="Times New Roman"/>
                <w:sz w:val="24"/>
                <w:szCs w:val="24"/>
                <w:lang w:eastAsia="ru-RU"/>
              </w:rPr>
              <w:t xml:space="preserve">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w:t>
            </w:r>
            <w:r>
              <w:rPr>
                <w:rFonts w:cs="Times New Roman" w:ascii="Times New Roman" w:hAnsi="Times New Roman"/>
                <w:iCs/>
                <w:sz w:val="24"/>
                <w:szCs w:val="24"/>
              </w:rPr>
              <w:t xml:space="preserve">или </w:t>
            </w:r>
            <w:r>
              <w:rPr>
                <w:rFonts w:cs="Times New Roman" w:ascii="Times New Roman" w:hAnsi="Times New Roman"/>
                <w:sz w:val="24"/>
                <w:szCs w:val="24"/>
              </w:rPr>
              <w:t>в соответствии с постановлением Правительства Российской Федерации от 28.07.2020 года № 1128 «О лицензировании деятельности по монтажу, техническому обслуживанию и ремонту средств обеспечения пожарной безопасности зданий и сооружений» с указанием видов работ.</w:t>
            </w:r>
          </w:p>
          <w:p>
            <w:pPr>
              <w:pStyle w:val="Normal"/>
              <w:spacing w:lineRule="auto" w:line="240" w:before="0" w:after="0"/>
              <w:ind w:firstLine="360" w:end="0"/>
              <w:jc w:val="both"/>
              <w:rPr/>
            </w:pPr>
            <w:r>
              <w:rPr>
                <w:rFonts w:cs="Times New Roman" w:ascii="Times New Roman" w:hAnsi="Times New Roman"/>
                <w:sz w:val="24"/>
                <w:szCs w:val="24"/>
                <w:lang w:eastAsia="ru-RU"/>
              </w:rPr>
              <w:t>Копию лицензии с указанными видами работ или копию выписки из реестра лицензий подрядчик или привлекаемый им субподрядчик должен предоставить заказчику до начала выполнения указанных работ.</w:t>
            </w:r>
          </w:p>
        </w:tc>
      </w:tr>
      <w:tr>
        <w:trPr>
          <w:trHeight w:val="359" w:hRule="atLeast"/>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14. Общие требования к выполнению работ</w:t>
            </w:r>
          </w:p>
        </w:tc>
        <w:tc>
          <w:tcPr>
            <w:tcW w:w="7818" w:type="dxa"/>
            <w:tcBorders>
              <w:top w:val="single" w:sz="4" w:space="0" w:color="000000"/>
              <w:start w:val="single" w:sz="4" w:space="0" w:color="000000"/>
              <w:bottom w:val="single" w:sz="4" w:space="0" w:color="000000"/>
              <w:end w:val="single" w:sz="4" w:space="0" w:color="000000"/>
            </w:tcBorders>
          </w:tcPr>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Работы выполняются Подрядчиком в соответствии с требованиями сметной документации и рабочей документацией, согласованной в соответствии с п.12 Описания объекта закупки, и действующей на момент производства работ нормативно-технической документации;</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Подрядчик, для приёмки работ, обязан вызвать представителей Заказчика за 2 рабочих дня до сдачи. На момент приемки работ Подрядчик обязан подготовить реестр Актов освидетельствования скрытых работ и выполненных работ, исполнительные схемы. В случае отсутствия у Заказчика возможности присутствия на комиссии по приемке работ, Подрядчик представляет Заказчику детальный фотоотчет о принимаемой конструкции с использованием средств измерений в электронном виде;</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К каждому акту о приемке выполненных работ и акту скрытых работ, Подрядчик прикладывает исполнительную схему, реестр документов (паспорта, сертификаты на материалы и оборудование), фотоотчет с ОТИ о выполненной работе, согласно предъявленных актов;</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 течение гарантийного срока Подрядчик гарантирует исправную и полнофункциональную работу оборудования в соответствии с техническим описанием производителя оборудования;</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Гарантия качества распространяется на технические средства (оборудование) подрядчиком по Контракту. </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 случае выявления дефектов в процессе эксплуатации технических средств (оборудования), наличие дефектов фиксируется трехсторонним Актом Заказчика, подрядчика и организации по обслуживанию инженерно-технических средств (систем) обеспечения транспортной безопасности;</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 случае установления Заказчиком или подрядной организацией по обслуживанию инженерно-технических средств (систем) обеспечения транспортной безопасности в гарантийный период несоответствия качества, поставленных подрядчиком технических средств (оборудования), Заказчик оформляет Акт выявленных дефектов, в котором указывает дефект (замечание) и срок его устранения;</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При обнаружении недостатков, замечаний, дефектов Заказчиком, подрядная организация по обслуживанию инженерно-технических систем обеспечения транспортной безопасности передает оборудование (с актом рекламации) Подрядчику. Подрядчик обязан передать данное оборудование с актом рекламации в сервисный центр производителя для гарантийного ремонта или замене оборудования с не истекшим гарантийным сроком. После гарантийного ремонта или замены оборудования Подрядчик обязан передать Заказчику или подрядной организации по обслуживанию инженерно-технических систем обеспечения транспортной безопасности данное оборудование.</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Период времени, затраченный на устранение дефектов, в гарантийный срок не включается;</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Гарантии качества распространяются на все работы, выполненные Подрядчиком по настоящему Контракту, а также – на всё Оборудование, установленное Подрядчиком, и составляет 24 месяца с даты подписания заказчиком последнего документа о приемке, в том числе:</w:t>
            </w:r>
          </w:p>
          <w:p>
            <w:pPr>
              <w:pStyle w:val="Normal"/>
              <w:spacing w:lineRule="auto" w:line="240" w:before="0" w:after="0"/>
              <w:ind w:firstLine="347" w:end="0"/>
              <w:jc w:val="both"/>
              <w:rPr/>
            </w:pPr>
            <w:r>
              <w:rPr>
                <w:rFonts w:cs="Times New Roman" w:ascii="Times New Roman" w:hAnsi="Times New Roman"/>
                <w:sz w:val="24"/>
                <w:szCs w:val="24"/>
                <w:lang w:eastAsia="ru-RU"/>
              </w:rPr>
              <w:t>Гарантийный срок эксплуатации Оборудования равен сроку гарантии, установленному производителем Оборудования.</w:t>
            </w:r>
          </w:p>
          <w:p>
            <w:pPr>
              <w:pStyle w:val="Normal"/>
              <w:spacing w:lineRule="auto" w:line="240" w:before="0" w:after="0"/>
              <w:ind w:firstLine="347"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Гарантийный срок на установку (монтаж, пуско-наладка) Оборудования – 24 месяца с даты подписания заказчиком соответствующего документа о приемке.</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 течение гарантийного срока Подрядчик обеспечивает Заказчика консультациями по использованию технических средств (оборудования) и его технической поддержкой;</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Для участия в комиссии по обследованию технических средств (оборудования), в том числе в гарантийный период, и составлении Акта, фиксирующего дефекты, согласования порядка и сроков их устранения, Подрядчик обязан направить, в установленный в извещении Заказчика срок, уполномоченного представителя.</w:t>
            </w:r>
          </w:p>
          <w:p>
            <w:pPr>
              <w:pStyle w:val="Normal"/>
              <w:numPr>
                <w:ilvl w:val="0"/>
                <w:numId w:val="2"/>
              </w:numPr>
              <w:spacing w:lineRule="auto" w:line="240" w:before="0" w:after="0"/>
              <w:ind w:firstLine="347" w:start="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При отказе Подрядчика от составления или подписания Акта выявленных дефектов Заказчиком составляется Акт, в который вносится соответствующая запись. Кроме того, Заказчик имеет право привлечь экспертов, все расходы по которым, при установлении вины Подрядчика, предъявляются подрядчику в полном объёме и оплачиваются за счёт средств подрядчика.</w:t>
            </w:r>
          </w:p>
        </w:tc>
      </w:tr>
      <w:tr>
        <w:trPr>
          <w:trHeight w:val="248" w:hRule="atLeast"/>
        </w:trPr>
        <w:tc>
          <w:tcPr>
            <w:tcW w:w="22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b/>
                <w:sz w:val="24"/>
                <w:szCs w:val="24"/>
                <w:lang w:eastAsia="ru-RU"/>
              </w:rPr>
              <w:t>15. Требования к разработке исполнительной и эксплуатационной документации.</w:t>
            </w:r>
          </w:p>
          <w:p>
            <w:pPr>
              <w:pStyle w:val="Normal"/>
              <w:spacing w:lineRule="auto" w:line="240" w:before="0" w:after="0"/>
              <w:rPr>
                <w:rFonts w:ascii="Times New Roman" w:hAnsi="Times New Roman" w:cs="Times New Roman"/>
                <w:b/>
                <w:sz w:val="24"/>
                <w:szCs w:val="24"/>
                <w:lang w:eastAsia="ru-RU"/>
              </w:rPr>
            </w:pPr>
            <w:r>
              <w:rPr>
                <w:rFonts w:cs="Times New Roman" w:ascii="Times New Roman" w:hAnsi="Times New Roman"/>
                <w:b/>
                <w:sz w:val="24"/>
                <w:szCs w:val="24"/>
                <w:lang w:eastAsia="ru-RU"/>
              </w:rPr>
              <w:t>Порядок согласования и утверждения.</w:t>
            </w:r>
          </w:p>
        </w:tc>
        <w:tc>
          <w:tcPr>
            <w:tcW w:w="7818" w:type="dxa"/>
            <w:tcBorders>
              <w:top w:val="single" w:sz="4" w:space="0" w:color="000000"/>
              <w:start w:val="single" w:sz="4" w:space="0" w:color="000000"/>
              <w:bottom w:val="single" w:sz="4" w:space="0" w:color="000000"/>
              <w:end w:val="single" w:sz="4" w:space="0" w:color="000000"/>
            </w:tcBorders>
          </w:tcPr>
          <w:p>
            <w:pPr>
              <w:pStyle w:val="Normal"/>
              <w:numPr>
                <w:ilvl w:val="0"/>
                <w:numId w:val="3"/>
              </w:numPr>
              <w:spacing w:lineRule="auto" w:line="240" w:before="0" w:after="0"/>
              <w:jc w:val="both"/>
              <w:rPr>
                <w:rFonts w:ascii="Times New Roman" w:hAnsi="Times New Roman" w:cs="Times New Roman"/>
                <w:b/>
                <w:sz w:val="24"/>
                <w:szCs w:val="24"/>
                <w:lang w:eastAsia="ru-RU"/>
              </w:rPr>
            </w:pPr>
            <w:r>
              <w:rPr>
                <w:rFonts w:cs="Times New Roman" w:ascii="Times New Roman" w:hAnsi="Times New Roman"/>
                <w:b/>
                <w:sz w:val="24"/>
                <w:szCs w:val="24"/>
                <w:lang w:eastAsia="ru-RU"/>
              </w:rPr>
              <w:t>Требования к Исполнительной документации.</w:t>
            </w:r>
          </w:p>
          <w:p>
            <w:pPr>
              <w:pStyle w:val="Normal"/>
              <w:spacing w:lineRule="auto" w:line="240" w:before="0" w:after="0"/>
              <w:ind w:firstLine="360" w:end="0"/>
              <w:jc w:val="both"/>
              <w:rPr/>
            </w:pPr>
            <w:r>
              <w:rPr>
                <w:rFonts w:cs="Times New Roman" w:ascii="Times New Roman" w:hAnsi="Times New Roman"/>
                <w:sz w:val="24"/>
                <w:szCs w:val="24"/>
                <w:lang w:eastAsia="ru-RU"/>
              </w:rPr>
              <w:t>Исполнительная документация представляет собой текстовые и графические материалы, отражающие фактическое исполнение проектных решений и фактическое положение элементов инженерно-технических средств (систем) обеспечения транспортной безопасности по мере завершения определенных в сметной документации работ.</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Состав исполнительной документации:</w:t>
            </w:r>
          </w:p>
          <w:p>
            <w:pPr>
              <w:pStyle w:val="Normal"/>
              <w:spacing w:lineRule="auto" w:line="240" w:before="0" w:after="0"/>
              <w:ind w:firstLine="360" w:end="0"/>
              <w:jc w:val="both"/>
              <w:rPr/>
            </w:pPr>
            <w:r>
              <w:rPr>
                <w:rFonts w:cs="Times New Roman" w:ascii="Times New Roman" w:hAnsi="Times New Roman"/>
                <w:sz w:val="24"/>
                <w:szCs w:val="24"/>
                <w:lang w:eastAsia="ru-RU"/>
              </w:rPr>
              <w:t>- исполнительные планы, чертежи, схемы;</w:t>
            </w:r>
          </w:p>
          <w:p>
            <w:pPr>
              <w:pStyle w:val="Normal"/>
              <w:spacing w:lineRule="auto" w:line="240" w:before="0" w:after="0"/>
              <w:ind w:firstLine="360" w:end="0"/>
              <w:jc w:val="both"/>
              <w:rPr/>
            </w:pPr>
            <w:r>
              <w:rPr>
                <w:rFonts w:cs="Times New Roman" w:ascii="Times New Roman" w:hAnsi="Times New Roman"/>
                <w:sz w:val="24"/>
                <w:szCs w:val="24"/>
                <w:lang w:eastAsia="ru-RU"/>
              </w:rPr>
              <w:t>- сертификаты, технические паспорта, журналы лабораторных испытаний и другие документы, удостоверяющие качество материалов, конструкций и деталей, примененных при производстве работ и подтверждающих исполнение проектных решений;</w:t>
            </w:r>
          </w:p>
          <w:p>
            <w:pPr>
              <w:pStyle w:val="Normal"/>
              <w:spacing w:lineRule="auto" w:line="240" w:before="0" w:after="0"/>
              <w:ind w:firstLine="360" w:end="0"/>
              <w:jc w:val="both"/>
              <w:rPr/>
            </w:pPr>
            <w:r>
              <w:rPr>
                <w:rFonts w:cs="Times New Roman" w:ascii="Times New Roman" w:hAnsi="Times New Roman"/>
                <w:sz w:val="24"/>
                <w:szCs w:val="24"/>
                <w:lang w:eastAsia="ru-RU"/>
              </w:rPr>
              <w:t>- общий журнал производства работ по форме КС-6;</w:t>
            </w:r>
          </w:p>
          <w:p>
            <w:pPr>
              <w:pStyle w:val="Normal"/>
              <w:spacing w:lineRule="auto" w:line="240" w:before="0" w:after="0"/>
              <w:ind w:firstLine="360" w:end="0"/>
              <w:jc w:val="both"/>
              <w:rPr/>
            </w:pPr>
            <w:r>
              <w:rPr>
                <w:rFonts w:cs="Times New Roman" w:ascii="Times New Roman" w:hAnsi="Times New Roman"/>
                <w:sz w:val="24"/>
                <w:szCs w:val="24"/>
                <w:lang w:eastAsia="ru-RU"/>
              </w:rPr>
              <w:t>- акты/протоколы испытания и опробования технических устройств инженерно-технических средств (систем) обеспечения транспортной безопасности и его составных частей (смонтированного оборудования);</w:t>
            </w:r>
          </w:p>
          <w:p>
            <w:pPr>
              <w:pStyle w:val="Normal"/>
              <w:spacing w:lineRule="auto" w:line="240" w:before="0" w:after="0"/>
              <w:ind w:firstLine="360" w:end="0"/>
              <w:jc w:val="both"/>
              <w:rPr/>
            </w:pPr>
            <w:r>
              <w:rPr>
                <w:rFonts w:cs="Times New Roman" w:ascii="Times New Roman" w:hAnsi="Times New Roman"/>
                <w:sz w:val="24"/>
                <w:szCs w:val="24"/>
                <w:lang w:eastAsia="ru-RU"/>
              </w:rPr>
              <w:t>- протоколы замера сопротивления изоляции кабелей;</w:t>
            </w:r>
          </w:p>
          <w:p>
            <w:pPr>
              <w:pStyle w:val="Normal"/>
              <w:spacing w:lineRule="auto" w:line="240" w:before="0" w:after="0"/>
              <w:ind w:firstLine="360" w:end="0"/>
              <w:jc w:val="both"/>
              <w:rPr/>
            </w:pPr>
            <w:r>
              <w:rPr>
                <w:rFonts w:cs="Times New Roman" w:ascii="Times New Roman" w:hAnsi="Times New Roman"/>
                <w:sz w:val="24"/>
                <w:szCs w:val="24"/>
                <w:lang w:eastAsia="ru-RU"/>
              </w:rPr>
              <w:t>- протоколы и акты внешних проверяющих органов при необходимости (подключение к электросети здания, и т.п.);</w:t>
            </w:r>
          </w:p>
          <w:p>
            <w:pPr>
              <w:pStyle w:val="Normal"/>
              <w:spacing w:lineRule="auto" w:line="240" w:before="0" w:after="0"/>
              <w:ind w:firstLine="360" w:end="0"/>
              <w:jc w:val="both"/>
              <w:rPr/>
            </w:pPr>
            <w:r>
              <w:rPr>
                <w:rFonts w:cs="Times New Roman" w:ascii="Times New Roman" w:hAnsi="Times New Roman"/>
                <w:sz w:val="24"/>
                <w:szCs w:val="24"/>
                <w:lang w:eastAsia="ru-RU"/>
              </w:rPr>
              <w:t>- результаты экспертиз, обследований, лабораторных и иных испытаний выполненных работ (в случае проведения/необходимости);</w:t>
            </w:r>
          </w:p>
          <w:p>
            <w:pPr>
              <w:pStyle w:val="Normal"/>
              <w:spacing w:lineRule="auto" w:line="240" w:before="0" w:after="0"/>
              <w:ind w:firstLine="360" w:end="0"/>
              <w:jc w:val="both"/>
              <w:rPr/>
            </w:pPr>
            <w:r>
              <w:rPr>
                <w:rFonts w:cs="Times New Roman" w:ascii="Times New Roman" w:hAnsi="Times New Roman"/>
                <w:sz w:val="24"/>
                <w:szCs w:val="24"/>
                <w:lang w:eastAsia="ru-RU"/>
              </w:rPr>
              <w:t>- документы, подтверждающие проведение контроля за качеством применяемых оборудования и материалов (журнал входного контроля)</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ведомость смонтированного оборудования;</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-ведомость выполненных строительно-монтажных работ на объекте;</w:t>
            </w:r>
          </w:p>
          <w:p>
            <w:pPr>
              <w:pStyle w:val="Normal"/>
              <w:spacing w:lineRule="auto" w:line="240" w:before="0" w:after="0"/>
              <w:ind w:firstLine="360" w:end="0"/>
              <w:jc w:val="both"/>
              <w:rPr/>
            </w:pPr>
            <w:r>
              <w:rPr>
                <w:rFonts w:cs="Times New Roman" w:ascii="Times New Roman" w:hAnsi="Times New Roman"/>
                <w:sz w:val="24"/>
                <w:szCs w:val="24"/>
                <w:lang w:eastAsia="ru-RU"/>
              </w:rPr>
              <w:t>- акты освидетельствования скрытых работ, включая сертификаты и документы, подтверждающие качество материалов, фотоматериалы, подтверждающие исполнение проектных решений;</w:t>
            </w:r>
          </w:p>
          <w:p>
            <w:pPr>
              <w:pStyle w:val="Normal"/>
              <w:spacing w:lineRule="auto" w:line="240" w:before="0" w:after="0"/>
              <w:ind w:firstLine="360" w:end="0"/>
              <w:jc w:val="both"/>
              <w:rPr/>
            </w:pPr>
            <w:r>
              <w:rPr>
                <w:rFonts w:cs="Times New Roman" w:ascii="Times New Roman" w:hAnsi="Times New Roman"/>
                <w:sz w:val="24"/>
                <w:szCs w:val="24"/>
                <w:lang w:eastAsia="ru-RU"/>
              </w:rPr>
              <w:t>- акты освидетельствования выполненных работ, включая сертификаты и документы, подтверждающие качество материалов, фотоматериалы, подтверждающие исполнение проектных решений;</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рабочая документация на оснащение объекта транспортной инфраструктуры инженерно-техническими средствами (системами) обеспечения транспортной безопасности;</w:t>
            </w:r>
          </w:p>
          <w:p>
            <w:pPr>
              <w:pStyle w:val="Normal"/>
              <w:spacing w:lineRule="auto" w:line="240" w:before="0" w:after="0"/>
              <w:ind w:firstLine="360" w:end="0"/>
              <w:jc w:val="both"/>
              <w:rPr/>
            </w:pPr>
            <w:r>
              <w:rPr>
                <w:rFonts w:cs="Times New Roman" w:ascii="Times New Roman" w:hAnsi="Times New Roman"/>
                <w:sz w:val="24"/>
                <w:szCs w:val="24"/>
                <w:lang w:eastAsia="ru-RU"/>
              </w:rPr>
              <w:t>- иные документы, отражающие фактическое исполнение проектных решений;</w:t>
            </w:r>
          </w:p>
          <w:p>
            <w:pPr>
              <w:pStyle w:val="Normal"/>
              <w:spacing w:lineRule="auto" w:line="240" w:before="0" w:after="0"/>
              <w:ind w:firstLine="360" w:end="0"/>
              <w:jc w:val="both"/>
              <w:rPr/>
            </w:pPr>
            <w:r>
              <w:rPr>
                <w:rFonts w:cs="Times New Roman" w:ascii="Times New Roman" w:hAnsi="Times New Roman"/>
                <w:sz w:val="24"/>
                <w:szCs w:val="24"/>
                <w:lang w:eastAsia="ru-RU"/>
              </w:rPr>
              <w:t>Окончательный состав исполнительной документации и порядок ее представления должен быть согласован с Заказчиком до начала производства работ.</w:t>
            </w:r>
          </w:p>
          <w:p>
            <w:pPr>
              <w:pStyle w:val="Normal"/>
              <w:numPr>
                <w:ilvl w:val="0"/>
                <w:numId w:val="3"/>
              </w:numPr>
              <w:spacing w:lineRule="auto" w:line="240" w:before="0" w:after="0"/>
              <w:jc w:val="both"/>
              <w:rPr>
                <w:rFonts w:ascii="Times New Roman" w:hAnsi="Times New Roman" w:cs="Times New Roman"/>
                <w:b/>
                <w:sz w:val="24"/>
                <w:szCs w:val="24"/>
                <w:lang w:eastAsia="ru-RU"/>
              </w:rPr>
            </w:pPr>
            <w:r>
              <w:rPr>
                <w:rFonts w:cs="Times New Roman" w:ascii="Times New Roman" w:hAnsi="Times New Roman"/>
                <w:b/>
                <w:sz w:val="24"/>
                <w:szCs w:val="24"/>
                <w:lang w:eastAsia="ru-RU"/>
              </w:rPr>
              <w:t>Требования к Эксплуатационной документации.</w:t>
            </w:r>
          </w:p>
          <w:p>
            <w:pPr>
              <w:pStyle w:val="Normal"/>
              <w:spacing w:lineRule="auto" w:line="240" w:before="0" w:after="0"/>
              <w:ind w:firstLine="360" w:end="0"/>
              <w:jc w:val="both"/>
              <w:rPr/>
            </w:pPr>
            <w:r>
              <w:rPr>
                <w:rFonts w:cs="Times New Roman" w:ascii="Times New Roman" w:hAnsi="Times New Roman"/>
                <w:sz w:val="24"/>
                <w:szCs w:val="24"/>
                <w:lang w:eastAsia="ru-RU"/>
              </w:rPr>
              <w:t>В эксплуатационную документацию на инженерно-технические  системы обеспечения транспортной безопасности включают в необходимых объемах сведения об инженерно-технических  системах обеспечения транспортной безопасности в целом и составных частях.</w:t>
            </w:r>
          </w:p>
          <w:p>
            <w:pPr>
              <w:pStyle w:val="Normal"/>
              <w:spacing w:lineRule="auto" w:line="240" w:before="0" w:after="0"/>
              <w:ind w:firstLine="360" w:end="0"/>
              <w:jc w:val="both"/>
              <w:rPr/>
            </w:pPr>
            <w:r>
              <w:rPr>
                <w:rFonts w:cs="Times New Roman" w:ascii="Times New Roman" w:hAnsi="Times New Roman"/>
                <w:sz w:val="24"/>
                <w:szCs w:val="24"/>
                <w:lang w:eastAsia="ru-RU"/>
              </w:rPr>
              <w:t>Эксплуатационную документацию на составные части инженерно-технических систем обеспечения транспортной безопасности допускается включать в состав эксплуатационной документации на изделие, при этом в эксплуатационную документацию на инженерно-технические системы обеспечения транспортной безопасности не повторяют содержание документов на его составные части.</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Состав эксплуатационной документации:</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 Ведомость эксплуатационных документов; </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 Ведомость сертификатов на установленное оборудование;</w:t>
            </w:r>
          </w:p>
          <w:p>
            <w:pPr>
              <w:pStyle w:val="Normal"/>
              <w:spacing w:lineRule="auto" w:line="240" w:before="0" w:after="0"/>
              <w:ind w:firstLine="360" w:end="0"/>
              <w:jc w:val="both"/>
              <w:rPr/>
            </w:pPr>
            <w:r>
              <w:rPr>
                <w:rFonts w:cs="Times New Roman" w:ascii="Times New Roman" w:hAnsi="Times New Roman"/>
                <w:sz w:val="24"/>
                <w:szCs w:val="24"/>
                <w:lang w:eastAsia="ru-RU"/>
              </w:rPr>
              <w:t>-Регламент и руководство по эксплуатации на инженерно-технические средства (системы) обеспечения транспортной безопасности.</w:t>
            </w:r>
          </w:p>
          <w:p>
            <w:pPr>
              <w:pStyle w:val="Normal"/>
              <w:spacing w:lineRule="auto" w:line="240" w:before="0" w:after="0"/>
              <w:ind w:firstLine="360" w:end="0"/>
              <w:jc w:val="both"/>
              <w:rPr>
                <w:rFonts w:ascii="Times New Roman" w:hAnsi="Times New Roman" w:cs="Times New Roman"/>
                <w:sz w:val="24"/>
                <w:szCs w:val="24"/>
                <w:lang w:eastAsia="ru-RU"/>
              </w:rPr>
            </w:pPr>
            <w:r>
              <w:rPr>
                <w:rFonts w:cs="Times New Roman" w:ascii="Times New Roman" w:hAnsi="Times New Roman"/>
                <w:sz w:val="24"/>
                <w:szCs w:val="24"/>
                <w:lang w:eastAsia="ru-RU"/>
              </w:rPr>
              <w:t>Окончательный состав и содержание эксплуатационной документации и порядок ее представления должен быть согласован с Заказчиком до начала пусконаладочных работ.</w:t>
            </w:r>
          </w:p>
          <w:p>
            <w:pPr>
              <w:pStyle w:val="Normal"/>
              <w:spacing w:lineRule="auto" w:line="240" w:before="0" w:after="0"/>
              <w:ind w:firstLine="360" w:end="0"/>
              <w:jc w:val="both"/>
              <w:rPr/>
            </w:pPr>
            <w:r>
              <w:rPr>
                <w:rFonts w:cs="Times New Roman" w:ascii="Times New Roman" w:hAnsi="Times New Roman"/>
                <w:sz w:val="24"/>
                <w:szCs w:val="24"/>
                <w:lang w:eastAsia="ru-RU"/>
              </w:rPr>
              <w:t>Исполнительная и эксплуатационная документация в трех экземплярах должна быть утверждена Заказчиком. Один экземпляр утвержденных документов должен находиться на объекте к началу проведения приемо-сдаточных испытаний.</w:t>
            </w:r>
          </w:p>
          <w:p>
            <w:pPr>
              <w:pStyle w:val="Normal"/>
              <w:spacing w:lineRule="auto" w:line="240" w:before="0" w:after="0"/>
              <w:ind w:firstLine="360" w:end="0"/>
              <w:jc w:val="both"/>
              <w:rPr/>
            </w:pPr>
            <w:r>
              <w:rPr>
                <w:rFonts w:cs="Times New Roman" w:ascii="Times New Roman" w:hAnsi="Times New Roman"/>
                <w:sz w:val="24"/>
                <w:szCs w:val="24"/>
                <w:lang w:eastAsia="ru-RU"/>
              </w:rPr>
              <w:t>Приемо-сдаточные испытания проводятся согласно «Программы и методики приемо-сдаточных испытаний», разработанной Подрядчиком и утвержденной Заказчиком.</w:t>
            </w:r>
          </w:p>
        </w:tc>
      </w:tr>
    </w:tbl>
    <w:p>
      <w:pPr>
        <w:pStyle w:val="Normal"/>
        <w:tabs>
          <w:tab w:val="clear" w:pos="720"/>
          <w:tab w:val="left" w:pos="360" w:leader="none"/>
          <w:tab w:val="left" w:pos="928" w:leader="none"/>
          <w:tab w:val="left" w:pos="993" w:leader="none"/>
        </w:tabs>
        <w:spacing w:lineRule="auto" w:line="240" w:before="0" w:after="0"/>
        <w:ind w:end="-115"/>
        <w:jc w:val="center"/>
        <w:rPr>
          <w:rFonts w:ascii="Times New Roman" w:hAnsi="Times New Roman" w:cs="Times New Roman"/>
          <w:color w:val="000099"/>
          <w:sz w:val="24"/>
          <w:szCs w:val="24"/>
        </w:rPr>
      </w:pPr>
      <w:r>
        <w:rPr>
          <w:rFonts w:cs="Times New Roman" w:ascii="Times New Roman" w:hAnsi="Times New Roman"/>
          <w:color w:val="000099"/>
          <w:sz w:val="24"/>
          <w:szCs w:val="24"/>
        </w:rPr>
      </w:r>
    </w:p>
    <w:p>
      <w:pPr>
        <w:pStyle w:val="Normal"/>
        <w:autoSpaceDE w:val="false"/>
        <w:spacing w:lineRule="auto" w:line="240" w:before="0" w:after="0"/>
        <w:jc w:val="both"/>
        <w:rPr/>
      </w:pPr>
      <w:bookmarkStart w:id="4" w:name="_Hlk130375705"/>
      <w:bookmarkEnd w:id="4"/>
      <w:r>
        <w:rPr>
          <w:rFonts w:eastAsia="Times New Roman" w:cs="Times New Roman" w:ascii="Times New Roman" w:hAnsi="Times New Roman"/>
          <w:i/>
          <w:sz w:val="24"/>
          <w:szCs w:val="24"/>
          <w:lang w:eastAsia="ru-RU"/>
        </w:rPr>
        <w:t>Примечание:</w:t>
      </w:r>
    </w:p>
    <w:p>
      <w:pPr>
        <w:pStyle w:val="Normal"/>
        <w:autoSpaceDE w:val="false"/>
        <w:spacing w:lineRule="auto" w:line="240" w:before="0" w:after="0"/>
        <w:jc w:val="both"/>
        <w:rPr/>
      </w:pPr>
      <w:bookmarkStart w:id="5" w:name="_Hlk130375705"/>
      <w:bookmarkEnd w:id="5"/>
      <w:r>
        <w:rPr>
          <w:rFonts w:eastAsia="Times New Roman" w:cs="Times New Roman" w:ascii="Times New Roman" w:hAnsi="Times New Roman"/>
          <w:i/>
          <w:color w:val="000080"/>
          <w:sz w:val="21"/>
          <w:szCs w:val="21"/>
          <w:lang w:eastAsia="ru-RU"/>
        </w:rPr>
        <w:t>Любое упоминание на товарные знаки материалов, оборудования, конструкций ,подразумевает возможность их замены участником закупки на эквивалентные (соответствующие или превосходящие по характеристикам) при соблюдении ограничений, регламентированных ст. 14 Федерального закона от 05.04.2013 № 44-ФЗ и нормативными правовыми актами Российской Федерации в области импортозамещения;</w:t>
      </w:r>
    </w:p>
    <w:p>
      <w:pPr>
        <w:pStyle w:val="Normal"/>
        <w:autoSpaceDE w:val="false"/>
        <w:spacing w:lineRule="auto" w:line="240" w:before="0" w:after="0"/>
        <w:jc w:val="both"/>
        <w:rPr/>
      </w:pPr>
      <w:r>
        <w:rPr>
          <w:rFonts w:eastAsia="Times New Roman" w:cs="Times New Roman" w:ascii="Times New Roman" w:hAnsi="Times New Roman"/>
          <w:i/>
          <w:color w:val="000080"/>
          <w:sz w:val="21"/>
          <w:szCs w:val="21"/>
          <w:lang w:eastAsia="ru-RU"/>
        </w:rPr>
        <w:t>Наименование материалов, оборудования, конструкций, содержащие товарные знаки, использованы заказчиком для определения начальной (максимальной) цены контракта.</w:t>
      </w:r>
    </w:p>
    <w:p>
      <w:pPr>
        <w:pStyle w:val="Normal"/>
        <w:autoSpaceDE w:val="false"/>
        <w:spacing w:lineRule="auto" w:line="240" w:before="0" w:after="0"/>
        <w:jc w:val="both"/>
        <w:rPr/>
      </w:pPr>
      <w:r>
        <w:rPr>
          <w:rFonts w:eastAsia="Times New Roman" w:cs="Times New Roman" w:ascii="Times New Roman" w:hAnsi="Times New Roman"/>
          <w:i/>
          <w:color w:val="000080"/>
          <w:sz w:val="21"/>
          <w:szCs w:val="21"/>
          <w:lang w:eastAsia="ru-RU"/>
        </w:rPr>
        <w:t>Все товарные знаки (указание на конкретных производителей), необходимо считать сопровождаемыми словами «или эквивалент».</w:t>
      </w:r>
    </w:p>
    <w:p>
      <w:pPr>
        <w:pStyle w:val="Normal"/>
        <w:autoSpaceDE w:val="false"/>
        <w:spacing w:lineRule="auto" w:line="240" w:before="0" w:after="0"/>
        <w:jc w:val="both"/>
        <w:rPr>
          <w:rFonts w:ascii="Times New Roman" w:hAnsi="Times New Roman" w:eastAsia="Times New Roman" w:cs="Times New Roman"/>
          <w:i/>
          <w:color w:val="000080"/>
          <w:sz w:val="24"/>
          <w:szCs w:val="24"/>
          <w:lang w:eastAsia="ru-RU"/>
        </w:rPr>
      </w:pPr>
      <w:r>
        <w:rPr/>
      </w:r>
    </w:p>
    <w:p>
      <w:pPr>
        <w:pStyle w:val="Normal"/>
        <w:spacing w:lineRule="auto" w:line="240" w:before="0" w:after="0"/>
        <w:jc w:val="end"/>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spacing w:lineRule="auto" w:line="240" w:before="0" w:after="0"/>
        <w:jc w:val="end"/>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spacing w:lineRule="auto" w:line="240" w:before="0" w:after="0"/>
        <w:jc w:val="end"/>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spacing w:lineRule="auto" w:line="240" w:before="0" w:after="0"/>
        <w:jc w:val="end"/>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spacing w:lineRule="auto" w:line="240" w:before="0" w:after="0"/>
        <w:jc w:val="end"/>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spacing w:lineRule="auto" w:line="240" w:before="0" w:after="0"/>
        <w:jc w:val="end"/>
        <w:rPr>
          <w:rFonts w:ascii="Times New Roman" w:hAnsi="Times New Roman" w:eastAsia="Times New Roman" w:cs="Times New Roman"/>
          <w:sz w:val="20"/>
          <w:szCs w:val="20"/>
          <w:highlight w:val="yellow"/>
          <w:lang w:eastAsia="ru-RU"/>
        </w:rPr>
      </w:pPr>
      <w:r>
        <w:rPr>
          <w:rFonts w:eastAsia="Times New Roman" w:cs="Times New Roman" w:ascii="Times New Roman" w:hAnsi="Times New Roman"/>
          <w:sz w:val="20"/>
          <w:szCs w:val="20"/>
          <w:highlight w:val="yellow"/>
          <w:lang w:eastAsia="ru-RU"/>
        </w:rPr>
      </w:r>
    </w:p>
    <w:p>
      <w:pPr>
        <w:pStyle w:val="Normal"/>
        <w:spacing w:lineRule="auto" w:line="240" w:before="0" w:after="0"/>
        <w:jc w:val="end"/>
        <w:rPr>
          <w:rFonts w:ascii="Times New Roman" w:hAnsi="Times New Roman" w:eastAsia="Times New Roman" w:cs="Times New Roman"/>
          <w:sz w:val="20"/>
          <w:szCs w:val="20"/>
          <w:highlight w:val="yellow"/>
          <w:lang w:eastAsia="ru-RU"/>
        </w:rPr>
      </w:pPr>
      <w:r>
        <w:rPr>
          <w:rFonts w:eastAsia="Times New Roman" w:cs="Times New Roman" w:ascii="Times New Roman" w:hAnsi="Times New Roman"/>
          <w:sz w:val="20"/>
          <w:szCs w:val="20"/>
          <w:highlight w:val="yellow"/>
          <w:lang w:eastAsia="ru-RU"/>
        </w:rPr>
      </w:r>
    </w:p>
    <w:p>
      <w:pPr>
        <w:pStyle w:val="Normal"/>
        <w:spacing w:lineRule="auto" w:line="240" w:before="0" w:after="0"/>
        <w:jc w:val="end"/>
        <w:rPr>
          <w:rFonts w:ascii="Times New Roman" w:hAnsi="Times New Roman" w:eastAsia="Times New Roman" w:cs="Times New Roman"/>
          <w:sz w:val="20"/>
          <w:szCs w:val="20"/>
          <w:highlight w:val="yellow"/>
          <w:lang w:eastAsia="ru-RU"/>
        </w:rPr>
      </w:pPr>
      <w:r>
        <w:rPr>
          <w:rFonts w:eastAsia="Times New Roman" w:cs="Times New Roman" w:ascii="Times New Roman" w:hAnsi="Times New Roman"/>
          <w:sz w:val="20"/>
          <w:szCs w:val="20"/>
          <w:highlight w:val="yellow"/>
          <w:lang w:eastAsia="ru-RU"/>
        </w:rPr>
      </w:r>
    </w:p>
    <w:sectPr>
      <w:type w:val="nextPage"/>
      <w:pgSz w:w="11906" w:h="16838"/>
      <w:pgMar w:left="1304" w:right="737"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XO Thames">
    <w:charset w:val="01" w:characterSet="utf-8"/>
    <w:family w:val="roman"/>
    <w:pitch w:val="variable"/>
  </w:font>
  <w:font w:name="Wingdings">
    <w:charset w:val="02"/>
    <w:family w:val="auto"/>
    <w:pitch w:val="variable"/>
  </w:font>
  <w:font w:name="Courier New">
    <w:charset w:val="cc" w:characterSet="windows-1251"/>
    <w:family w:val="modern"/>
    <w:pitch w:val="default"/>
  </w:font>
  <w:font w:name="Liberation Sans">
    <w:altName w:val="Arial"/>
    <w:charset w:val="01" w:characterSet="utf-8"/>
    <w:family w:val="swiss"/>
    <w:pitch w:val="variable"/>
  </w:font>
  <w:font w:name="Times New Roman">
    <w:charset w:val="cc" w:characterSet="windows-125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8"/>
        </w:tabs>
        <w:ind w:start="1287"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abstractNum>
  <w:abstractNum w:abstractNumId="3">
    <w:lvl w:ilvl="0">
      <w:start w:val="1"/>
      <w:numFmt w:val="decimal"/>
      <w:lvlText w:val="%1."/>
      <w:lvlJc w:val="start"/>
      <w:pPr>
        <w:tabs>
          <w:tab w:val="num" w:pos="0"/>
        </w:tabs>
        <w:ind w:start="814" w:hanging="360"/>
      </w:p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Tahoma" w:cs="Noto Sans"/>
        <w:color w:val="000000"/>
        <w:sz w:val="24"/>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bidi w:val="0"/>
      <w:spacing w:lineRule="auto" w:line="240" w:before="0" w:after="0"/>
      <w:ind w:hanging="0" w:start="0" w:end="0"/>
      <w:jc w:val="both"/>
    </w:pPr>
    <w:rPr>
      <w:rFonts w:ascii="XO Thames" w:hAnsi="XO Thames" w:eastAsia="Tahoma" w:cs="Noto Sans"/>
      <w:color w:val="000000"/>
      <w:spacing w:val="0"/>
      <w:kern w:val="0"/>
      <w:sz w:val="28"/>
      <w:szCs w:val="20"/>
      <w:lang w:val="ru-RU" w:eastAsia="zh-CN" w:bidi="hi-IN"/>
    </w:rPr>
  </w:style>
  <w:style w:type="paragraph" w:styleId="Heading1">
    <w:name w:val="heading 1"/>
    <w:next w:val="Normal"/>
    <w:uiPriority w:val="9"/>
    <w:qFormat/>
    <w:pPr>
      <w:widowControl/>
      <w:bidi w:val="0"/>
      <w:spacing w:lineRule="auto" w:line="240" w:before="120" w:after="120"/>
      <w:ind w:hanging="0" w:start="0" w:end="0"/>
      <w:jc w:val="both"/>
      <w:outlineLvl w:val="0"/>
    </w:pPr>
    <w:rPr>
      <w:rFonts w:ascii="XO Thames" w:hAnsi="XO Thames" w:eastAsia="Tahoma" w:cs="Noto Sans"/>
      <w:b/>
      <w:color w:val="000000"/>
      <w:spacing w:val="0"/>
      <w:kern w:val="0"/>
      <w:sz w:val="32"/>
      <w:szCs w:val="20"/>
      <w:lang w:val="ru-RU" w:eastAsia="zh-CN" w:bidi="hi-IN"/>
    </w:rPr>
  </w:style>
  <w:style w:type="paragraph" w:styleId="Heading2">
    <w:name w:val="heading 2"/>
    <w:next w:val="Normal"/>
    <w:uiPriority w:val="9"/>
    <w:qFormat/>
    <w:pPr>
      <w:widowControl/>
      <w:bidi w:val="0"/>
      <w:spacing w:lineRule="auto" w:line="240" w:before="120" w:after="120"/>
      <w:ind w:hanging="0" w:start="0" w:end="0"/>
      <w:jc w:val="both"/>
      <w:outlineLvl w:val="1"/>
    </w:pPr>
    <w:rPr>
      <w:rFonts w:ascii="XO Thames" w:hAnsi="XO Thames" w:eastAsia="Tahoma" w:cs="Noto Sans"/>
      <w:b/>
      <w:color w:val="000000"/>
      <w:spacing w:val="0"/>
      <w:kern w:val="0"/>
      <w:sz w:val="28"/>
      <w:szCs w:val="20"/>
      <w:lang w:val="ru-RU" w:eastAsia="zh-CN" w:bidi="hi-IN"/>
    </w:rPr>
  </w:style>
  <w:style w:type="paragraph" w:styleId="Heading3">
    <w:name w:val="heading 3"/>
    <w:next w:val="Normal"/>
    <w:uiPriority w:val="9"/>
    <w:qFormat/>
    <w:pPr>
      <w:widowControl/>
      <w:bidi w:val="0"/>
      <w:spacing w:lineRule="auto" w:line="240" w:before="120" w:after="120"/>
      <w:ind w:hanging="0" w:start="0" w:end="0"/>
      <w:jc w:val="both"/>
      <w:outlineLvl w:val="2"/>
    </w:pPr>
    <w:rPr>
      <w:rFonts w:ascii="XO Thames" w:hAnsi="XO Thames" w:eastAsia="Tahoma" w:cs="Noto Sans"/>
      <w:b/>
      <w:color w:val="000000"/>
      <w:spacing w:val="0"/>
      <w:kern w:val="0"/>
      <w:sz w:val="26"/>
      <w:szCs w:val="20"/>
      <w:lang w:val="ru-RU" w:eastAsia="zh-CN" w:bidi="hi-IN"/>
    </w:rPr>
  </w:style>
  <w:style w:type="paragraph" w:styleId="Heading4">
    <w:name w:val="heading 4"/>
    <w:next w:val="Normal"/>
    <w:uiPriority w:val="9"/>
    <w:qFormat/>
    <w:pPr>
      <w:widowControl/>
      <w:bidi w:val="0"/>
      <w:spacing w:lineRule="auto" w:line="240" w:before="120" w:after="120"/>
      <w:ind w:hanging="0" w:start="0" w:end="0"/>
      <w:jc w:val="both"/>
      <w:outlineLvl w:val="3"/>
    </w:pPr>
    <w:rPr>
      <w:rFonts w:ascii="XO Thames" w:hAnsi="XO Thames" w:eastAsia="Tahoma" w:cs="Noto Sans"/>
      <w:b/>
      <w:color w:val="000000"/>
      <w:spacing w:val="0"/>
      <w:kern w:val="0"/>
      <w:sz w:val="24"/>
      <w:szCs w:val="20"/>
      <w:lang w:val="ru-RU" w:eastAsia="zh-CN" w:bidi="hi-IN"/>
    </w:rPr>
  </w:style>
  <w:style w:type="paragraph" w:styleId="Heading5">
    <w:name w:val="heading 5"/>
    <w:next w:val="Normal"/>
    <w:uiPriority w:val="9"/>
    <w:qFormat/>
    <w:pPr>
      <w:widowControl/>
      <w:bidi w:val="0"/>
      <w:spacing w:lineRule="auto" w:line="240" w:before="120" w:after="120"/>
      <w:ind w:hanging="0" w:start="0" w:end="0"/>
      <w:jc w:val="both"/>
      <w:outlineLvl w:val="4"/>
    </w:pPr>
    <w:rPr>
      <w:rFonts w:ascii="XO Thames" w:hAnsi="XO Thames" w:eastAsia="Tahoma" w:cs="Noto Sans"/>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Contents3">
    <w:name w:val="Contents 3"/>
    <w:qFormat/>
    <w:rPr>
      <w:rFonts w:ascii="XO Thames" w:hAnsi="XO Thames"/>
      <w:sz w:val="28"/>
    </w:rPr>
  </w:style>
  <w:style w:type="character" w:styleId="Heading51">
    <w:name w:val="Heading 51"/>
    <w:qFormat/>
    <w:rPr>
      <w:rFonts w:ascii="XO Thames" w:hAnsi="XO Thames"/>
      <w:b/>
      <w:sz w:val="22"/>
    </w:rPr>
  </w:style>
  <w:style w:type="character" w:styleId="Heading11">
    <w:name w:val="Heading 11"/>
    <w:qFormat/>
    <w:rPr>
      <w:rFonts w:ascii="XO Thames" w:hAnsi="XO Thames"/>
      <w:b/>
      <w:sz w:val="32"/>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8"/>
    </w:rPr>
  </w:style>
  <w:style w:type="character" w:styleId="Contents9">
    <w:name w:val="Contents 9"/>
    <w:qFormat/>
    <w:rPr>
      <w:rFonts w:ascii="XO Thames" w:hAnsi="XO Thames"/>
      <w:sz w:val="28"/>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Subtitle1">
    <w:name w:val="Subtitle1"/>
    <w:qFormat/>
    <w:rPr>
      <w:rFonts w:ascii="XO Thames" w:hAnsi="XO Thames"/>
      <w:i/>
      <w:sz w:val="24"/>
    </w:rPr>
  </w:style>
  <w:style w:type="character" w:styleId="Title1">
    <w:name w:val="Title1"/>
    <w:qFormat/>
    <w:rPr>
      <w:rFonts w:ascii="XO Thames" w:hAnsi="XO Thames"/>
      <w:b/>
      <w:caps/>
      <w:sz w:val="40"/>
    </w:rPr>
  </w:style>
  <w:style w:type="character" w:styleId="Heading41">
    <w:name w:val="Heading 41"/>
    <w:qFormat/>
    <w:rPr>
      <w:rFonts w:ascii="XO Thames" w:hAnsi="XO Thames"/>
      <w:b/>
      <w:sz w:val="24"/>
    </w:rPr>
  </w:style>
  <w:style w:type="character" w:styleId="Heading21">
    <w:name w:val="Heading 21"/>
    <w:qFormat/>
    <w:rPr>
      <w:rFonts w:ascii="XO Thames" w:hAnsi="XO Thames"/>
      <w:b/>
      <w:sz w:val="28"/>
    </w:rPr>
  </w:style>
  <w:style w:type="character" w:styleId="WW8Num30z0">
    <w:name w:val="WW8Num30z0"/>
    <w:qFormat/>
    <w:rPr>
      <w:rFonts w:ascii="Wingdings" w:hAnsi="Wingdings" w:cs="Wingdings"/>
    </w:rPr>
  </w:style>
  <w:style w:type="character" w:styleId="WW8Num30z1">
    <w:name w:val="WW8Num30z1"/>
    <w:qFormat/>
    <w:rPr>
      <w:rFonts w:ascii="Courier New" w:hAnsi="Courier New" w:cs="Courier New"/>
    </w:rPr>
  </w:style>
  <w:style w:type="character" w:styleId="WW8Num30z3">
    <w:name w:val="WW8Num30z3"/>
    <w:qFormat/>
    <w:rPr>
      <w:rFonts w:ascii="Symbol" w:hAnsi="Symbol" w:cs="Symbol"/>
    </w:rPr>
  </w:style>
  <w:style w:type="character" w:styleId="WW8Num33z0">
    <w:name w:val="WW8Num33z0"/>
    <w:qFormat/>
    <w:rPr>
      <w:rFonts w:ascii="Symbol" w:hAnsi="Symbol" w:cs="Symbol"/>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paragraph" w:styleId="Style9">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0">
    <w:name w:val="Указатель"/>
    <w:basedOn w:val="Normal"/>
    <w:qFormat/>
    <w:pPr>
      <w:suppressLineNumbers/>
    </w:pPr>
    <w:rPr>
      <w:rFonts w:cs="Noto Sans"/>
    </w:rPr>
  </w:style>
  <w:style w:type="paragraph" w:styleId="TOC2">
    <w:name w:val="toc 2"/>
    <w:next w:val="Normal"/>
    <w:uiPriority w:val="39"/>
    <w:pPr>
      <w:widowControl/>
      <w:bidi w:val="0"/>
      <w:spacing w:lineRule="auto" w:line="240" w:before="0" w:after="0"/>
      <w:ind w:hanging="0" w:start="200" w:end="0"/>
      <w:jc w:val="start"/>
    </w:pPr>
    <w:rPr>
      <w:rFonts w:ascii="XO Thames" w:hAnsi="XO Thames" w:eastAsia="Tahoma" w:cs="Noto Sans"/>
      <w:color w:val="000000"/>
      <w:spacing w:val="0"/>
      <w:kern w:val="0"/>
      <w:sz w:val="28"/>
      <w:szCs w:val="20"/>
      <w:lang w:val="ru-RU" w:eastAsia="zh-CN" w:bidi="hi-IN"/>
    </w:rPr>
  </w:style>
  <w:style w:type="paragraph" w:styleId="TOC4">
    <w:name w:val="toc 4"/>
    <w:next w:val="Normal"/>
    <w:uiPriority w:val="39"/>
    <w:pPr>
      <w:widowControl/>
      <w:bidi w:val="0"/>
      <w:spacing w:lineRule="auto" w:line="240" w:before="0" w:after="0"/>
      <w:ind w:hanging="0" w:start="600" w:end="0"/>
      <w:jc w:val="start"/>
    </w:pPr>
    <w:rPr>
      <w:rFonts w:ascii="XO Thames" w:hAnsi="XO Thames" w:eastAsia="Tahoma" w:cs="Noto Sans"/>
      <w:color w:val="000000"/>
      <w:spacing w:val="0"/>
      <w:kern w:val="0"/>
      <w:sz w:val="28"/>
      <w:szCs w:val="20"/>
      <w:lang w:val="ru-RU" w:eastAsia="zh-CN" w:bidi="hi-IN"/>
    </w:rPr>
  </w:style>
  <w:style w:type="paragraph" w:styleId="TOC6">
    <w:name w:val="toc 6"/>
    <w:next w:val="Normal"/>
    <w:uiPriority w:val="39"/>
    <w:pPr>
      <w:widowControl/>
      <w:bidi w:val="0"/>
      <w:spacing w:lineRule="auto" w:line="240" w:before="0" w:after="0"/>
      <w:ind w:hanging="0" w:start="1000" w:end="0"/>
      <w:jc w:val="start"/>
    </w:pPr>
    <w:rPr>
      <w:rFonts w:ascii="XO Thames" w:hAnsi="XO Thames" w:eastAsia="Tahoma" w:cs="Noto Sans"/>
      <w:color w:val="000000"/>
      <w:spacing w:val="0"/>
      <w:kern w:val="0"/>
      <w:sz w:val="28"/>
      <w:szCs w:val="20"/>
      <w:lang w:val="ru-RU" w:eastAsia="zh-CN" w:bidi="hi-IN"/>
    </w:rPr>
  </w:style>
  <w:style w:type="paragraph" w:styleId="TOC7">
    <w:name w:val="toc 7"/>
    <w:next w:val="Normal"/>
    <w:uiPriority w:val="39"/>
    <w:pPr>
      <w:widowControl/>
      <w:bidi w:val="0"/>
      <w:spacing w:lineRule="auto" w:line="240" w:before="0" w:after="0"/>
      <w:ind w:hanging="0" w:start="1200" w:end="0"/>
      <w:jc w:val="start"/>
    </w:pPr>
    <w:rPr>
      <w:rFonts w:ascii="XO Thames" w:hAnsi="XO Thames" w:eastAsia="Tahoma" w:cs="Noto Sans"/>
      <w:color w:val="000000"/>
      <w:spacing w:val="0"/>
      <w:kern w:val="0"/>
      <w:sz w:val="28"/>
      <w:szCs w:val="20"/>
      <w:lang w:val="ru-RU" w:eastAsia="zh-CN" w:bidi="hi-IN"/>
    </w:rPr>
  </w:style>
  <w:style w:type="paragraph" w:styleId="Endnote1">
    <w:name w:val="Endnote1"/>
    <w:link w:val="Endnote"/>
    <w:qFormat/>
    <w:pPr>
      <w:widowControl/>
      <w:bidi w:val="0"/>
      <w:spacing w:lineRule="auto" w:line="240" w:before="0" w:after="0"/>
      <w:ind w:firstLine="851" w:start="0" w:end="0"/>
      <w:jc w:val="both"/>
    </w:pPr>
    <w:rPr>
      <w:rFonts w:ascii="XO Thames" w:hAnsi="XO Thames" w:eastAsia="Tahoma" w:cs="Noto Sans"/>
      <w:color w:val="000000"/>
      <w:spacing w:val="0"/>
      <w:kern w:val="0"/>
      <w:sz w:val="22"/>
      <w:szCs w:val="20"/>
      <w:lang w:val="ru-RU" w:eastAsia="zh-CN" w:bidi="hi-IN"/>
    </w:rPr>
  </w:style>
  <w:style w:type="paragraph" w:styleId="TOC3">
    <w:name w:val="toc 3"/>
    <w:next w:val="Normal"/>
    <w:uiPriority w:val="39"/>
    <w:pPr>
      <w:widowControl/>
      <w:bidi w:val="0"/>
      <w:spacing w:lineRule="auto" w:line="240" w:before="0" w:after="0"/>
      <w:ind w:hanging="0" w:start="400" w:end="0"/>
      <w:jc w:val="start"/>
    </w:pPr>
    <w:rPr>
      <w:rFonts w:ascii="XO Thames" w:hAnsi="XO Thames" w:eastAsia="Tahoma" w:cs="Noto Sans"/>
      <w:color w:val="000000"/>
      <w:spacing w:val="0"/>
      <w:kern w:val="0"/>
      <w:sz w:val="28"/>
      <w:szCs w:val="20"/>
      <w:lang w:val="ru-RU" w:eastAsia="zh-CN" w:bidi="hi-IN"/>
    </w:rPr>
  </w:style>
  <w:style w:type="paragraph" w:styleId="Internetlink">
    <w:name w:val="Internet link"/>
    <w:qFormat/>
    <w:pPr>
      <w:widowControl/>
      <w:bidi w:val="0"/>
      <w:spacing w:lineRule="auto" w:line="240" w:before="0" w:after="0"/>
      <w:ind w:hanging="0" w:start="0" w:end="0"/>
      <w:jc w:val="start"/>
    </w:pPr>
    <w:rPr>
      <w:rFonts w:ascii="XO Thames" w:hAnsi="XO Thames" w:eastAsia="Tahoma" w:cs="Noto Sans"/>
      <w:color w:val="0000FF"/>
      <w:spacing w:val="0"/>
      <w:kern w:val="0"/>
      <w:sz w:val="24"/>
      <w:szCs w:val="20"/>
      <w:u w:val="single"/>
      <w:lang w:val="ru-RU" w:eastAsia="zh-CN" w:bidi="hi-IN"/>
    </w:rPr>
  </w:style>
  <w:style w:type="paragraph" w:styleId="Footnote1">
    <w:name w:val="Footnote1"/>
    <w:link w:val="Footnote"/>
    <w:qFormat/>
    <w:pPr>
      <w:widowControl/>
      <w:bidi w:val="0"/>
      <w:spacing w:lineRule="auto" w:line="240" w:before="0" w:after="0"/>
      <w:ind w:firstLine="851" w:start="0" w:end="0"/>
      <w:jc w:val="both"/>
    </w:pPr>
    <w:rPr>
      <w:rFonts w:ascii="XO Thames" w:hAnsi="XO Thames" w:eastAsia="Tahoma" w:cs="Noto Sans"/>
      <w:color w:val="000000"/>
      <w:spacing w:val="0"/>
      <w:kern w:val="0"/>
      <w:sz w:val="22"/>
      <w:szCs w:val="20"/>
      <w:lang w:val="ru-RU" w:eastAsia="zh-CN" w:bidi="hi-IN"/>
    </w:rPr>
  </w:style>
  <w:style w:type="paragraph" w:styleId="TOC1">
    <w:name w:val="toc 1"/>
    <w:next w:val="Normal"/>
    <w:uiPriority w:val="39"/>
    <w:pPr>
      <w:widowControl/>
      <w:bidi w:val="0"/>
      <w:spacing w:lineRule="auto" w:line="240" w:before="0" w:after="0"/>
      <w:ind w:hanging="0" w:start="0" w:end="0"/>
      <w:jc w:val="start"/>
    </w:pPr>
    <w:rPr>
      <w:rFonts w:ascii="XO Thames" w:hAnsi="XO Thames" w:eastAsia="Tahoma" w:cs="Noto Sans"/>
      <w:b/>
      <w:color w:val="000000"/>
      <w:spacing w:val="0"/>
      <w:kern w:val="0"/>
      <w:sz w:val="28"/>
      <w:szCs w:val="20"/>
      <w:lang w:val="ru-RU" w:eastAsia="zh-CN" w:bidi="hi-IN"/>
    </w:rPr>
  </w:style>
  <w:style w:type="paragraph" w:styleId="Style11">
    <w:name w:val="Колонтитулы"/>
    <w:qFormat/>
    <w:pPr>
      <w:widowControl/>
      <w:bidi w:val="0"/>
      <w:spacing w:lineRule="auto" w:line="240" w:before="0" w:after="0"/>
      <w:ind w:hanging="0" w:start="0" w:end="0"/>
      <w:jc w:val="both"/>
    </w:pPr>
    <w:rPr>
      <w:rFonts w:ascii="XO Thames" w:hAnsi="XO Thames" w:eastAsia="Tahoma" w:cs="Noto Sans"/>
      <w:color w:val="000000"/>
      <w:spacing w:val="0"/>
      <w:kern w:val="0"/>
      <w:sz w:val="28"/>
      <w:szCs w:val="20"/>
      <w:lang w:val="ru-RU" w:eastAsia="zh-CN" w:bidi="hi-IN"/>
    </w:rPr>
  </w:style>
  <w:style w:type="paragraph" w:styleId="TOC9">
    <w:name w:val="toc 9"/>
    <w:next w:val="Normal"/>
    <w:uiPriority w:val="39"/>
    <w:pPr>
      <w:widowControl/>
      <w:bidi w:val="0"/>
      <w:spacing w:lineRule="auto" w:line="240" w:before="0" w:after="0"/>
      <w:ind w:hanging="0" w:start="1600" w:end="0"/>
      <w:jc w:val="start"/>
    </w:pPr>
    <w:rPr>
      <w:rFonts w:ascii="XO Thames" w:hAnsi="XO Thames" w:eastAsia="Tahoma" w:cs="Noto Sans"/>
      <w:color w:val="000000"/>
      <w:spacing w:val="0"/>
      <w:kern w:val="0"/>
      <w:sz w:val="28"/>
      <w:szCs w:val="20"/>
      <w:lang w:val="ru-RU" w:eastAsia="zh-CN" w:bidi="hi-IN"/>
    </w:rPr>
  </w:style>
  <w:style w:type="paragraph" w:styleId="TOC8">
    <w:name w:val="toc 8"/>
    <w:next w:val="Normal"/>
    <w:uiPriority w:val="39"/>
    <w:pPr>
      <w:widowControl/>
      <w:bidi w:val="0"/>
      <w:spacing w:lineRule="auto" w:line="240" w:before="0" w:after="0"/>
      <w:ind w:hanging="0" w:start="1400" w:end="0"/>
      <w:jc w:val="start"/>
    </w:pPr>
    <w:rPr>
      <w:rFonts w:ascii="XO Thames" w:hAnsi="XO Thames" w:eastAsia="Tahoma" w:cs="Noto Sans"/>
      <w:color w:val="000000"/>
      <w:spacing w:val="0"/>
      <w:kern w:val="0"/>
      <w:sz w:val="28"/>
      <w:szCs w:val="20"/>
      <w:lang w:val="ru-RU" w:eastAsia="zh-CN" w:bidi="hi-IN"/>
    </w:rPr>
  </w:style>
  <w:style w:type="paragraph" w:styleId="TOC5">
    <w:name w:val="toc 5"/>
    <w:next w:val="Normal"/>
    <w:uiPriority w:val="39"/>
    <w:pPr>
      <w:widowControl/>
      <w:bidi w:val="0"/>
      <w:spacing w:lineRule="auto" w:line="240" w:before="0" w:after="0"/>
      <w:ind w:hanging="0" w:start="800" w:end="0"/>
      <w:jc w:val="start"/>
    </w:pPr>
    <w:rPr>
      <w:rFonts w:ascii="XO Thames" w:hAnsi="XO Thames" w:eastAsia="Tahoma" w:cs="Noto Sans"/>
      <w:color w:val="000000"/>
      <w:spacing w:val="0"/>
      <w:kern w:val="0"/>
      <w:sz w:val="28"/>
      <w:szCs w:val="20"/>
      <w:lang w:val="ru-RU" w:eastAsia="zh-CN" w:bidi="hi-IN"/>
    </w:rPr>
  </w:style>
  <w:style w:type="paragraph" w:styleId="Subtitle">
    <w:name w:val="Subtitle"/>
    <w:next w:val="Normal"/>
    <w:uiPriority w:val="11"/>
    <w:qFormat/>
    <w:pPr>
      <w:widowControl/>
      <w:bidi w:val="0"/>
      <w:spacing w:lineRule="auto" w:line="240" w:before="0" w:after="0"/>
      <w:ind w:hanging="0" w:start="0" w:end="0"/>
      <w:jc w:val="both"/>
    </w:pPr>
    <w:rPr>
      <w:rFonts w:ascii="XO Thames" w:hAnsi="XO Thames" w:eastAsia="Tahoma" w:cs="Noto Sans"/>
      <w:i/>
      <w:color w:val="000000"/>
      <w:spacing w:val="0"/>
      <w:kern w:val="0"/>
      <w:sz w:val="24"/>
      <w:szCs w:val="20"/>
      <w:lang w:val="ru-RU" w:eastAsia="zh-CN" w:bidi="hi-IN"/>
    </w:rPr>
  </w:style>
  <w:style w:type="paragraph" w:styleId="Title">
    <w:name w:val="Title"/>
    <w:next w:val="Normal"/>
    <w:uiPriority w:val="10"/>
    <w:qFormat/>
    <w:pPr>
      <w:widowControl/>
      <w:bidi w:val="0"/>
      <w:spacing w:lineRule="auto" w:line="240" w:before="567" w:after="567"/>
      <w:ind w:hanging="0" w:start="0" w:end="0"/>
      <w:jc w:val="center"/>
    </w:pPr>
    <w:rPr>
      <w:rFonts w:ascii="XO Thames" w:hAnsi="XO Thames" w:eastAsia="Tahoma" w:cs="Noto Sans"/>
      <w:b/>
      <w:caps/>
      <w:color w:val="000000"/>
      <w:spacing w:val="0"/>
      <w:kern w:val="0"/>
      <w:sz w:val="40"/>
      <w:szCs w:val="20"/>
      <w:lang w:val="ru-RU" w:eastAsia="zh-CN" w:bidi="hi-IN"/>
    </w:rPr>
  </w:style>
  <w:style w:type="numbering" w:styleId="WW8Num30">
    <w:name w:val="WW8Num30"/>
    <w:qFormat/>
  </w:style>
  <w:style w:type="numbering" w:styleId="WW8Num33">
    <w:name w:val="WW8Num3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LibreOffice/25.8.7.3$Linux_X86_64 LibreOffice_project/30742500f2d3eb4366ac312fa33d3dcabdb3eba5</Application>
  <AppVersion>15.0000</AppVersion>
  <Pages>10</Pages>
  <Words>3074</Words>
  <Characters>23507</Characters>
  <CharactersWithSpaces>26416</CharactersWithSpaces>
  <Paragraphs>209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2025-07-25T09:04:47Z</dcterms:created>
  <dc:creator/>
  <dc:description/>
  <dc:language>ru-RU</dc:language>
  <cp:lastModifiedBy/>
  <dcterms:modified xsi:type="dcterms:W3CDTF">2026-09-16T14:33:55Z</dcterms:modified>
  <cp:revision>4</cp:revision>
  <dc:subject/>
  <dc:title/>
</cp:coreProperties>
</file>