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end"/>
        <w:rPr/>
      </w:pPr>
      <w:r>
        <w:rPr/>
      </w:r>
    </w:p>
    <w:p>
      <w:pPr>
        <w:pStyle w:val="NoSpacing"/>
        <w:jc w:val="end"/>
        <w:rPr/>
      </w:pPr>
      <w:r>
        <w:rPr/>
      </w:r>
    </w:p>
    <w:p>
      <w:pPr>
        <w:pStyle w:val="NoSpacing"/>
        <w:jc w:val="end"/>
        <w:rPr/>
      </w:pPr>
      <w:r>
        <w:rPr/>
      </w:r>
    </w:p>
    <w:p>
      <w:pPr>
        <w:pStyle w:val="NoSpacing"/>
        <w:jc w:val="end"/>
        <w:rPr/>
      </w:pPr>
      <w:r>
        <w:rPr/>
      </w:r>
    </w:p>
    <w:p>
      <w:pPr>
        <w:pStyle w:val="NoSpacing"/>
        <w:jc w:val="end"/>
        <w:rPr/>
      </w:pPr>
      <w:r>
        <w:rPr/>
      </w:r>
    </w:p>
    <w:p>
      <w:pPr>
        <w:pStyle w:val="NoSpacing"/>
        <w:jc w:val="end"/>
        <w:rPr/>
      </w:pPr>
      <w:r>
        <w:rPr/>
      </w:r>
    </w:p>
    <w:p>
      <w:pPr>
        <w:pStyle w:val="NoSpacing"/>
        <w:jc w:val="end"/>
        <w:rPr/>
      </w:pPr>
      <w:r>
        <w:rPr/>
      </w:r>
    </w:p>
    <w:p>
      <w:pPr>
        <w:pStyle w:val="NoSpacing"/>
        <w:jc w:val="end"/>
        <w:rPr/>
      </w:pPr>
      <w:r>
        <w:rPr/>
      </w:r>
    </w:p>
    <w:p>
      <w:pPr>
        <w:pStyle w:val="NoSpacing"/>
        <w:ind w:hanging="0"/>
        <w:jc w:val="center"/>
        <w:rPr/>
      </w:pPr>
      <w:r>
        <w:rPr/>
      </w:r>
    </w:p>
    <w:p>
      <w:pPr>
        <w:pStyle w:val="NoSpacing"/>
        <w:jc w:val="end"/>
        <w:rPr/>
      </w:pPr>
      <w:r>
        <w:rPr/>
      </w:r>
    </w:p>
    <w:p>
      <w:pPr>
        <w:pStyle w:val="Caption"/>
        <w:rPr/>
      </w:pPr>
      <w:r>
        <w:rPr/>
        <w:t>ТЕХНИЧЕСКОЕ ЗАДАНИЕ</w:t>
      </w:r>
    </w:p>
    <w:p>
      <w:pPr>
        <w:pStyle w:val="Caption"/>
        <w:rPr/>
      </w:pPr>
      <w:r>
        <w:rPr/>
        <w:t xml:space="preserve">на выполнение работ по развитию специального программного обеспечения Единой информационно-аналитической системы жилищно-коммунального хозяйства Московской области </w:t>
      </w:r>
      <w:r>
        <w:rPr/>
        <w:t>(2 этап)</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1"/>
        <w:widowControl/>
        <w:bidi w:val="0"/>
        <w:spacing w:lineRule="auto" w:line="276" w:before="0" w:after="0"/>
        <w:ind w:hanging="57" w:start="57" w:end="57"/>
        <w:jc w:val="center"/>
        <w:rPr/>
      </w:pPr>
      <w:r>
        <w:rPr>
          <w:sz w:val="28"/>
          <w:szCs w:val="28"/>
        </w:rPr>
        <w:t>Москва</w:t>
      </w:r>
    </w:p>
    <w:p>
      <w:pPr>
        <w:pStyle w:val="-1"/>
        <w:widowControl/>
        <w:bidi w:val="0"/>
        <w:spacing w:lineRule="auto" w:line="276" w:before="0" w:after="0"/>
        <w:ind w:hanging="57" w:start="57" w:end="57"/>
        <w:jc w:val="center"/>
        <w:rPr/>
      </w:pPr>
      <w:bookmarkStart w:id="0" w:name="_Hlk178330009"/>
      <w:r>
        <w:rPr>
          <w:sz w:val="28"/>
          <w:szCs w:val="28"/>
        </w:rPr>
        <w:t>2026</w:t>
      </w:r>
      <w:bookmarkEnd w:id="0"/>
    </w:p>
    <w:sdt>
      <w:sdtPr>
        <w:docPartObj>
          <w:docPartGallery w:val="Table of Contents"/>
          <w:docPartUnique w:val="true"/>
        </w:docPartObj>
      </w:sdtPr>
      <w:sdtContent>
        <w:p>
          <w:pPr>
            <w:pStyle w:val="Caption"/>
            <w:spacing w:before="0" w:after="0"/>
            <w:rPr/>
          </w:pPr>
          <w:r>
            <w:br w:type="page"/>
          </w:r>
          <w:r>
            <w:rPr/>
            <w:t>Оглавление</w:t>
          </w:r>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r>
            <w:fldChar w:fldCharType="begin"/>
          </w:r>
          <w:r>
            <w:rPr>
              <w:rStyle w:val="Style23"/>
              <w:vanish w:val="false"/>
              <w:webHidden/>
            </w:rPr>
            <w:instrText xml:space="preserve"> TOC \z \o "1-3" \u \h</w:instrText>
          </w:r>
          <w:r>
            <w:rPr>
              <w:rStyle w:val="Style23"/>
              <w:vanish w:val="false"/>
              <w:webHidden/>
            </w:rPr>
            <w:fldChar w:fldCharType="separate"/>
          </w:r>
          <w:hyperlink w:anchor="_Toc239425651">
            <w:r>
              <w:rPr>
                <w:rStyle w:val="Style23"/>
                <w:vanish w:val="false"/>
                <w:webHidden/>
              </w:rPr>
              <w:t>1.</w:t>
            </w:r>
            <w:r>
              <w:rPr>
                <w:rStyle w:val="Style23"/>
                <w:rFonts w:eastAsia="" w:cs="" w:ascii="Calibri" w:hAnsi="Calibri" w:asciiTheme="minorHAnsi" w:cstheme="minorBidi" w:eastAsiaTheme="minorEastAsia" w:hAnsiTheme="minorHAnsi"/>
                <w:sz w:val="22"/>
                <w:szCs w:val="22"/>
                <w:lang w:eastAsia="ru-RU"/>
              </w:rPr>
              <w:tab/>
            </w:r>
            <w:r>
              <w:rPr>
                <w:rStyle w:val="Style23"/>
              </w:rPr>
              <w:t>ОБЩИЕ СВЕДЕНИЯ</w:t>
            </w:r>
            <w:r>
              <w:rPr>
                <w:webHidden/>
              </w:rPr>
              <w:fldChar w:fldCharType="begin"/>
            </w:r>
            <w:r>
              <w:rPr>
                <w:webHidden/>
              </w:rPr>
              <w:instrText xml:space="preserve">PAGEREF _Toc239425651 \h</w:instrText>
            </w:r>
            <w:r>
              <w:rPr>
                <w:webHidden/>
              </w:rPr>
              <w:fldChar w:fldCharType="separate"/>
            </w:r>
            <w:r>
              <w:rPr>
                <w:rStyle w:val="Style23"/>
                <w:vanish w:val="false"/>
              </w:rPr>
              <w:tab/>
              <w:t>4</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52">
            <w:r>
              <w:rPr>
                <w:rStyle w:val="Style23"/>
                <w:vanish w:val="false"/>
                <w:webHidden/>
              </w:rPr>
              <w:t>1.1</w:t>
            </w:r>
            <w:r>
              <w:rPr>
                <w:rStyle w:val="Style23"/>
                <w:rFonts w:eastAsia="" w:cs="" w:ascii="Calibri" w:hAnsi="Calibri" w:asciiTheme="minorHAnsi" w:cstheme="minorBidi" w:eastAsiaTheme="minorEastAsia" w:hAnsiTheme="minorHAnsi"/>
                <w:sz w:val="22"/>
                <w:szCs w:val="22"/>
                <w:lang w:eastAsia="ru-RU"/>
              </w:rPr>
              <w:tab/>
            </w:r>
            <w:r>
              <w:rPr>
                <w:rStyle w:val="Style23"/>
              </w:rPr>
              <w:t>Полное наименование государственной информационной системы и ее сокращенное наименование</w:t>
            </w:r>
            <w:r>
              <w:rPr>
                <w:webHidden/>
              </w:rPr>
              <w:fldChar w:fldCharType="begin"/>
            </w:r>
            <w:r>
              <w:rPr>
                <w:webHidden/>
              </w:rPr>
              <w:instrText xml:space="preserve">PAGEREF _Toc239425652 \h</w:instrText>
            </w:r>
            <w:r>
              <w:rPr>
                <w:webHidden/>
              </w:rPr>
              <w:fldChar w:fldCharType="separate"/>
            </w:r>
            <w:r>
              <w:rPr>
                <w:rStyle w:val="Style23"/>
                <w:vanish w:val="false"/>
              </w:rPr>
              <w:tab/>
              <w:t>4</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53">
            <w:r>
              <w:rPr>
                <w:rStyle w:val="Style23"/>
                <w:vanish w:val="false"/>
                <w:webHidden/>
              </w:rPr>
              <w:t>1.2</w:t>
            </w:r>
            <w:r>
              <w:rPr>
                <w:rStyle w:val="Style23"/>
                <w:rFonts w:eastAsia="" w:cs="" w:ascii="Calibri" w:hAnsi="Calibri" w:asciiTheme="minorHAnsi" w:cstheme="minorBidi" w:eastAsiaTheme="minorEastAsia" w:hAnsiTheme="minorHAnsi"/>
                <w:sz w:val="22"/>
                <w:szCs w:val="22"/>
                <w:lang w:eastAsia="ru-RU"/>
              </w:rPr>
              <w:tab/>
            </w:r>
            <w:r>
              <w:rPr>
                <w:rStyle w:val="Style23"/>
              </w:rPr>
              <w:t>Сроки выполнения работ</w:t>
            </w:r>
            <w:r>
              <w:rPr>
                <w:webHidden/>
              </w:rPr>
              <w:fldChar w:fldCharType="begin"/>
            </w:r>
            <w:r>
              <w:rPr>
                <w:webHidden/>
              </w:rPr>
              <w:instrText xml:space="preserve">PAGEREF _Toc239425653 \h</w:instrText>
            </w:r>
            <w:r>
              <w:rPr>
                <w:webHidden/>
              </w:rPr>
              <w:fldChar w:fldCharType="separate"/>
            </w:r>
            <w:r>
              <w:rPr>
                <w:rStyle w:val="Style23"/>
                <w:vanish w:val="false"/>
              </w:rPr>
              <w:tab/>
              <w:t>4</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54">
            <w:r>
              <w:rPr>
                <w:rStyle w:val="Style23"/>
                <w:vanish w:val="false"/>
                <w:webHidden/>
              </w:rPr>
              <w:t>2.</w:t>
            </w:r>
            <w:r>
              <w:rPr>
                <w:rStyle w:val="Style23"/>
                <w:rFonts w:eastAsia="" w:cs="" w:ascii="Calibri" w:hAnsi="Calibri" w:asciiTheme="minorHAnsi" w:cstheme="minorBidi" w:eastAsiaTheme="minorEastAsia" w:hAnsiTheme="minorHAnsi"/>
                <w:sz w:val="22"/>
                <w:szCs w:val="22"/>
                <w:lang w:eastAsia="ru-RU"/>
              </w:rPr>
              <w:tab/>
            </w:r>
            <w:r>
              <w:rPr>
                <w:rStyle w:val="Style23"/>
              </w:rPr>
              <w:t>ЦЕЛИ РАЗВИТИЯ СИСТЕМЫ</w:t>
            </w:r>
            <w:r>
              <w:rPr>
                <w:webHidden/>
              </w:rPr>
              <w:fldChar w:fldCharType="begin"/>
            </w:r>
            <w:r>
              <w:rPr>
                <w:webHidden/>
              </w:rPr>
              <w:instrText xml:space="preserve">PAGEREF _Toc239425654 \h</w:instrText>
            </w:r>
            <w:r>
              <w:rPr>
                <w:webHidden/>
              </w:rPr>
              <w:fldChar w:fldCharType="separate"/>
            </w:r>
            <w:r>
              <w:rPr>
                <w:rStyle w:val="Style23"/>
                <w:vanish w:val="false"/>
              </w:rPr>
              <w:tab/>
              <w:t>5</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55">
            <w:r>
              <w:rPr>
                <w:rStyle w:val="Style23"/>
                <w:vanish w:val="false"/>
                <w:webHidden/>
              </w:rPr>
              <w:t>2.1</w:t>
            </w:r>
            <w:r>
              <w:rPr>
                <w:rStyle w:val="Style23"/>
                <w:rFonts w:eastAsia="" w:cs="" w:ascii="Calibri" w:hAnsi="Calibri" w:asciiTheme="minorHAnsi" w:cstheme="minorBidi" w:eastAsiaTheme="minorEastAsia" w:hAnsiTheme="minorHAnsi"/>
                <w:sz w:val="22"/>
                <w:szCs w:val="22"/>
                <w:lang w:eastAsia="ru-RU"/>
              </w:rPr>
              <w:tab/>
            </w:r>
            <w:r>
              <w:rPr>
                <w:rStyle w:val="Style23"/>
              </w:rPr>
              <w:t>Цели и назначение развития Системы</w:t>
            </w:r>
            <w:r>
              <w:rPr>
                <w:webHidden/>
              </w:rPr>
              <w:fldChar w:fldCharType="begin"/>
            </w:r>
            <w:r>
              <w:rPr>
                <w:webHidden/>
              </w:rPr>
              <w:instrText xml:space="preserve">PAGEREF _Toc239425655 \h</w:instrText>
            </w:r>
            <w:r>
              <w:rPr>
                <w:webHidden/>
              </w:rPr>
              <w:fldChar w:fldCharType="separate"/>
            </w:r>
            <w:r>
              <w:rPr>
                <w:rStyle w:val="Style23"/>
                <w:vanish w:val="false"/>
              </w:rPr>
              <w:tab/>
              <w:t>5</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56">
            <w:r>
              <w:rPr>
                <w:rStyle w:val="Style23"/>
                <w:vanish w:val="false"/>
                <w:webHidden/>
              </w:rPr>
              <w:t>3.</w:t>
            </w:r>
            <w:r>
              <w:rPr>
                <w:rStyle w:val="Style23"/>
                <w:rFonts w:eastAsia="" w:cs="" w:ascii="Calibri" w:hAnsi="Calibri" w:asciiTheme="minorHAnsi" w:cstheme="minorBidi" w:eastAsiaTheme="minorEastAsia" w:hAnsiTheme="minorHAnsi"/>
                <w:sz w:val="22"/>
                <w:szCs w:val="22"/>
                <w:lang w:eastAsia="ru-RU"/>
              </w:rPr>
              <w:tab/>
            </w:r>
            <w:r>
              <w:rPr>
                <w:rStyle w:val="Style23"/>
              </w:rPr>
              <w:t>ХАРАКТЕРИСТИКА ОБЪЕКТОВ АВТОМАТИЗАЦИИ</w:t>
            </w:r>
            <w:r>
              <w:rPr>
                <w:webHidden/>
              </w:rPr>
              <w:fldChar w:fldCharType="begin"/>
            </w:r>
            <w:r>
              <w:rPr>
                <w:webHidden/>
              </w:rPr>
              <w:instrText xml:space="preserve">PAGEREF _Toc239425656 \h</w:instrText>
            </w:r>
            <w:r>
              <w:rPr>
                <w:webHidden/>
              </w:rPr>
              <w:fldChar w:fldCharType="separate"/>
            </w:r>
            <w:r>
              <w:rPr>
                <w:rStyle w:val="Style23"/>
                <w:vanish w:val="false"/>
              </w:rPr>
              <w:tab/>
              <w:t>7</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57">
            <w:r>
              <w:rPr>
                <w:rStyle w:val="Style23"/>
                <w:vanish w:val="false"/>
                <w:webHidden/>
              </w:rPr>
              <w:t>3.1</w:t>
            </w:r>
            <w:r>
              <w:rPr>
                <w:rStyle w:val="Style23"/>
                <w:rFonts w:eastAsia="" w:cs="" w:ascii="Calibri" w:hAnsi="Calibri" w:asciiTheme="minorHAnsi" w:cstheme="minorBidi" w:eastAsiaTheme="minorEastAsia" w:hAnsiTheme="minorHAnsi"/>
                <w:sz w:val="22"/>
                <w:szCs w:val="22"/>
                <w:lang w:eastAsia="ru-RU"/>
              </w:rPr>
              <w:tab/>
            </w:r>
            <w:r>
              <w:rPr>
                <w:rStyle w:val="Style23"/>
              </w:rPr>
              <w:t>Основные сведения об объекте автоматизации</w:t>
            </w:r>
            <w:r>
              <w:rPr>
                <w:webHidden/>
              </w:rPr>
              <w:fldChar w:fldCharType="begin"/>
            </w:r>
            <w:r>
              <w:rPr>
                <w:webHidden/>
              </w:rPr>
              <w:instrText xml:space="preserve">PAGEREF _Toc239425657 \h</w:instrText>
            </w:r>
            <w:r>
              <w:rPr>
                <w:webHidden/>
              </w:rPr>
              <w:fldChar w:fldCharType="separate"/>
            </w:r>
            <w:r>
              <w:rPr>
                <w:rStyle w:val="Style23"/>
                <w:vanish w:val="false"/>
              </w:rPr>
              <w:tab/>
              <w:t>7</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58">
            <w:r>
              <w:rPr>
                <w:rStyle w:val="Style23"/>
                <w:vanish w:val="false"/>
                <w:webHidden/>
              </w:rPr>
              <w:t>3.2</w:t>
            </w:r>
            <w:r>
              <w:rPr>
                <w:rStyle w:val="Style23"/>
                <w:rFonts w:eastAsia="" w:cs="" w:ascii="Calibri" w:hAnsi="Calibri" w:asciiTheme="minorHAnsi" w:cstheme="minorBidi" w:eastAsiaTheme="minorEastAsia" w:hAnsiTheme="minorHAnsi"/>
                <w:sz w:val="22"/>
                <w:szCs w:val="22"/>
                <w:lang w:eastAsia="ru-RU"/>
              </w:rPr>
              <w:tab/>
            </w:r>
            <w:r>
              <w:rPr>
                <w:rStyle w:val="Style23"/>
              </w:rPr>
              <w:t>Сведения об условиях эксплуатации Системы</w:t>
            </w:r>
            <w:r>
              <w:rPr>
                <w:webHidden/>
              </w:rPr>
              <w:fldChar w:fldCharType="begin"/>
            </w:r>
            <w:r>
              <w:rPr>
                <w:webHidden/>
              </w:rPr>
              <w:instrText xml:space="preserve">PAGEREF _Toc239425658 \h</w:instrText>
            </w:r>
            <w:r>
              <w:rPr>
                <w:webHidden/>
              </w:rPr>
              <w:fldChar w:fldCharType="separate"/>
            </w:r>
            <w:r>
              <w:rPr>
                <w:rStyle w:val="Style23"/>
                <w:vanish w:val="false"/>
              </w:rPr>
              <w:tab/>
              <w:t>11</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59">
            <w:r>
              <w:rPr>
                <w:rStyle w:val="Style23"/>
                <w:vanish w:val="false"/>
                <w:webHidden/>
              </w:rPr>
              <w:t>4.</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СИСТЕМЕ</w:t>
            </w:r>
            <w:r>
              <w:rPr>
                <w:webHidden/>
              </w:rPr>
              <w:fldChar w:fldCharType="begin"/>
            </w:r>
            <w:r>
              <w:rPr>
                <w:webHidden/>
              </w:rPr>
              <w:instrText xml:space="preserve">PAGEREF _Toc239425659 \h</w:instrText>
            </w:r>
            <w:r>
              <w:rPr>
                <w:webHidden/>
              </w:rPr>
              <w:fldChar w:fldCharType="separate"/>
            </w:r>
            <w:r>
              <w:rPr>
                <w:rStyle w:val="Style23"/>
                <w:vanish w:val="false"/>
              </w:rPr>
              <w:tab/>
              <w:t>13</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0">
            <w:r>
              <w:rPr>
                <w:rStyle w:val="Style23"/>
                <w:vanish w:val="false"/>
                <w:webHidden/>
              </w:rPr>
              <w:t>4.1</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структуре Системы в целом</w:t>
            </w:r>
            <w:r>
              <w:rPr>
                <w:webHidden/>
              </w:rPr>
              <w:fldChar w:fldCharType="begin"/>
            </w:r>
            <w:r>
              <w:rPr>
                <w:webHidden/>
              </w:rPr>
              <w:instrText xml:space="preserve">PAGEREF _Toc239425660 \h</w:instrText>
            </w:r>
            <w:r>
              <w:rPr>
                <w:webHidden/>
              </w:rPr>
              <w:fldChar w:fldCharType="separate"/>
            </w:r>
            <w:r>
              <w:rPr>
                <w:rStyle w:val="Style23"/>
                <w:vanish w:val="false"/>
              </w:rPr>
              <w:tab/>
              <w:t>13</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1">
            <w:r>
              <w:rPr>
                <w:rStyle w:val="Style23"/>
                <w:vanish w:val="false"/>
                <w:webHidden/>
              </w:rPr>
              <w:t>4.2</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функциям, выполняемым Системой</w:t>
            </w:r>
            <w:r>
              <w:rPr>
                <w:webHidden/>
              </w:rPr>
              <w:fldChar w:fldCharType="begin"/>
            </w:r>
            <w:r>
              <w:rPr>
                <w:webHidden/>
              </w:rPr>
              <w:instrText xml:space="preserve">PAGEREF _Toc239425661 \h</w:instrText>
            </w:r>
            <w:r>
              <w:rPr>
                <w:webHidden/>
              </w:rPr>
              <w:fldChar w:fldCharType="separate"/>
            </w:r>
            <w:r>
              <w:rPr>
                <w:rStyle w:val="Style23"/>
                <w:vanish w:val="false"/>
              </w:rPr>
              <w:tab/>
              <w:t>57</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2">
            <w:r>
              <w:rPr>
                <w:rStyle w:val="Style23"/>
                <w:vanish w:val="false"/>
                <w:webHidden/>
              </w:rPr>
              <w:t>4.3</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видам обеспечения Системы</w:t>
            </w:r>
            <w:r>
              <w:rPr>
                <w:webHidden/>
              </w:rPr>
              <w:fldChar w:fldCharType="begin"/>
            </w:r>
            <w:r>
              <w:rPr>
                <w:webHidden/>
              </w:rPr>
              <w:instrText xml:space="preserve">PAGEREF _Toc239425662 \h</w:instrText>
            </w:r>
            <w:r>
              <w:rPr>
                <w:webHidden/>
              </w:rPr>
              <w:fldChar w:fldCharType="separate"/>
            </w:r>
            <w:r>
              <w:rPr>
                <w:rStyle w:val="Style23"/>
                <w:vanish w:val="false"/>
              </w:rPr>
              <w:tab/>
              <w:t>60</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3">
            <w:r>
              <w:rPr>
                <w:rStyle w:val="Style23"/>
                <w:vanish w:val="false"/>
                <w:webHidden/>
              </w:rPr>
              <w:t>4.4</w:t>
            </w:r>
            <w:r>
              <w:rPr>
                <w:rStyle w:val="Style23"/>
                <w:rFonts w:eastAsia="" w:cs="" w:ascii="Calibri" w:hAnsi="Calibri" w:asciiTheme="minorHAnsi" w:cstheme="minorBidi" w:eastAsiaTheme="minorEastAsia" w:hAnsiTheme="minorHAnsi"/>
                <w:sz w:val="22"/>
                <w:szCs w:val="22"/>
                <w:lang w:eastAsia="ru-RU"/>
              </w:rPr>
              <w:tab/>
            </w:r>
            <w:r>
              <w:rPr>
                <w:rStyle w:val="Style23"/>
              </w:rPr>
              <w:t>Общие технические требования к Системе</w:t>
            </w:r>
            <w:r>
              <w:rPr>
                <w:webHidden/>
              </w:rPr>
              <w:fldChar w:fldCharType="begin"/>
            </w:r>
            <w:r>
              <w:rPr>
                <w:webHidden/>
              </w:rPr>
              <w:instrText xml:space="preserve">PAGEREF _Toc239425663 \h</w:instrText>
            </w:r>
            <w:r>
              <w:rPr>
                <w:webHidden/>
              </w:rPr>
              <w:fldChar w:fldCharType="separate"/>
            </w:r>
            <w:r>
              <w:rPr>
                <w:rStyle w:val="Style23"/>
                <w:vanish w:val="false"/>
              </w:rPr>
              <w:tab/>
              <w:t>65</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4">
            <w:r>
              <w:rPr>
                <w:rStyle w:val="Style23"/>
                <w:vanish w:val="false"/>
                <w:webHidden/>
              </w:rPr>
              <w:t>5.</w:t>
            </w:r>
            <w:r>
              <w:rPr>
                <w:rStyle w:val="Style23"/>
                <w:rFonts w:eastAsia="" w:cs="" w:ascii="Calibri" w:hAnsi="Calibri" w:asciiTheme="minorHAnsi" w:cstheme="minorBidi" w:eastAsiaTheme="minorEastAsia" w:hAnsiTheme="minorHAnsi"/>
                <w:sz w:val="22"/>
                <w:szCs w:val="22"/>
                <w:lang w:eastAsia="ru-RU"/>
              </w:rPr>
              <w:tab/>
            </w:r>
            <w:r>
              <w:rPr>
                <w:rStyle w:val="Style23"/>
              </w:rPr>
              <w:t>СОСТАВ И СОДЕРЖАНИЕ РАБОТ ПО СОЗДАНИЮ СИСТЕМЫ</w:t>
            </w:r>
            <w:r>
              <w:rPr>
                <w:webHidden/>
              </w:rPr>
              <w:fldChar w:fldCharType="begin"/>
            </w:r>
            <w:r>
              <w:rPr>
                <w:webHidden/>
              </w:rPr>
              <w:instrText xml:space="preserve">PAGEREF _Toc239425664 \h</w:instrText>
            </w:r>
            <w:r>
              <w:rPr>
                <w:webHidden/>
              </w:rPr>
              <w:fldChar w:fldCharType="separate"/>
            </w:r>
            <w:r>
              <w:rPr>
                <w:rStyle w:val="Style23"/>
                <w:vanish w:val="false"/>
              </w:rPr>
              <w:tab/>
              <w:t>75</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5">
            <w:r>
              <w:rPr>
                <w:rStyle w:val="Style23"/>
                <w:vanish w:val="false"/>
                <w:webHidden/>
              </w:rPr>
              <w:t>5.1</w:t>
            </w:r>
            <w:r>
              <w:rPr>
                <w:rStyle w:val="Style23"/>
                <w:rFonts w:eastAsia="" w:cs="" w:ascii="Calibri" w:hAnsi="Calibri" w:asciiTheme="minorHAnsi" w:cstheme="minorBidi" w:eastAsiaTheme="minorEastAsia" w:hAnsiTheme="minorHAnsi"/>
                <w:sz w:val="22"/>
                <w:szCs w:val="22"/>
                <w:lang w:eastAsia="ru-RU"/>
              </w:rPr>
              <w:tab/>
            </w:r>
            <w:r>
              <w:rPr>
                <w:rStyle w:val="Style23"/>
              </w:rPr>
              <w:t>Календарный план</w:t>
            </w:r>
            <w:r>
              <w:rPr>
                <w:webHidden/>
              </w:rPr>
              <w:fldChar w:fldCharType="begin"/>
            </w:r>
            <w:r>
              <w:rPr>
                <w:webHidden/>
              </w:rPr>
              <w:instrText xml:space="preserve">PAGEREF _Toc239425665 \h</w:instrText>
            </w:r>
            <w:r>
              <w:rPr>
                <w:webHidden/>
              </w:rPr>
              <w:fldChar w:fldCharType="separate"/>
            </w:r>
            <w:r>
              <w:rPr>
                <w:rStyle w:val="Style23"/>
                <w:vanish w:val="false"/>
              </w:rPr>
              <w:tab/>
              <w:t>75</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6">
            <w:r>
              <w:rPr>
                <w:rStyle w:val="Style23"/>
                <w:vanish w:val="false"/>
                <w:webHidden/>
              </w:rPr>
              <w:t>6.</w:t>
            </w:r>
            <w:r>
              <w:rPr>
                <w:rStyle w:val="Style23"/>
                <w:rFonts w:eastAsia="" w:cs="" w:ascii="Calibri" w:hAnsi="Calibri" w:asciiTheme="minorHAnsi" w:cstheme="minorBidi" w:eastAsiaTheme="minorEastAsia" w:hAnsiTheme="minorHAnsi"/>
                <w:sz w:val="22"/>
                <w:szCs w:val="22"/>
                <w:lang w:eastAsia="ru-RU"/>
              </w:rPr>
              <w:tab/>
            </w:r>
            <w:r>
              <w:rPr>
                <w:rStyle w:val="Style23"/>
              </w:rPr>
              <w:t>ПОРЯДОК РАЗРАБОТКИ АВТОМАТИЗИРОВАННОЙ СИСТЕМЫ</w:t>
            </w:r>
            <w:r>
              <w:rPr>
                <w:webHidden/>
              </w:rPr>
              <w:fldChar w:fldCharType="begin"/>
            </w:r>
            <w:r>
              <w:rPr>
                <w:webHidden/>
              </w:rPr>
              <w:instrText xml:space="preserve">PAGEREF _Toc239425666 \h</w:instrText>
            </w:r>
            <w:r>
              <w:rPr>
                <w:webHidden/>
              </w:rPr>
              <w:fldChar w:fldCharType="separate"/>
            </w:r>
            <w:r>
              <w:rPr>
                <w:rStyle w:val="Style23"/>
                <w:vanish w:val="false"/>
              </w:rPr>
              <w:tab/>
              <w:t>77</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7">
            <w:r>
              <w:rPr>
                <w:rStyle w:val="Style23"/>
                <w:vanish w:val="false"/>
                <w:webHidden/>
              </w:rPr>
              <w:t>6.1</w:t>
            </w:r>
            <w:r>
              <w:rPr>
                <w:rStyle w:val="Style23"/>
                <w:rFonts w:eastAsia="" w:cs="" w:ascii="Calibri" w:hAnsi="Calibri" w:asciiTheme="minorHAnsi" w:cstheme="minorBidi" w:eastAsiaTheme="minorEastAsia" w:hAnsiTheme="minorHAnsi"/>
                <w:sz w:val="22"/>
                <w:szCs w:val="22"/>
                <w:lang w:eastAsia="ru-RU"/>
              </w:rPr>
              <w:tab/>
            </w:r>
            <w:r>
              <w:rPr>
                <w:rStyle w:val="Style23"/>
              </w:rPr>
              <w:t>Порядок организации разработки Системы</w:t>
            </w:r>
            <w:r>
              <w:rPr>
                <w:webHidden/>
              </w:rPr>
              <w:fldChar w:fldCharType="begin"/>
            </w:r>
            <w:r>
              <w:rPr>
                <w:webHidden/>
              </w:rPr>
              <w:instrText xml:space="preserve">PAGEREF _Toc239425667 \h</w:instrText>
            </w:r>
            <w:r>
              <w:rPr>
                <w:webHidden/>
              </w:rPr>
              <w:fldChar w:fldCharType="separate"/>
            </w:r>
            <w:r>
              <w:rPr>
                <w:rStyle w:val="Style23"/>
                <w:vanish w:val="false"/>
              </w:rPr>
              <w:tab/>
              <w:t>77</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8">
            <w:r>
              <w:rPr>
                <w:rStyle w:val="Style23"/>
                <w:vanish w:val="false"/>
                <w:webHidden/>
              </w:rPr>
              <w:t>6.2</w:t>
            </w:r>
            <w:r>
              <w:rPr>
                <w:rStyle w:val="Style23"/>
                <w:rFonts w:eastAsia="" w:cs="" w:ascii="Calibri" w:hAnsi="Calibri" w:asciiTheme="minorHAnsi" w:cstheme="minorBidi" w:eastAsiaTheme="minorEastAsia" w:hAnsiTheme="minorHAnsi"/>
                <w:sz w:val="22"/>
                <w:szCs w:val="22"/>
                <w:lang w:eastAsia="ru-RU"/>
              </w:rPr>
              <w:tab/>
            </w:r>
            <w:r>
              <w:rPr>
                <w:rStyle w:val="Style23"/>
              </w:rPr>
              <w:t>Порядок проведения экспертиз технической документации</w:t>
            </w:r>
            <w:r>
              <w:rPr>
                <w:webHidden/>
              </w:rPr>
              <w:fldChar w:fldCharType="begin"/>
            </w:r>
            <w:r>
              <w:rPr>
                <w:webHidden/>
              </w:rPr>
              <w:instrText xml:space="preserve">PAGEREF _Toc239425668 \h</w:instrText>
            </w:r>
            <w:r>
              <w:rPr>
                <w:webHidden/>
              </w:rPr>
              <w:fldChar w:fldCharType="separate"/>
            </w:r>
            <w:r>
              <w:rPr>
                <w:rStyle w:val="Style23"/>
                <w:vanish w:val="false"/>
              </w:rPr>
              <w:tab/>
              <w:t>77</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69">
            <w:r>
              <w:rPr>
                <w:rStyle w:val="Style23"/>
                <w:vanish w:val="false"/>
                <w:webHidden/>
              </w:rPr>
              <w:t>6.3</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гарантийным обязательствам Подрядчика</w:t>
            </w:r>
            <w:r>
              <w:rPr>
                <w:webHidden/>
              </w:rPr>
              <w:fldChar w:fldCharType="begin"/>
            </w:r>
            <w:r>
              <w:rPr>
                <w:webHidden/>
              </w:rPr>
              <w:instrText xml:space="preserve">PAGEREF _Toc239425669 \h</w:instrText>
            </w:r>
            <w:r>
              <w:rPr>
                <w:webHidden/>
              </w:rPr>
              <w:fldChar w:fldCharType="separate"/>
            </w:r>
            <w:r>
              <w:rPr>
                <w:rStyle w:val="Style23"/>
                <w:vanish w:val="false"/>
              </w:rPr>
              <w:tab/>
              <w:t>77</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70">
            <w:r>
              <w:rPr>
                <w:rStyle w:val="Style23"/>
                <w:vanish w:val="false"/>
                <w:webHidden/>
              </w:rPr>
              <w:t>6.4</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развитию СПО</w:t>
            </w:r>
            <w:r>
              <w:rPr>
                <w:webHidden/>
              </w:rPr>
              <w:fldChar w:fldCharType="begin"/>
            </w:r>
            <w:r>
              <w:rPr>
                <w:webHidden/>
              </w:rPr>
              <w:instrText xml:space="preserve">PAGEREF _Toc239425670 \h</w:instrText>
            </w:r>
            <w:r>
              <w:rPr>
                <w:webHidden/>
              </w:rPr>
              <w:fldChar w:fldCharType="separate"/>
            </w:r>
            <w:r>
              <w:rPr>
                <w:rStyle w:val="Style23"/>
                <w:vanish w:val="false"/>
              </w:rPr>
              <w:tab/>
              <w:t>77</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71">
            <w:r>
              <w:rPr>
                <w:rStyle w:val="Style23"/>
                <w:vanish w:val="false"/>
                <w:webHidden/>
              </w:rPr>
              <w:t>6.5</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развитию СПО</w:t>
            </w:r>
            <w:r>
              <w:rPr>
                <w:webHidden/>
              </w:rPr>
              <w:fldChar w:fldCharType="begin"/>
            </w:r>
            <w:r>
              <w:rPr>
                <w:webHidden/>
              </w:rPr>
              <w:instrText xml:space="preserve">PAGEREF _Toc239425671 \h</w:instrText>
            </w:r>
            <w:r>
              <w:rPr>
                <w:webHidden/>
              </w:rPr>
              <w:fldChar w:fldCharType="separate"/>
            </w:r>
            <w:r>
              <w:rPr>
                <w:rStyle w:val="Style23"/>
                <w:vanish w:val="false"/>
              </w:rPr>
              <w:tab/>
              <w:t>78</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72">
            <w:r>
              <w:rPr>
                <w:rStyle w:val="Style23"/>
                <w:vanish w:val="false"/>
                <w:webHidden/>
              </w:rPr>
              <w:t>6.6</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развитию СПО</w:t>
            </w:r>
            <w:r>
              <w:rPr>
                <w:webHidden/>
              </w:rPr>
              <w:fldChar w:fldCharType="begin"/>
            </w:r>
            <w:r>
              <w:rPr>
                <w:webHidden/>
              </w:rPr>
              <w:instrText xml:space="preserve">PAGEREF _Toc239425672 \h</w:instrText>
            </w:r>
            <w:r>
              <w:rPr>
                <w:webHidden/>
              </w:rPr>
              <w:fldChar w:fldCharType="separate"/>
            </w:r>
            <w:r>
              <w:rPr>
                <w:rStyle w:val="Style23"/>
                <w:vanish w:val="false"/>
              </w:rPr>
              <w:tab/>
              <w:t>78</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73">
            <w:r>
              <w:rPr>
                <w:rStyle w:val="Style23"/>
                <w:vanish w:val="false"/>
                <w:webHidden/>
              </w:rPr>
              <w:t>7.</w:t>
            </w:r>
            <w:r>
              <w:rPr>
                <w:rStyle w:val="Style23"/>
                <w:rFonts w:eastAsia="" w:cs="" w:ascii="Calibri" w:hAnsi="Calibri" w:asciiTheme="minorHAnsi" w:cstheme="minorBidi" w:eastAsiaTheme="minorEastAsia" w:hAnsiTheme="minorHAnsi"/>
                <w:sz w:val="22"/>
                <w:szCs w:val="22"/>
                <w:lang w:eastAsia="ru-RU"/>
              </w:rPr>
              <w:tab/>
            </w:r>
            <w:r>
              <w:rPr>
                <w:rStyle w:val="Style23"/>
              </w:rPr>
              <w:t>ПОРЯДОК КОНТРОЛЯ И ПРИЕМКИ СИСТЕМЫ</w:t>
            </w:r>
            <w:r>
              <w:rPr>
                <w:webHidden/>
              </w:rPr>
              <w:fldChar w:fldCharType="begin"/>
            </w:r>
            <w:r>
              <w:rPr>
                <w:webHidden/>
              </w:rPr>
              <w:instrText xml:space="preserve">PAGEREF _Toc239425673 \h</w:instrText>
            </w:r>
            <w:r>
              <w:rPr>
                <w:webHidden/>
              </w:rPr>
              <w:fldChar w:fldCharType="separate"/>
            </w:r>
            <w:r>
              <w:rPr>
                <w:rStyle w:val="Style23"/>
                <w:vanish w:val="false"/>
              </w:rPr>
              <w:tab/>
              <w:t>80</w:t>
            </w:r>
            <w:r>
              <w:rPr>
                <w:webHidden/>
              </w:rPr>
              <w:fldChar w:fldCharType="end"/>
            </w:r>
          </w:hyperlink>
        </w:p>
        <w:p>
          <w:pPr>
            <w:pStyle w:val="TOC3"/>
            <w:tabs>
              <w:tab w:val="clear" w:pos="708"/>
              <w:tab w:val="left" w:pos="1839"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74">
            <w:r>
              <w:rPr>
                <w:rStyle w:val="Style23"/>
                <w:vanish w:val="false"/>
                <w:webHidden/>
              </w:rPr>
              <w:t>7.1</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подготовке Системы к передаче в опытную эксплуатацию, включая установку и настройку СПО, заведение учетных записей и загрузку данных, а также к проведению предварительных испытаний Системы</w:t>
            </w:r>
            <w:r>
              <w:rPr>
                <w:webHidden/>
              </w:rPr>
              <w:fldChar w:fldCharType="begin"/>
            </w:r>
            <w:r>
              <w:rPr>
                <w:webHidden/>
              </w:rPr>
              <w:instrText xml:space="preserve">PAGEREF _Toc239425674 \h</w:instrText>
            </w:r>
            <w:r>
              <w:rPr>
                <w:webHidden/>
              </w:rPr>
              <w:fldChar w:fldCharType="separate"/>
            </w:r>
            <w:r>
              <w:rPr>
                <w:rStyle w:val="Style23"/>
                <w:vanish w:val="false"/>
              </w:rPr>
              <w:tab/>
              <w:t>80</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75">
            <w:r>
              <w:rPr>
                <w:rStyle w:val="Style23"/>
                <w:vanish w:val="false"/>
                <w:webHidden/>
              </w:rPr>
              <w:t>8.</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СОСТАВУ И СОДЕРЖАНИЮ РАБОТ ПО ПОДГОТОВКЕ ОБЪЕКТА АВТОМАТИЗАЦИИ К ВВОДУ СИСТЕМЫ В ДЕЙСТВИЕ</w:t>
            </w:r>
            <w:r>
              <w:rPr>
                <w:webHidden/>
              </w:rPr>
              <w:fldChar w:fldCharType="begin"/>
            </w:r>
            <w:r>
              <w:rPr>
                <w:webHidden/>
              </w:rPr>
              <w:instrText xml:space="preserve">PAGEREF _Toc239425675 \h</w:instrText>
            </w:r>
            <w:r>
              <w:rPr>
                <w:webHidden/>
              </w:rPr>
              <w:fldChar w:fldCharType="separate"/>
            </w:r>
            <w:r>
              <w:rPr>
                <w:rStyle w:val="Style23"/>
                <w:vanish w:val="false"/>
              </w:rPr>
              <w:tab/>
              <w:t>82</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76">
            <w:r>
              <w:rPr>
                <w:rStyle w:val="Style23"/>
                <w:vanish w:val="false"/>
                <w:webHidden/>
              </w:rPr>
              <w:t>9.</w:t>
            </w:r>
            <w:r>
              <w:rPr>
                <w:rStyle w:val="Style23"/>
                <w:rFonts w:eastAsia="" w:cs="" w:ascii="Calibri" w:hAnsi="Calibri" w:asciiTheme="minorHAnsi" w:cstheme="minorBidi" w:eastAsiaTheme="minorEastAsia" w:hAnsiTheme="minorHAnsi"/>
                <w:sz w:val="22"/>
                <w:szCs w:val="22"/>
                <w:lang w:eastAsia="ru-RU"/>
              </w:rPr>
              <w:tab/>
            </w:r>
            <w:r>
              <w:rPr>
                <w:rStyle w:val="Style23"/>
              </w:rPr>
              <w:t>ТРЕБОВАНИЯ К ДОКУМЕНТИРОВАНИЮ</w:t>
            </w:r>
            <w:r>
              <w:rPr>
                <w:webHidden/>
              </w:rPr>
              <w:fldChar w:fldCharType="begin"/>
            </w:r>
            <w:r>
              <w:rPr>
                <w:webHidden/>
              </w:rPr>
              <w:instrText xml:space="preserve">PAGEREF _Toc239425676 \h</w:instrText>
            </w:r>
            <w:r>
              <w:rPr>
                <w:webHidden/>
              </w:rPr>
              <w:fldChar w:fldCharType="separate"/>
            </w:r>
            <w:r>
              <w:rPr>
                <w:rStyle w:val="Style23"/>
                <w:vanish w:val="false"/>
              </w:rPr>
              <w:tab/>
              <w:t>83</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77">
            <w:r>
              <w:rPr>
                <w:rStyle w:val="Style23"/>
                <w:vanish w:val="false"/>
                <w:webHidden/>
              </w:rPr>
              <w:t>10.</w:t>
            </w:r>
            <w:r>
              <w:rPr>
                <w:rStyle w:val="Style23"/>
                <w:rFonts w:eastAsia="" w:cs="" w:ascii="Calibri" w:hAnsi="Calibri" w:asciiTheme="minorHAnsi" w:cstheme="minorBidi" w:eastAsiaTheme="minorEastAsia" w:hAnsiTheme="minorHAnsi"/>
                <w:sz w:val="22"/>
                <w:szCs w:val="22"/>
                <w:lang w:eastAsia="ru-RU"/>
              </w:rPr>
              <w:tab/>
            </w:r>
            <w:r>
              <w:rPr>
                <w:rStyle w:val="Style23"/>
              </w:rPr>
              <w:t>ГАРАНТИЙНЫЕ ОБЯЗАТЕЛЬСТВА</w:t>
            </w:r>
            <w:r>
              <w:rPr>
                <w:webHidden/>
              </w:rPr>
              <w:fldChar w:fldCharType="begin"/>
            </w:r>
            <w:r>
              <w:rPr>
                <w:webHidden/>
              </w:rPr>
              <w:instrText xml:space="preserve">PAGEREF _Toc239425677 \h</w:instrText>
            </w:r>
            <w:r>
              <w:rPr>
                <w:webHidden/>
              </w:rPr>
              <w:fldChar w:fldCharType="separate"/>
            </w:r>
            <w:r>
              <w:rPr>
                <w:rStyle w:val="Style23"/>
                <w:vanish w:val="false"/>
              </w:rPr>
              <w:tab/>
              <w:t>84</w:t>
            </w:r>
            <w:r>
              <w:rPr>
                <w:webHidden/>
              </w:rPr>
              <w:fldChar w:fldCharType="end"/>
            </w:r>
          </w:hyperlink>
        </w:p>
        <w:p>
          <w:pPr>
            <w:pStyle w:val="TOC1"/>
            <w:tabs>
              <w:tab w:val="clear" w:pos="708"/>
              <w:tab w:val="left" w:pos="1320" w:leader="none"/>
              <w:tab w:val="right" w:pos="9345" w:leader="dot"/>
            </w:tabs>
            <w:rPr>
              <w:rFonts w:ascii="Calibri" w:hAnsi="Calibri" w:eastAsia="" w:cs="" w:asciiTheme="minorHAnsi" w:cstheme="minorBidi" w:eastAsiaTheme="minorEastAsia" w:hAnsiTheme="minorHAnsi"/>
              <w:sz w:val="22"/>
              <w:szCs w:val="22"/>
              <w:lang w:eastAsia="ru-RU"/>
            </w:rPr>
          </w:pPr>
          <w:hyperlink w:anchor="_Toc239425678">
            <w:r>
              <w:rPr>
                <w:rStyle w:val="Style23"/>
                <w:vanish w:val="false"/>
                <w:webHidden/>
              </w:rPr>
              <w:t>11.</w:t>
            </w:r>
            <w:r>
              <w:rPr>
                <w:rStyle w:val="Style23"/>
                <w:rFonts w:eastAsia="" w:cs="" w:ascii="Calibri" w:hAnsi="Calibri" w:asciiTheme="minorHAnsi" w:cstheme="minorBidi" w:eastAsiaTheme="minorEastAsia" w:hAnsiTheme="minorHAnsi"/>
                <w:sz w:val="22"/>
                <w:szCs w:val="22"/>
                <w:lang w:eastAsia="ru-RU"/>
              </w:rPr>
              <w:tab/>
            </w:r>
            <w:r>
              <w:rPr>
                <w:rStyle w:val="Style23"/>
              </w:rPr>
              <w:t>ИСТОЧНИК РАЗРАБОТКИ</w:t>
            </w:r>
            <w:r>
              <w:rPr>
                <w:webHidden/>
              </w:rPr>
              <w:fldChar w:fldCharType="begin"/>
            </w:r>
            <w:r>
              <w:rPr>
                <w:webHidden/>
              </w:rPr>
              <w:instrText xml:space="preserve">PAGEREF _Toc239425678 \h</w:instrText>
            </w:r>
            <w:r>
              <w:rPr>
                <w:webHidden/>
              </w:rPr>
              <w:fldChar w:fldCharType="separate"/>
            </w:r>
            <w:r>
              <w:rPr>
                <w:rStyle w:val="Style23"/>
                <w:vanish w:val="false"/>
              </w:rPr>
              <w:tab/>
              <w:t>85</w:t>
            </w:r>
            <w:r>
              <w:rPr>
                <w:webHidden/>
              </w:rPr>
              <w:fldChar w:fldCharType="end"/>
            </w:r>
          </w:hyperlink>
        </w:p>
        <w:p>
          <w:pPr>
            <w:pStyle w:val="Normal"/>
            <w:tabs>
              <w:tab w:val="clear" w:pos="708"/>
              <w:tab w:val="left" w:pos="709" w:leader="none"/>
            </w:tabs>
            <w:rPr/>
          </w:pPr>
          <w:r>
            <w:rPr/>
          </w:r>
          <w:r>
            <w:rPr/>
            <w:fldChar w:fldCharType="end"/>
          </w:r>
        </w:p>
      </w:sdtContent>
    </w:sdt>
    <w:p>
      <w:pPr>
        <w:pStyle w:val="Heading1"/>
        <w:numPr>
          <w:ilvl w:val="0"/>
          <w:numId w:val="18"/>
        </w:numPr>
        <w:ind w:firstLine="709" w:start="0" w:end="-1"/>
        <w:rPr/>
      </w:pPr>
      <w:bookmarkStart w:id="1" w:name="_Toc239425651"/>
      <w:bookmarkStart w:id="2" w:name="_ОБЩИЕ_СВЕДЕНИЯ"/>
      <w:bookmarkEnd w:id="2"/>
      <w:r>
        <w:rPr/>
        <w:t>ОБЩИЕ СВЕДЕНИЯ</w:t>
      </w:r>
      <w:bookmarkEnd w:id="1"/>
    </w:p>
    <w:p>
      <w:pPr>
        <w:pStyle w:val="Heading3"/>
        <w:numPr>
          <w:ilvl w:val="1"/>
          <w:numId w:val="18"/>
        </w:numPr>
        <w:ind w:firstLine="709" w:start="0"/>
        <w:rPr/>
      </w:pPr>
      <w:bookmarkStart w:id="3" w:name="_Toc239425652"/>
      <w:r>
        <w:rPr/>
        <w:t>Полное наименование государственной информационной системы и ее сокращенное наименование</w:t>
      </w:r>
      <w:bookmarkEnd w:id="3"/>
    </w:p>
    <w:p>
      <w:pPr>
        <w:pStyle w:val="Normal"/>
        <w:rPr/>
      </w:pPr>
      <w:r>
        <w:rPr/>
        <w:t>Единая информационно-аналитическая система жилищно-коммунального хозяйства Московской области (ЕИАС ЖКХ МО).</w:t>
      </w:r>
    </w:p>
    <w:p>
      <w:pPr>
        <w:pStyle w:val="Heading3"/>
        <w:numPr>
          <w:ilvl w:val="1"/>
          <w:numId w:val="18"/>
        </w:numPr>
        <w:ind w:firstLine="709" w:start="0"/>
        <w:rPr/>
      </w:pPr>
      <w:bookmarkStart w:id="4" w:name="_Toc239425653"/>
      <w:r>
        <w:rPr/>
        <w:t>Сроки выполнения работ</w:t>
      </w:r>
      <w:bookmarkEnd w:id="4"/>
    </w:p>
    <w:p>
      <w:pPr>
        <w:pStyle w:val="Normal"/>
        <w:rPr>
          <w:lang w:eastAsia="ru-RU"/>
        </w:rPr>
      </w:pPr>
      <w:r>
        <w:rPr>
          <w:lang w:eastAsia="ru-RU"/>
        </w:rPr>
        <w:t>Начало выполнения работ – с даты заключения Договора.</w:t>
      </w:r>
    </w:p>
    <w:p>
      <w:pPr>
        <w:pStyle w:val="Normal"/>
        <w:rPr>
          <w:lang w:eastAsia="ru-RU"/>
        </w:rPr>
      </w:pPr>
      <w:r>
        <w:rPr>
          <w:lang w:eastAsia="ru-RU"/>
        </w:rPr>
        <w:t xml:space="preserve">Окончание выполнения работ – </w:t>
      </w:r>
      <w:bookmarkStart w:id="5" w:name="_Hlk178330374"/>
      <w:r>
        <w:rPr>
          <w:lang w:eastAsia="ru-RU"/>
        </w:rPr>
        <w:t xml:space="preserve">в соответствии с пунктом 5.1 «Календарный план» раздела 5 «Состав и содержание работ по созданию системы» настоящего документа. </w:t>
      </w:r>
      <w:bookmarkEnd w:id="5"/>
    </w:p>
    <w:p>
      <w:pPr>
        <w:pStyle w:val="Normal"/>
        <w:rPr>
          <w:lang w:eastAsia="ru-RU"/>
        </w:rPr>
      </w:pPr>
      <w:r>
        <w:rPr>
          <w:lang w:eastAsia="ru-RU"/>
        </w:rPr>
        <w:t>Работы могут быть выполнены Подрядчиком досрочно.</w:t>
      </w:r>
    </w:p>
    <w:p>
      <w:pPr>
        <w:pStyle w:val="Heading1"/>
        <w:numPr>
          <w:ilvl w:val="0"/>
          <w:numId w:val="18"/>
        </w:numPr>
        <w:ind w:firstLine="709" w:start="0" w:end="-1"/>
        <w:rPr/>
      </w:pPr>
      <w:bookmarkStart w:id="6" w:name="_Toc239425654"/>
      <w:r>
        <w:rPr/>
        <w:t>ЦЕЛИ РАЗВИТИЯ СИСТЕМЫ</w:t>
      </w:r>
      <w:bookmarkEnd w:id="6"/>
    </w:p>
    <w:p>
      <w:pPr>
        <w:pStyle w:val="Heading3"/>
        <w:numPr>
          <w:ilvl w:val="1"/>
          <w:numId w:val="18"/>
        </w:numPr>
        <w:ind w:firstLine="709" w:start="0"/>
        <w:rPr/>
      </w:pPr>
      <w:bookmarkStart w:id="7" w:name="_Toc239425655"/>
      <w:r>
        <w:rPr/>
        <w:t xml:space="preserve">Цели и назначение </w:t>
      </w:r>
      <w:bookmarkStart w:id="8" w:name="_Hlk196318296"/>
      <w:r>
        <w:rPr/>
        <w:t>развития Системы</w:t>
      </w:r>
      <w:bookmarkEnd w:id="7"/>
      <w:bookmarkEnd w:id="8"/>
    </w:p>
    <w:p>
      <w:pPr>
        <w:pStyle w:val="Heading4"/>
        <w:numPr>
          <w:ilvl w:val="2"/>
          <w:numId w:val="18"/>
        </w:numPr>
        <w:ind w:firstLine="709" w:start="0"/>
        <w:rPr>
          <w:i/>
          <w:iCs/>
        </w:rPr>
      </w:pPr>
      <w:r>
        <w:rPr/>
        <w:t>Цели развития и назначение Системы</w:t>
      </w:r>
    </w:p>
    <w:p>
      <w:pPr>
        <w:pStyle w:val="Normal"/>
        <w:rPr/>
      </w:pPr>
      <w:r>
        <w:rPr/>
        <w:t>Целями развития Системы являются в соответствии с настоящим Техническим заданием:</w:t>
      </w:r>
    </w:p>
    <w:p>
      <w:pPr>
        <w:pStyle w:val="ListParagraph"/>
        <w:numPr>
          <w:ilvl w:val="0"/>
          <w:numId w:val="1"/>
        </w:numPr>
        <w:rPr/>
      </w:pPr>
      <w:r>
        <w:rPr/>
        <w:t>объединение ранее разработанных информационных панелей и отчетных форм по индивидуальным приборам учета, объектам коммунальной инфраструктуры и платежным документам в едином окне модуля аналитических панелей без необходимости отдельной авторизации;</w:t>
      </w:r>
    </w:p>
    <w:p>
      <w:pPr>
        <w:pStyle w:val="ListParagraph"/>
        <w:numPr>
          <w:ilvl w:val="0"/>
          <w:numId w:val="1"/>
        </w:numPr>
        <w:rPr/>
      </w:pPr>
      <w:r>
        <w:rPr/>
        <w:t>создание мобильной версии личного кабинета организации поставщика услуг Московской области Системы посредством реализации адаптивной веб-версии, обеспечивающей авторизацию пользователей, просмотр аналитических панелей с ключевыми показателями, а также применение фильтров по периоду и уровню детализации на дашбордах;</w:t>
      </w:r>
    </w:p>
    <w:p>
      <w:pPr>
        <w:pStyle w:val="--2"/>
        <w:keepNext w:val="true"/>
        <w:rPr/>
      </w:pPr>
      <w:r>
        <w:rPr/>
        <w:t xml:space="preserve">Таблица </w:t>
      </w:r>
      <w:r>
        <w:rPr/>
        <w:fldChar w:fldCharType="begin"/>
      </w:r>
      <w:r>
        <w:rPr/>
        <w:instrText xml:space="preserve"> SEQ Таблица \* ARABIC </w:instrText>
      </w:r>
      <w:r>
        <w:rPr/>
        <w:fldChar w:fldCharType="separate"/>
      </w:r>
      <w:r>
        <w:rPr/>
        <w:t>1</w:t>
      </w:r>
      <w:r>
        <w:rPr/>
        <w:fldChar w:fldCharType="end"/>
      </w:r>
      <w:r>
        <w:rPr/>
        <w:t xml:space="preserve"> Целевые показатели</w:t>
      </w:r>
    </w:p>
    <w:tbl>
      <w:tblPr>
        <w:tblW w:w="50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614"/>
        <w:gridCol w:w="3800"/>
        <w:gridCol w:w="2471"/>
        <w:gridCol w:w="2470"/>
      </w:tblGrid>
      <w:tr>
        <w:trPr>
          <w:tblHeader w:val="true"/>
          <w:trHeight w:val="570" w:hRule="atLeast"/>
        </w:trPr>
        <w:tc>
          <w:tcPr>
            <w:tcW w:w="614"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ind w:hanging="0"/>
              <w:rPr>
                <w:lang w:eastAsia="ru-RU"/>
              </w:rPr>
            </w:pPr>
            <w:r>
              <w:rPr>
                <w:lang w:eastAsia="ru-RU"/>
              </w:rPr>
              <w:t xml:space="preserve">№ </w:t>
            </w:r>
            <w:r>
              <w:rPr>
                <w:lang w:eastAsia="ru-RU"/>
              </w:rPr>
              <w:t>п/п</w:t>
            </w:r>
          </w:p>
        </w:tc>
        <w:tc>
          <w:tcPr>
            <w:tcW w:w="3800"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ind w:hanging="0"/>
              <w:rPr>
                <w:lang w:eastAsia="ru-RU"/>
              </w:rPr>
            </w:pPr>
            <w:r>
              <w:rPr>
                <w:lang w:eastAsia="ru-RU"/>
              </w:rPr>
              <w:t>Целевой показатель</w:t>
            </w:r>
          </w:p>
        </w:tc>
        <w:tc>
          <w:tcPr>
            <w:tcW w:w="4941" w:type="dxa"/>
            <w:gridSpan w:val="2"/>
            <w:tcBorders>
              <w:top w:val="single" w:sz="4" w:space="0" w:color="000000"/>
              <w:bottom w:val="single" w:sz="4" w:space="0" w:color="000000"/>
              <w:end w:val="single" w:sz="4" w:space="0" w:color="000000"/>
            </w:tcBorders>
            <w:shd w:color="auto" w:fill="auto" w:val="clear"/>
            <w:vAlign w:val="center"/>
          </w:tcPr>
          <w:p>
            <w:pPr>
              <w:pStyle w:val="Normal"/>
              <w:ind w:hanging="0"/>
              <w:rPr>
                <w:lang w:eastAsia="ru-RU"/>
              </w:rPr>
            </w:pPr>
            <w:r>
              <w:rPr>
                <w:lang w:eastAsia="ru-RU"/>
              </w:rPr>
              <w:t>Значение (Логическое)</w:t>
            </w:r>
          </w:p>
        </w:tc>
      </w:tr>
      <w:tr>
        <w:trPr>
          <w:tblHeader w:val="true"/>
          <w:trHeight w:val="855" w:hRule="atLeast"/>
        </w:trPr>
        <w:tc>
          <w:tcPr>
            <w:tcW w:w="61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r>
          </w:p>
        </w:tc>
        <w:tc>
          <w:tcPr>
            <w:tcW w:w="380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r>
          </w:p>
        </w:tc>
        <w:tc>
          <w:tcPr>
            <w:tcW w:w="2471" w:type="dxa"/>
            <w:tcBorders>
              <w:bottom w:val="single" w:sz="4" w:space="0" w:color="000000"/>
              <w:end w:val="single" w:sz="4" w:space="0" w:color="000000"/>
            </w:tcBorders>
            <w:shd w:color="auto" w:fill="auto" w:val="clear"/>
            <w:vAlign w:val="center"/>
          </w:tcPr>
          <w:p>
            <w:pPr>
              <w:pStyle w:val="Normal"/>
              <w:ind w:hanging="0"/>
              <w:rPr>
                <w:lang w:eastAsia="ru-RU"/>
              </w:rPr>
            </w:pPr>
            <w:r>
              <w:rPr>
                <w:lang w:eastAsia="ru-RU"/>
              </w:rPr>
              <w:t>До исполнения Договора</w:t>
            </w:r>
          </w:p>
        </w:tc>
        <w:tc>
          <w:tcPr>
            <w:tcW w:w="2470" w:type="dxa"/>
            <w:tcBorders>
              <w:bottom w:val="single" w:sz="4" w:space="0" w:color="000000"/>
              <w:end w:val="single" w:sz="4" w:space="0" w:color="000000"/>
            </w:tcBorders>
            <w:shd w:color="auto" w:fill="auto" w:val="clear"/>
            <w:vAlign w:val="center"/>
          </w:tcPr>
          <w:p>
            <w:pPr>
              <w:pStyle w:val="Normal"/>
              <w:ind w:hanging="0"/>
              <w:rPr>
                <w:lang w:eastAsia="ru-RU"/>
              </w:rPr>
            </w:pPr>
            <w:r>
              <w:rPr>
                <w:lang w:eastAsia="ru-RU"/>
              </w:rPr>
              <w:t>После исполнения Договора</w:t>
            </w:r>
          </w:p>
        </w:tc>
      </w:tr>
      <w:tr>
        <w:trPr>
          <w:trHeight w:val="600" w:hRule="atLeast"/>
        </w:trPr>
        <w:tc>
          <w:tcPr>
            <w:tcW w:w="614" w:type="dxa"/>
            <w:tcBorders>
              <w:start w:val="single" w:sz="4" w:space="0" w:color="000000"/>
              <w:bottom w:val="single" w:sz="4" w:space="0" w:color="000000"/>
              <w:end w:val="single" w:sz="4" w:space="0" w:color="000000"/>
            </w:tcBorders>
            <w:shd w:color="auto" w:fill="auto" w:val="clear"/>
            <w:vAlign w:val="center"/>
          </w:tcPr>
          <w:p>
            <w:pPr>
              <w:pStyle w:val="Normal"/>
              <w:ind w:hanging="0"/>
              <w:rPr>
                <w:lang w:eastAsia="ru-RU"/>
              </w:rPr>
            </w:pPr>
            <w:r>
              <w:rPr>
                <w:lang w:eastAsia="ru-RU"/>
              </w:rPr>
              <w:t>1</w:t>
            </w:r>
          </w:p>
        </w:tc>
        <w:tc>
          <w:tcPr>
            <w:tcW w:w="3800" w:type="dxa"/>
            <w:tcBorders>
              <w:bottom w:val="single" w:sz="4" w:space="0" w:color="000000"/>
              <w:end w:val="single" w:sz="4" w:space="0" w:color="000000"/>
            </w:tcBorders>
            <w:shd w:color="auto" w:fill="auto" w:val="clear"/>
            <w:vAlign w:val="center"/>
          </w:tcPr>
          <w:p>
            <w:pPr>
              <w:pStyle w:val="Normal"/>
              <w:ind w:hanging="0"/>
              <w:rPr>
                <w:lang w:eastAsia="ru-RU"/>
              </w:rPr>
            </w:pPr>
            <w:r>
              <w:rPr>
                <w:lang w:eastAsia="ru-RU"/>
              </w:rPr>
              <w:t>Доступность ключевых показателей ЕИАС ЖКХ МО с мобильных устройств</w:t>
            </w:r>
          </w:p>
        </w:tc>
        <w:tc>
          <w:tcPr>
            <w:tcW w:w="2471" w:type="dxa"/>
            <w:tcBorders>
              <w:bottom w:val="single" w:sz="4" w:space="0" w:color="000000"/>
              <w:end w:val="single" w:sz="4" w:space="0" w:color="000000"/>
            </w:tcBorders>
            <w:shd w:color="auto" w:fill="auto" w:val="clear"/>
            <w:vAlign w:val="center"/>
          </w:tcPr>
          <w:p>
            <w:pPr>
              <w:pStyle w:val="Normal"/>
              <w:ind w:hanging="0"/>
              <w:rPr>
                <w:lang w:eastAsia="ru-RU"/>
              </w:rPr>
            </w:pPr>
            <w:r>
              <w:rPr>
                <w:lang w:eastAsia="ru-RU"/>
              </w:rPr>
              <w:t>Нет</w:t>
            </w:r>
          </w:p>
        </w:tc>
        <w:tc>
          <w:tcPr>
            <w:tcW w:w="2470" w:type="dxa"/>
            <w:tcBorders>
              <w:bottom w:val="single" w:sz="4" w:space="0" w:color="000000"/>
              <w:end w:val="single" w:sz="4" w:space="0" w:color="000000"/>
            </w:tcBorders>
            <w:shd w:color="auto" w:fill="auto" w:val="clear"/>
            <w:vAlign w:val="center"/>
          </w:tcPr>
          <w:p>
            <w:pPr>
              <w:pStyle w:val="Normal"/>
              <w:ind w:hanging="0"/>
              <w:rPr>
                <w:lang w:eastAsia="ru-RU"/>
              </w:rPr>
            </w:pPr>
            <w:r>
              <w:rPr>
                <w:lang w:eastAsia="ru-RU"/>
              </w:rPr>
              <w:t>Да</w:t>
            </w:r>
          </w:p>
        </w:tc>
      </w:tr>
    </w:tbl>
    <w:p>
      <w:pPr>
        <w:pStyle w:val="Heading4"/>
        <w:numPr>
          <w:ilvl w:val="2"/>
          <w:numId w:val="18"/>
        </w:numPr>
        <w:ind w:firstLine="709" w:start="0"/>
        <w:rPr>
          <w:i/>
          <w:iCs/>
        </w:rPr>
      </w:pPr>
      <w:r>
        <w:rPr/>
        <w:t>Назначения Системы</w:t>
      </w:r>
    </w:p>
    <w:p>
      <w:pPr>
        <w:pStyle w:val="Normal"/>
        <w:rPr/>
      </w:pPr>
      <w:r>
        <w:rPr/>
        <w:t>Основным назначением ЕИАС ЖКХ МО является обеспечение органов государственной власти Московской области и органов местного самоуправления, прочих участников процессов сферы жилищно-коммунального хозяйства Московской области (далее – ЖКХ) эффективной информационной поддержкой процессов управления ЖКХ.</w:t>
      </w:r>
    </w:p>
    <w:p>
      <w:pPr>
        <w:pStyle w:val="Normal"/>
        <w:rPr/>
      </w:pPr>
      <w:r>
        <w:rPr/>
        <w:t>Система обеспечивает сбор, обработку, хранение, предоставление и использование информации о жилищном фонде, стоимости и перечне услуг по управлению общим имуществом в многоквартирных домах, работах по содержанию и ремонту общего имущества в многоквартирных домах, предоставлении коммунальных услуг и поставках ресурсов, необходимых для предоставления коммунальных услуг, размере платы за жилое помещение и коммунальные услуги, задолженности по указанной плате, об объектах коммунальной и инженерной инфраструктур, а также иной информации, связанной с жилищно-коммунальным хозяйством Московской области.</w:t>
      </w:r>
    </w:p>
    <w:p>
      <w:pPr>
        <w:pStyle w:val="Heading1"/>
        <w:numPr>
          <w:ilvl w:val="0"/>
          <w:numId w:val="18"/>
        </w:numPr>
        <w:ind w:firstLine="709" w:start="0" w:end="-1"/>
        <w:rPr/>
      </w:pPr>
      <w:bookmarkStart w:id="9" w:name="_Toc239425656"/>
      <w:r>
        <w:rPr/>
        <w:t>ХАРАКТЕРИСТИКА ОБЪЕКТОВ АВТОМАТИЗАЦИИ</w:t>
      </w:r>
      <w:bookmarkEnd w:id="9"/>
    </w:p>
    <w:p>
      <w:pPr>
        <w:pStyle w:val="Heading3"/>
        <w:numPr>
          <w:ilvl w:val="1"/>
          <w:numId w:val="18"/>
        </w:numPr>
        <w:ind w:firstLine="709" w:start="0"/>
        <w:rPr/>
      </w:pPr>
      <w:bookmarkStart w:id="10" w:name="_Toc239425657"/>
      <w:r>
        <w:rPr/>
        <w:t>Основные сведения об объекте автоматизации</w:t>
      </w:r>
      <w:bookmarkEnd w:id="10"/>
    </w:p>
    <w:p>
      <w:pPr>
        <w:pStyle w:val="Normal"/>
        <w:rPr/>
      </w:pPr>
      <w:r>
        <w:rPr/>
        <w:t>Объектом автоматизации является деятельность Министерства жилищно-коммунального хозяйства Московской в части достижения следующих целей:</w:t>
      </w:r>
    </w:p>
    <w:p>
      <w:pPr>
        <w:pStyle w:val="Normal"/>
        <w:rPr/>
      </w:pPr>
      <w:r>
        <w:rPr/>
        <w:t>1. Повышение прозрачности и оперативности управления через модуль аналитические панели:</w:t>
      </w:r>
    </w:p>
    <w:p>
      <w:pPr>
        <w:pStyle w:val="Normal"/>
        <w:rPr/>
      </w:pPr>
      <w:r>
        <w:rPr/>
        <w:t>Создание дашбордов для руководителей и профильных специалистов Министерства позволит консолидировать данные в едином окне. Интерактивные графики и виджеты в реальном времени обеспечат мониторинг ключевых показателей эффективности, что сократит время на подготовку сводной аналитики и повысит эффективность управления и оперативность принятия решений на всех уровнях  от органов государственной власти и муниципалитетов до отдельных организаций поставщиков жилищно-коммунальных услуг Московской области.</w:t>
      </w:r>
    </w:p>
    <w:p>
      <w:pPr>
        <w:pStyle w:val="Normal"/>
        <w:rPr/>
      </w:pPr>
      <w:r>
        <w:rPr/>
        <w:t>2. Обеспечение доступности Системы через мобильную версию личного кабинета организации ЕИАС ЖКХ МО повысит оперативность взаимодействия органов местного самоуправления и организаций поставщиков жилищно-коммунальных услуг с Министерством, позволив им контролировать актуальность размещаемых данных и отслеживать ключевые показатели непосредственно с мобильных устройств вне зависимости от местонахождения.</w:t>
      </w:r>
    </w:p>
    <w:p>
      <w:pPr>
        <w:pStyle w:val="Normal"/>
        <w:rPr/>
      </w:pPr>
      <w:r>
        <w:rPr/>
        <w:t>Реализация адаптивного мобильного интерфейса личного кабинета организаций позволит сотрудникам ОГВ, ОМСУ, УК и РСО оперативно получать сводные данные по своим объектам вне зависимости от местонахождения. В мобильной версии будет сделан акцент на визуализацию данных, что даст возможность принимать решения минуя необходимость работы с настольной версией системы.</w:t>
      </w:r>
    </w:p>
    <w:p>
      <w:pPr>
        <w:pStyle w:val="Normal"/>
        <w:rPr/>
      </w:pPr>
      <w:r>
        <w:rPr/>
        <w:t>3. Автоматизация отчетности для проверки расчетов нормативов.</w:t>
      </w:r>
    </w:p>
    <w:p>
      <w:pPr>
        <w:pStyle w:val="Normal"/>
        <w:rPr/>
      </w:pPr>
      <w:r>
        <w:rPr/>
        <w:t>Создание инструмента формирования детализированных отчетов по расчет нормативов с целью снижения трудозатрат, повышения прозрачности их расчета и повышения точности.</w:t>
      </w:r>
    </w:p>
    <w:p>
      <w:pPr>
        <w:pStyle w:val="Normal"/>
        <w:rPr/>
      </w:pPr>
      <w:r>
        <w:rPr/>
        <w:t>Данная деятельность предусмотрена пунктами: 12.5, п. 12.7, п. 12.22, 12.11., 12.12., Положения о Министерстве жилищно-коммунального хозяйства Московской области (утвержденного постановлением Правительства Московской области от 3 октября 2013 г. № 787/44 «Об установлении штатной численности и утверждении Положения о Министерстве жилищно-коммунального хозяйства Московской области и пунктом 85 Постановления Правительства Московской области от 06.05.2024 № 429-ПП «О некоторых вопросах реорганизации Главного управления регионального государственного жилищного надзора и содержания территорий Московской области, об утверждении Положения о Министерстве по содержанию территорий и государственному жилищному надзору Московской области, о внесении изменений в Положение о Министерстве жилищно-коммунального хозяйства Московской области и признании утратившими силу некоторых постановлений Правительства Московской области».</w:t>
      </w:r>
    </w:p>
    <w:p>
      <w:pPr>
        <w:pStyle w:val="Normal"/>
        <w:rPr/>
      </w:pPr>
      <w:r>
        <w:rPr/>
        <w:t>Система создана ПАО «Ростелеком» и передана безвозмездно в рамках Инвестиционного договора от 02.10.2015 г. № 01/25/1579-15. Правообладателем Системы является Московская область, Заказчик обладает следующими правами:</w:t>
      </w:r>
    </w:p>
    <w:p>
      <w:pPr>
        <w:pStyle w:val="ListBullet"/>
        <w:numPr>
          <w:ilvl w:val="0"/>
          <w:numId w:val="17"/>
        </w:numPr>
        <w:ind w:firstLine="709" w:start="0"/>
        <w:rPr/>
      </w:pPr>
      <w:r>
        <w:rPr/>
        <w:t>право на воспроизведение на аппаратных средствах Заказчика;</w:t>
      </w:r>
    </w:p>
    <w:p>
      <w:pPr>
        <w:pStyle w:val="ListBullet"/>
        <w:numPr>
          <w:ilvl w:val="0"/>
          <w:numId w:val="17"/>
        </w:numPr>
        <w:ind w:firstLine="709" w:start="0"/>
        <w:rPr/>
      </w:pPr>
      <w:r>
        <w:rPr/>
        <w:t>право передачи конечным пользователям в объеме и на условиях, не противоречащих условиям лицензионного договора;</w:t>
      </w:r>
    </w:p>
    <w:p>
      <w:pPr>
        <w:pStyle w:val="ListBullet"/>
        <w:numPr>
          <w:ilvl w:val="0"/>
          <w:numId w:val="17"/>
        </w:numPr>
        <w:ind w:firstLine="709" w:start="0"/>
        <w:rPr/>
      </w:pPr>
      <w:r>
        <w:rPr/>
        <w:t>право на доработку, переработку, модернизацию (модификацию), адаптацию ОИС.</w:t>
      </w:r>
    </w:p>
    <w:p>
      <w:pPr>
        <w:pStyle w:val="Normal"/>
        <w:rPr/>
      </w:pPr>
      <w:r>
        <w:rPr/>
        <w:t>Текст лицензионного договора может быть предоставлен Подрядчику по запросу в течение 5 рабочих дней по электронной почте.</w:t>
      </w:r>
    </w:p>
    <w:p>
      <w:pPr>
        <w:pStyle w:val="Normal"/>
        <w:rPr/>
      </w:pPr>
      <w:r>
        <w:rPr/>
        <w:t>Сведения о ранее заключенных государственных контрактах Системы представлены в таблице 3.</w:t>
      </w:r>
      <w:bookmarkStart w:id="11" w:name="_Ref464138176"/>
      <w:bookmarkStart w:id="12" w:name="_Ref179965548"/>
    </w:p>
    <w:p>
      <w:pPr>
        <w:pStyle w:val="--2"/>
        <w:rPr/>
      </w:pPr>
      <w:bookmarkStart w:id="13" w:name="_Ref199347269"/>
      <w:r>
        <w:rPr/>
        <w:t xml:space="preserve">Таблица </w:t>
      </w:r>
      <w:r>
        <w:rPr/>
        <w:fldChar w:fldCharType="begin"/>
      </w:r>
      <w:r>
        <w:rPr/>
        <w:instrText xml:space="preserve"> SEQ Таблица \* ARABIC </w:instrText>
      </w:r>
      <w:r>
        <w:rPr/>
        <w:fldChar w:fldCharType="separate"/>
      </w:r>
      <w:r>
        <w:rPr/>
        <w:t>2</w:t>
      </w:r>
      <w:r>
        <w:rPr/>
        <w:fldChar w:fldCharType="end"/>
      </w:r>
      <w:bookmarkEnd w:id="12"/>
      <w:bookmarkEnd w:id="13"/>
      <w:r>
        <w:rPr/>
        <w:t xml:space="preserve"> – Сведения о заключенных государственных контрактах</w:t>
      </w:r>
      <w:bookmarkEnd w:id="11"/>
    </w:p>
    <w:tbl>
      <w:tblPr>
        <w:tblW w:w="5000" w:type="pct"/>
        <w:jc w:val="start"/>
        <w:tblInd w:w="0" w:type="dxa"/>
        <w:tblLayout w:type="fixed"/>
        <w:tblCellMar>
          <w:top w:w="0" w:type="dxa"/>
          <w:start w:w="108" w:type="dxa"/>
          <w:bottom w:w="0" w:type="dxa"/>
          <w:end w:w="108" w:type="dxa"/>
        </w:tblCellMar>
        <w:tblLook w:val="0000" w:noHBand="0" w:noVBand="0" w:firstColumn="0" w:lastRow="0" w:lastColumn="0" w:firstRow="0"/>
      </w:tblPr>
      <w:tblGrid>
        <w:gridCol w:w="537"/>
        <w:gridCol w:w="1635"/>
        <w:gridCol w:w="4897"/>
        <w:gridCol w:w="2286"/>
      </w:tblGrid>
      <w:tr>
        <w:trPr>
          <w:trHeight w:val="4052" w:hRule="atLeast"/>
          <w:cantSplit w:val="true"/>
        </w:trPr>
        <w:tc>
          <w:tcPr>
            <w:tcW w:w="537"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 xml:space="preserve">№ </w:t>
            </w:r>
            <w:r>
              <w:rPr>
                <w:lang w:eastAsia="ru-RU"/>
              </w:rPr>
              <w:t>п/п</w:t>
            </w:r>
          </w:p>
        </w:tc>
        <w:tc>
          <w:tcPr>
            <w:tcW w:w="1635"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 xml:space="preserve">Реквизиты Договора (номер, дата) </w:t>
            </w:r>
          </w:p>
        </w:tc>
        <w:tc>
          <w:tcPr>
            <w:tcW w:w="4897"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Предмет Договора</w:t>
            </w:r>
          </w:p>
        </w:tc>
        <w:tc>
          <w:tcPr>
            <w:tcW w:w="2286"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Ссылка на официальный сайт в сети Интернет, содержащий сведения о государственном контракте</w:t>
            </w:r>
          </w:p>
        </w:tc>
      </w:tr>
      <w:tr>
        <w:trPr>
          <w:trHeight w:val="2046" w:hRule="atLeast"/>
          <w:cantSplit w:val="true"/>
        </w:trPr>
        <w:tc>
          <w:tcPr>
            <w:tcW w:w="53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1</w:t>
            </w:r>
          </w:p>
        </w:tc>
        <w:tc>
          <w:tcPr>
            <w:tcW w:w="163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Государственный контракт № 305025-23 от 22.12.2023</w:t>
            </w:r>
          </w:p>
        </w:tc>
        <w:tc>
          <w:tcPr>
            <w:tcW w:w="4897"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Выполнение работ по развитию и сопровождению специального программного обеспечения Единой информационно-аналитической системы жилищно-коммунального хозяйства Московской области</w:t>
            </w:r>
          </w:p>
        </w:tc>
        <w:tc>
          <w:tcPr>
            <w:tcW w:w="2286" w:type="dxa"/>
            <w:tcBorders>
              <w:top w:val="single" w:sz="4" w:space="0" w:color="000000"/>
              <w:start w:val="single" w:sz="4" w:space="0" w:color="000000"/>
              <w:bottom w:val="single" w:sz="4" w:space="0" w:color="000000"/>
              <w:end w:val="single" w:sz="4" w:space="0" w:color="000000"/>
            </w:tcBorders>
          </w:tcPr>
          <w:p>
            <w:pPr>
              <w:pStyle w:val="Normal"/>
              <w:ind w:hanging="0"/>
              <w:rPr>
                <w:rFonts w:eastAsia="Times New Roman" w:cs="Times New Roman"/>
                <w:sz w:val="26"/>
                <w:szCs w:val="26"/>
                <w:lang w:eastAsia="ru-RU"/>
              </w:rPr>
            </w:pPr>
            <w:hyperlink r:id="rId2">
              <w:r>
                <w:rPr>
                  <w:rStyle w:val="Hyperlink"/>
                  <w:rFonts w:eastAsia="Times New Roman" w:cs="Times New Roman"/>
                  <w:sz w:val="26"/>
                  <w:szCs w:val="26"/>
                  <w:lang w:eastAsia="ru-RU"/>
                </w:rPr>
                <w:t>https://zakupki.gov.ru/epz/contract/contractCard/document-info.html?reestrNumber=2502413966723000013</w:t>
              </w:r>
            </w:hyperlink>
          </w:p>
        </w:tc>
      </w:tr>
      <w:tr>
        <w:trPr>
          <w:trHeight w:val="2046" w:hRule="atLeast"/>
          <w:cantSplit w:val="true"/>
        </w:trPr>
        <w:tc>
          <w:tcPr>
            <w:tcW w:w="53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2</w:t>
            </w:r>
          </w:p>
        </w:tc>
        <w:tc>
          <w:tcPr>
            <w:tcW w:w="163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Государственный контракт № 037013-25 от 04.03.2025</w:t>
            </w:r>
          </w:p>
        </w:tc>
        <w:tc>
          <w:tcPr>
            <w:tcW w:w="4897"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Оказание услуг по сопровождению Единой информационно-аналитической системы жилищно-коммунального хозяйства Московской области</w:t>
            </w:r>
          </w:p>
        </w:tc>
        <w:tc>
          <w:tcPr>
            <w:tcW w:w="2286" w:type="dxa"/>
            <w:tcBorders>
              <w:top w:val="single" w:sz="4" w:space="0" w:color="000000"/>
              <w:start w:val="single" w:sz="4" w:space="0" w:color="000000"/>
              <w:bottom w:val="single" w:sz="4" w:space="0" w:color="000000"/>
              <w:end w:val="single" w:sz="4" w:space="0" w:color="000000"/>
            </w:tcBorders>
          </w:tcPr>
          <w:p>
            <w:pPr>
              <w:pStyle w:val="Normal"/>
              <w:ind w:hanging="0"/>
              <w:rPr>
                <w:rFonts w:eastAsia="Times New Roman" w:cs="Times New Roman"/>
                <w:color w:val="0000FF"/>
                <w:sz w:val="26"/>
                <w:szCs w:val="26"/>
                <w:u w:val="single"/>
                <w:lang w:eastAsia="ru-RU"/>
              </w:rPr>
            </w:pPr>
            <w:hyperlink r:id="rId3">
              <w:r>
                <w:rPr>
                  <w:rStyle w:val="Hyperlink"/>
                  <w:rFonts w:eastAsia="Times New Roman" w:cs="Times New Roman"/>
                  <w:sz w:val="26"/>
                  <w:szCs w:val="26"/>
                  <w:lang w:eastAsia="ru-RU"/>
                </w:rPr>
                <w:t>https://zakupki.gov.ru/epz/contract/search/results.html?searchString=&amp;orderNumber=0148200005525000008&amp;openMode=USE_DEFAULT_PARAMS</w:t>
              </w:r>
            </w:hyperlink>
          </w:p>
        </w:tc>
      </w:tr>
      <w:tr>
        <w:trPr>
          <w:trHeight w:val="2046" w:hRule="atLeast"/>
          <w:cantSplit w:val="true"/>
        </w:trPr>
        <w:tc>
          <w:tcPr>
            <w:tcW w:w="53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3</w:t>
            </w:r>
          </w:p>
        </w:tc>
        <w:tc>
          <w:tcPr>
            <w:tcW w:w="163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Государственный контракт № 044544-25 от 11.03.2025</w:t>
            </w:r>
          </w:p>
        </w:tc>
        <w:tc>
          <w:tcPr>
            <w:tcW w:w="4897"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Оказание услуг по временному размещению Единой информационно-аналитической системы жилищно-коммунального хозяйства Московской области на вычислительных ресурсах центров обработки данных</w:t>
            </w:r>
          </w:p>
        </w:tc>
        <w:tc>
          <w:tcPr>
            <w:tcW w:w="2286" w:type="dxa"/>
            <w:tcBorders>
              <w:top w:val="single" w:sz="4" w:space="0" w:color="000000"/>
              <w:start w:val="single" w:sz="4" w:space="0" w:color="000000"/>
              <w:bottom w:val="single" w:sz="4" w:space="0" w:color="000000"/>
              <w:end w:val="single" w:sz="4" w:space="0" w:color="000000"/>
            </w:tcBorders>
          </w:tcPr>
          <w:p>
            <w:pPr>
              <w:pStyle w:val="Normal"/>
              <w:ind w:hanging="0"/>
              <w:rPr>
                <w:rFonts w:eastAsia="Times New Roman" w:cs="Times New Roman"/>
                <w:color w:val="0000FF"/>
                <w:sz w:val="26"/>
                <w:szCs w:val="26"/>
                <w:u w:val="single"/>
                <w:lang w:eastAsia="ru-RU"/>
              </w:rPr>
            </w:pPr>
            <w:hyperlink r:id="rId4">
              <w:r>
                <w:rPr>
                  <w:rStyle w:val="Hyperlink"/>
                  <w:rFonts w:eastAsia="Times New Roman" w:cs="Times New Roman"/>
                  <w:sz w:val="26"/>
                  <w:szCs w:val="26"/>
                  <w:lang w:eastAsia="ru-RU"/>
                </w:rPr>
                <w:t>https://zakupki.gov.ru/epz/contract/search/results.html?searchString=&amp;orderNumber=0148200005525000009&amp;openMode=USE_DEFAULT_PARAMS</w:t>
              </w:r>
            </w:hyperlink>
          </w:p>
        </w:tc>
      </w:tr>
      <w:tr>
        <w:trPr>
          <w:trHeight w:val="2046" w:hRule="atLeast"/>
          <w:cantSplit w:val="true"/>
        </w:trPr>
        <w:tc>
          <w:tcPr>
            <w:tcW w:w="53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4</w:t>
            </w:r>
          </w:p>
        </w:tc>
        <w:tc>
          <w:tcPr>
            <w:tcW w:w="163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Государственный контракт № 088727-25 от 30.04.2025</w:t>
            </w:r>
          </w:p>
        </w:tc>
        <w:tc>
          <w:tcPr>
            <w:tcW w:w="4897"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Выполнение работ по развитию специального программного обеспечения Единой информационно-аналитической системы жилищно-коммунального хозяйства Московской области</w:t>
            </w:r>
          </w:p>
        </w:tc>
        <w:tc>
          <w:tcPr>
            <w:tcW w:w="2286" w:type="dxa"/>
            <w:tcBorders>
              <w:top w:val="single" w:sz="4" w:space="0" w:color="000000"/>
              <w:start w:val="single" w:sz="4" w:space="0" w:color="000000"/>
              <w:bottom w:val="single" w:sz="4" w:space="0" w:color="000000"/>
              <w:end w:val="single" w:sz="4" w:space="0" w:color="000000"/>
            </w:tcBorders>
          </w:tcPr>
          <w:p>
            <w:pPr>
              <w:pStyle w:val="Normal"/>
              <w:ind w:hanging="0"/>
              <w:rPr>
                <w:rFonts w:eastAsia="Times New Roman" w:cs="Times New Roman"/>
                <w:sz w:val="26"/>
                <w:szCs w:val="26"/>
                <w:lang w:eastAsia="ru-RU"/>
              </w:rPr>
            </w:pPr>
            <w:hyperlink r:id="rId5">
              <w:r>
                <w:rPr>
                  <w:rStyle w:val="Hyperlink"/>
                  <w:rFonts w:eastAsia="Times New Roman" w:cs="Times New Roman"/>
                  <w:sz w:val="26"/>
                  <w:szCs w:val="26"/>
                  <w:lang w:eastAsia="ru-RU"/>
                </w:rPr>
                <w:t>https://zakupki.gov.ru/epz/contract/search/results.html?searchString=&amp;orderNumber=0148200005525000012&amp;openMode=USE_DEFAULT_PARAMS</w:t>
              </w:r>
            </w:hyperlink>
          </w:p>
        </w:tc>
      </w:tr>
      <w:tr>
        <w:trPr>
          <w:trHeight w:val="2046" w:hRule="atLeast"/>
          <w:cantSplit w:val="true"/>
        </w:trPr>
        <w:tc>
          <w:tcPr>
            <w:tcW w:w="53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5</w:t>
            </w:r>
          </w:p>
        </w:tc>
        <w:tc>
          <w:tcPr>
            <w:tcW w:w="163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Государственный контракт № 088727-25 от 02.09.2025</w:t>
            </w:r>
          </w:p>
        </w:tc>
        <w:tc>
          <w:tcPr>
            <w:tcW w:w="4897"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Выполнение работ по развитию специального программного обеспечения Единой информационно-аналитической системы жилищно-коммунального хозяйства Московской области</w:t>
            </w:r>
          </w:p>
        </w:tc>
        <w:tc>
          <w:tcPr>
            <w:tcW w:w="2286" w:type="dxa"/>
            <w:tcBorders>
              <w:top w:val="single" w:sz="4" w:space="0" w:color="000000"/>
              <w:start w:val="single" w:sz="4" w:space="0" w:color="000000"/>
              <w:bottom w:val="single" w:sz="4" w:space="0" w:color="000000"/>
              <w:end w:val="single" w:sz="4" w:space="0" w:color="000000"/>
            </w:tcBorders>
          </w:tcPr>
          <w:p>
            <w:pPr>
              <w:pStyle w:val="Normal"/>
              <w:ind w:hanging="0"/>
              <w:rPr>
                <w:u w:val="single"/>
              </w:rPr>
            </w:pPr>
            <w:hyperlink r:id="rId6">
              <w:r>
                <w:rPr>
                  <w:rStyle w:val="Hyperlink"/>
                  <w:rFonts w:eastAsia="Times New Roman" w:cs="Times New Roman"/>
                  <w:sz w:val="26"/>
                  <w:szCs w:val="26"/>
                  <w:lang w:eastAsia="ru-RU"/>
                </w:rPr>
                <w:t>https://zakupki.gov.ru/epz/contract/search/results.html?searchString=&amp;orderNumber=0148200005425000613&amp;openMode=USE_DEFAULT_PARAMS</w:t>
              </w:r>
            </w:hyperlink>
          </w:p>
        </w:tc>
      </w:tr>
      <w:tr>
        <w:trPr>
          <w:trHeight w:val="2046" w:hRule="atLeast"/>
          <w:cantSplit w:val="true"/>
        </w:trPr>
        <w:tc>
          <w:tcPr>
            <w:tcW w:w="53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6</w:t>
            </w:r>
          </w:p>
        </w:tc>
        <w:tc>
          <w:tcPr>
            <w:tcW w:w="163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Государственный контракт № 041413-26 от 10.03.2026</w:t>
            </w:r>
          </w:p>
        </w:tc>
        <w:tc>
          <w:tcPr>
            <w:tcW w:w="4897"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Оказание услуг по сопровождению Единой информационно-аналитической системы жилищно-коммунального хозяйства Московской области</w:t>
            </w:r>
          </w:p>
        </w:tc>
        <w:tc>
          <w:tcPr>
            <w:tcW w:w="2286" w:type="dxa"/>
            <w:tcBorders>
              <w:top w:val="single" w:sz="4" w:space="0" w:color="000000"/>
              <w:start w:val="single" w:sz="4" w:space="0" w:color="000000"/>
              <w:bottom w:val="single" w:sz="4" w:space="0" w:color="000000"/>
              <w:end w:val="single" w:sz="4" w:space="0" w:color="000000"/>
            </w:tcBorders>
          </w:tcPr>
          <w:p>
            <w:pPr>
              <w:pStyle w:val="Normal"/>
              <w:ind w:hanging="0"/>
              <w:rPr/>
            </w:pPr>
            <w:hyperlink r:id="rId7">
              <w:r>
                <w:rPr>
                  <w:rStyle w:val="Hyperlink"/>
                  <w:rFonts w:eastAsia="Times New Roman" w:cs="Times New Roman"/>
                  <w:sz w:val="26"/>
                  <w:szCs w:val="26"/>
                  <w:lang w:eastAsia="ru-RU"/>
                </w:rPr>
                <w:t>https://zakupki.gov.ru/epz/contract/contractCard/document-info.html?reestrNumber=2502413966726000001</w:t>
              </w:r>
            </w:hyperlink>
          </w:p>
        </w:tc>
      </w:tr>
      <w:tr>
        <w:trPr>
          <w:trHeight w:val="2046" w:hRule="atLeast"/>
          <w:cantSplit w:val="true"/>
        </w:trPr>
        <w:tc>
          <w:tcPr>
            <w:tcW w:w="53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7</w:t>
            </w:r>
          </w:p>
        </w:tc>
        <w:tc>
          <w:tcPr>
            <w:tcW w:w="163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Государственный контракт № 102438-26 от 26.05.2026</w:t>
            </w:r>
          </w:p>
        </w:tc>
        <w:tc>
          <w:tcPr>
            <w:tcW w:w="4897"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Выполнение работ по развитию специального программного обеспечения Единой информационно-аналитической системы жилищно-коммунального хозяйства Московской области</w:t>
            </w:r>
          </w:p>
        </w:tc>
        <w:tc>
          <w:tcPr>
            <w:tcW w:w="2286" w:type="dxa"/>
            <w:tcBorders>
              <w:top w:val="single" w:sz="4" w:space="0" w:color="000000"/>
              <w:start w:val="single" w:sz="4" w:space="0" w:color="000000"/>
              <w:bottom w:val="single" w:sz="4" w:space="0" w:color="000000"/>
              <w:end w:val="single" w:sz="4" w:space="0" w:color="000000"/>
            </w:tcBorders>
          </w:tcPr>
          <w:p>
            <w:pPr>
              <w:pStyle w:val="Normal"/>
              <w:ind w:hanging="0"/>
              <w:rPr/>
            </w:pPr>
            <w:hyperlink r:id="rId8">
              <w:r>
                <w:rPr>
                  <w:rStyle w:val="Hyperlink"/>
                  <w:rFonts w:eastAsia="Times New Roman" w:cs="Times New Roman"/>
                  <w:sz w:val="26"/>
                  <w:szCs w:val="26"/>
                  <w:lang w:eastAsia="ru-RU"/>
                </w:rPr>
                <w:t>https://zakupki.gov.ru/epz/contract/contractCard/document-info.html?reestrNumber=2502413966726000002</w:t>
              </w:r>
            </w:hyperlink>
          </w:p>
        </w:tc>
      </w:tr>
    </w:tbl>
    <w:p>
      <w:pPr>
        <w:pStyle w:val="Normal"/>
        <w:rPr>
          <w:lang w:eastAsia="ru-RU"/>
        </w:rPr>
      </w:pPr>
      <w:r>
        <w:rPr>
          <w:lang w:eastAsia="ru-RU"/>
        </w:rPr>
      </w:r>
    </w:p>
    <w:p>
      <w:pPr>
        <w:pStyle w:val="--2"/>
        <w:rPr/>
      </w:pPr>
      <w:r>
        <w:rPr/>
        <w:t xml:space="preserve">Таблица </w:t>
      </w:r>
      <w:r>
        <w:rPr/>
        <w:fldChar w:fldCharType="begin"/>
      </w:r>
      <w:r>
        <w:rPr/>
        <w:instrText xml:space="preserve"> SEQ Таблица \* ARABIC </w:instrText>
      </w:r>
      <w:r>
        <w:rPr/>
        <w:fldChar w:fldCharType="separate"/>
      </w:r>
      <w:r>
        <w:rPr/>
        <w:t>3</w:t>
      </w:r>
      <w:r>
        <w:rPr/>
        <w:fldChar w:fldCharType="end"/>
      </w:r>
      <w:r>
        <w:rPr/>
        <w:t xml:space="preserve"> - Сведения о разработанной документации на Систему</w:t>
      </w:r>
    </w:p>
    <w:tbl>
      <w:tblPr>
        <w:tblW w:w="5000" w:type="pct"/>
        <w:jc w:val="center"/>
        <w:tblInd w:w="0" w:type="dxa"/>
        <w:tblLayout w:type="fixed"/>
        <w:tblCellMar>
          <w:top w:w="0" w:type="dxa"/>
          <w:start w:w="108" w:type="dxa"/>
          <w:bottom w:w="0" w:type="dxa"/>
          <w:end w:w="108" w:type="dxa"/>
        </w:tblCellMar>
        <w:tblLook w:val="0400" w:noHBand="0" w:noVBand="1" w:firstColumn="0" w:lastRow="0" w:lastColumn="0" w:firstRow="0"/>
      </w:tblPr>
      <w:tblGrid>
        <w:gridCol w:w="5265"/>
        <w:gridCol w:w="4090"/>
      </w:tblGrid>
      <w:tr>
        <w:trPr>
          <w:tblHeader w:val="true"/>
        </w:trPr>
        <w:tc>
          <w:tcPr>
            <w:tcW w:w="5265" w:type="dxa"/>
            <w:tcBorders>
              <w:top w:val="single" w:sz="4" w:space="0" w:color="000000"/>
              <w:start w:val="single" w:sz="4" w:space="0" w:color="000000"/>
              <w:bottom w:val="single" w:sz="4" w:space="0" w:color="000000"/>
              <w:end w:val="single" w:sz="4" w:space="0" w:color="000000"/>
            </w:tcBorders>
            <w:shd w:color="auto" w:fill="auto" w:val="clear"/>
            <w:vAlign w:val="center"/>
          </w:tcPr>
          <w:sdt>
            <w:sdtPr>
              <w:id w:val="-2064548928"/>
              <w:placeholder>
                <w:docPart w:val="61E64EDFA318412DBDA9B48FEF4828EF"/>
              </w:placeholder>
            </w:sdtPr>
            <w:sdtContent>
              <w:p>
                <w:pPr>
                  <w:pStyle w:val="Normal"/>
                  <w:rPr>
                    <w:lang w:eastAsia="ru-RU"/>
                  </w:rPr>
                </w:pPr>
                <w:r>
                  <w:rPr>
                    <w:lang w:eastAsia="ru-RU"/>
                  </w:rPr>
                  <w:t>Наименование документа</w:t>
                </w:r>
              </w:p>
            </w:sdtContent>
          </w:sdt>
        </w:tc>
        <w:tc>
          <w:tcPr>
            <w:tcW w:w="4090"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Способ получения документа</w:t>
            </w:r>
          </w:p>
        </w:tc>
      </w:tr>
      <w:tr>
        <w:trPr/>
        <w:tc>
          <w:tcPr>
            <w:tcW w:w="5265"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lang w:eastAsia="ru-RU"/>
              </w:rPr>
            </w:pPr>
            <w:r>
              <w:rPr>
                <w:lang w:eastAsia="ru-RU"/>
              </w:rPr>
              <w:t xml:space="preserve">Эксплуатационная и рабочая документация на Подсистему в составе: </w:t>
            </w:r>
          </w:p>
          <w:p>
            <w:pPr>
              <w:pStyle w:val="ListParagraph"/>
              <w:numPr>
                <w:ilvl w:val="0"/>
                <w:numId w:val="2"/>
              </w:numPr>
              <w:rPr>
                <w:lang w:eastAsia="ru-RU"/>
              </w:rPr>
            </w:pPr>
            <w:bookmarkStart w:id="14" w:name="_Hlk138765998"/>
            <w:r>
              <w:rPr>
                <w:lang w:eastAsia="ru-RU"/>
              </w:rPr>
              <w:t>Модель угроз;</w:t>
            </w:r>
            <w:r>
              <w:rPr>
                <w:bCs/>
                <w:smallCaps/>
                <w:spacing w:val="5"/>
                <w:lang w:eastAsia="ru-RU"/>
              </w:rPr>
              <w:t xml:space="preserve"> </w:t>
            </w:r>
            <w:bookmarkEnd w:id="14"/>
          </w:p>
          <w:p>
            <w:pPr>
              <w:pStyle w:val="ListParagraph"/>
              <w:numPr>
                <w:ilvl w:val="0"/>
                <w:numId w:val="2"/>
              </w:numPr>
              <w:rPr>
                <w:lang w:eastAsia="ru-RU"/>
              </w:rPr>
            </w:pPr>
            <w:r>
              <w:rPr>
                <w:lang w:eastAsia="ru-RU"/>
              </w:rPr>
              <w:t>Общее описание системы;</w:t>
            </w:r>
            <w:r>
              <w:rPr>
                <w:bCs/>
                <w:smallCaps/>
                <w:spacing w:val="5"/>
                <w:lang w:eastAsia="ru-RU"/>
              </w:rPr>
              <w:t xml:space="preserve"> </w:t>
            </w:r>
          </w:p>
          <w:p>
            <w:pPr>
              <w:pStyle w:val="ListParagraph"/>
              <w:numPr>
                <w:ilvl w:val="0"/>
                <w:numId w:val="2"/>
              </w:numPr>
              <w:rPr>
                <w:lang w:eastAsia="ru-RU"/>
              </w:rPr>
            </w:pPr>
            <w:r>
              <w:rPr>
                <w:lang w:eastAsia="ru-RU"/>
              </w:rPr>
              <w:t>Пояснительная записка к техническому проекту на Систему;</w:t>
            </w:r>
            <w:r>
              <w:rPr>
                <w:bCs/>
                <w:smallCaps/>
                <w:spacing w:val="5"/>
                <w:lang w:eastAsia="ru-RU"/>
              </w:rPr>
              <w:t xml:space="preserve"> </w:t>
            </w:r>
          </w:p>
          <w:p>
            <w:pPr>
              <w:pStyle w:val="ListParagraph"/>
              <w:numPr>
                <w:ilvl w:val="0"/>
                <w:numId w:val="2"/>
              </w:numPr>
              <w:rPr>
                <w:lang w:eastAsia="ru-RU"/>
              </w:rPr>
            </w:pPr>
            <w:r>
              <w:rPr>
                <w:lang w:eastAsia="ru-RU"/>
              </w:rPr>
              <w:t>Программа и методика испытаний;</w:t>
            </w:r>
            <w:r>
              <w:rPr>
                <w:bCs/>
                <w:smallCaps/>
                <w:spacing w:val="5"/>
                <w:lang w:eastAsia="ru-RU"/>
              </w:rPr>
              <w:t xml:space="preserve"> </w:t>
            </w:r>
          </w:p>
          <w:p>
            <w:pPr>
              <w:pStyle w:val="ListParagraph"/>
              <w:numPr>
                <w:ilvl w:val="0"/>
                <w:numId w:val="2"/>
              </w:numPr>
              <w:rPr>
                <w:lang w:eastAsia="ru-RU"/>
              </w:rPr>
            </w:pPr>
            <w:r>
              <w:rPr>
                <w:lang w:eastAsia="ru-RU"/>
              </w:rPr>
              <w:t>Регламент информационного взаимодействия;</w:t>
            </w:r>
            <w:r>
              <w:rPr>
                <w:bCs/>
                <w:smallCaps/>
                <w:spacing w:val="5"/>
                <w:lang w:eastAsia="ru-RU"/>
              </w:rPr>
              <w:t xml:space="preserve"> </w:t>
            </w:r>
          </w:p>
          <w:p>
            <w:pPr>
              <w:pStyle w:val="ListParagraph"/>
              <w:numPr>
                <w:ilvl w:val="0"/>
                <w:numId w:val="2"/>
              </w:numPr>
              <w:rPr>
                <w:lang w:eastAsia="ru-RU"/>
              </w:rPr>
            </w:pPr>
            <w:r>
              <w:rPr>
                <w:lang w:eastAsia="ru-RU"/>
              </w:rPr>
              <w:t>Руководство администратора;</w:t>
            </w:r>
            <w:r>
              <w:rPr>
                <w:bCs/>
                <w:smallCaps/>
                <w:spacing w:val="5"/>
                <w:lang w:eastAsia="ru-RU"/>
              </w:rPr>
              <w:t xml:space="preserve"> </w:t>
            </w:r>
          </w:p>
          <w:p>
            <w:pPr>
              <w:pStyle w:val="ListParagraph"/>
              <w:numPr>
                <w:ilvl w:val="0"/>
                <w:numId w:val="2"/>
              </w:numPr>
              <w:rPr>
                <w:lang w:eastAsia="ru-RU"/>
              </w:rPr>
            </w:pPr>
            <w:r>
              <w:rPr>
                <w:lang w:eastAsia="ru-RU"/>
              </w:rPr>
              <w:t>Руководство пользователя;</w:t>
            </w:r>
            <w:r>
              <w:rPr>
                <w:bCs/>
                <w:smallCaps/>
                <w:spacing w:val="5"/>
                <w:lang w:eastAsia="ru-RU"/>
              </w:rPr>
              <w:t xml:space="preserve"> </w:t>
            </w:r>
          </w:p>
          <w:p>
            <w:pPr>
              <w:pStyle w:val="ListParagraph"/>
              <w:numPr>
                <w:ilvl w:val="0"/>
                <w:numId w:val="2"/>
              </w:numPr>
              <w:rPr>
                <w:lang w:eastAsia="ru-RU"/>
              </w:rPr>
            </w:pPr>
            <w:r>
              <w:rPr>
                <w:lang w:eastAsia="ru-RU"/>
              </w:rPr>
              <w:t>Схема структурная комплекса технических средств.</w:t>
            </w:r>
          </w:p>
        </w:tc>
        <w:tc>
          <w:tcPr>
            <w:tcW w:w="4090"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Документация может быть представлена уполномоченному лицу Подрядчика в течение 5 рабочих дней после официального запроса на машинном носителе по месту пребывания Заказчика</w:t>
            </w:r>
          </w:p>
        </w:tc>
      </w:tr>
    </w:tbl>
    <w:p>
      <w:pPr>
        <w:pStyle w:val="--2"/>
        <w:rPr/>
      </w:pPr>
      <w:r>
        <w:rPr/>
      </w:r>
    </w:p>
    <w:p>
      <w:pPr>
        <w:pStyle w:val="Heading3"/>
        <w:numPr>
          <w:ilvl w:val="1"/>
          <w:numId w:val="18"/>
        </w:numPr>
        <w:ind w:firstLine="709" w:start="0"/>
        <w:rPr/>
      </w:pPr>
      <w:bookmarkStart w:id="15" w:name="_Toc239425658"/>
      <w:r>
        <w:rPr/>
        <w:t>Сведения об условиях эксплуатации Системы</w:t>
      </w:r>
      <w:bookmarkEnd w:id="15"/>
    </w:p>
    <w:p>
      <w:pPr>
        <w:pStyle w:val="Normal"/>
        <w:rPr/>
      </w:pPr>
      <w:r>
        <w:rPr/>
        <w:t>Эксплуатация Системы осуществляется в соответствии с эксплуатационной документацией ЕИАС ЖКХ МО. Система должна функционировать на программно-аппаратном комплексе Заказчика с учетом требований эксплуатации такого оборудования и настоящего технического задания.</w:t>
      </w:r>
    </w:p>
    <w:p>
      <w:pPr>
        <w:pStyle w:val="Normal"/>
        <w:rPr/>
      </w:pPr>
      <w:r>
        <w:rPr/>
        <w:t>Для функционирования рабочих мест пользователей необходимо сетевое подключение к сети интернет.</w:t>
      </w:r>
    </w:p>
    <w:p>
      <w:pPr>
        <w:pStyle w:val="Normal"/>
        <w:rPr>
          <w:i/>
          <w:iCs/>
        </w:rPr>
      </w:pPr>
      <w:r>
        <w:rPr/>
        <w:t>Система должна предоставлять пользователям доступ к функциям ежедневно, круглосуточно, за исключением времени технического обслуживания.</w:t>
      </w:r>
    </w:p>
    <w:p>
      <w:pPr>
        <w:pStyle w:val="Heading1"/>
        <w:numPr>
          <w:ilvl w:val="0"/>
          <w:numId w:val="18"/>
        </w:numPr>
        <w:ind w:firstLine="709" w:start="0" w:end="-1"/>
        <w:rPr/>
      </w:pPr>
      <w:bookmarkStart w:id="16" w:name="_Toc239425659"/>
      <w:r>
        <w:rPr/>
        <w:t>ТРЕБОВАНИЯ К СИСТЕМЕ</w:t>
      </w:r>
      <w:bookmarkEnd w:id="16"/>
    </w:p>
    <w:p>
      <w:pPr>
        <w:pStyle w:val="Normal"/>
        <w:rPr>
          <w:lang w:eastAsia="ru-RU"/>
        </w:rPr>
      </w:pPr>
      <w:r>
        <w:rPr>
          <w:lang w:eastAsia="ru-RU"/>
        </w:rPr>
        <w:t>Описание решений, предусмотренных пунктами данного раздела, должно быть в проектной документации, в независимости от наличия требований заказчика.</w:t>
      </w:r>
    </w:p>
    <w:p>
      <w:pPr>
        <w:pStyle w:val="Heading3"/>
        <w:numPr>
          <w:ilvl w:val="1"/>
          <w:numId w:val="18"/>
        </w:numPr>
        <w:ind w:firstLine="709" w:start="0"/>
        <w:rPr/>
      </w:pPr>
      <w:bookmarkStart w:id="17" w:name="_Toc239425660"/>
      <w:r>
        <w:rPr/>
        <w:t>Требования к структуре Системы в целом</w:t>
      </w:r>
      <w:bookmarkEnd w:id="17"/>
      <w:r>
        <w:rPr/>
        <w:t xml:space="preserve"> </w:t>
      </w:r>
    </w:p>
    <w:p>
      <w:pPr>
        <w:pStyle w:val="Heading4"/>
        <w:numPr>
          <w:ilvl w:val="2"/>
          <w:numId w:val="18"/>
        </w:numPr>
        <w:ind w:firstLine="709" w:start="0"/>
        <w:rPr>
          <w:i/>
          <w:iCs/>
        </w:rPr>
      </w:pPr>
      <w:r>
        <w:rPr/>
        <w:t>Перечень подсистем (при их наличии), их назначение и основные характеристики</w:t>
      </w:r>
    </w:p>
    <w:p>
      <w:pPr>
        <w:pStyle w:val="Normal"/>
        <w:rPr>
          <w:lang w:eastAsia="ru-RU"/>
        </w:rPr>
      </w:pPr>
      <w:r>
        <w:rPr>
          <w:lang w:eastAsia="ru-RU"/>
        </w:rPr>
        <w:t>Состав подсистем Системы до начала выполнения работ по ее развитию и их функции указан в (</w:t>
      </w:r>
      <w:r>
        <w:rPr>
          <w:lang w:eastAsia="ru-RU"/>
        </w:rPr>
        <w:fldChar w:fldCharType="begin"/>
      </w:r>
      <w:r>
        <w:rPr>
          <w:lang w:eastAsia="ru-RU"/>
        </w:rPr>
        <w:instrText xml:space="preserve"> REF _Ref179965271 \h </w:instrText>
      </w:r>
      <w:r>
        <w:rPr>
          <w:lang w:eastAsia="ru-RU"/>
        </w:rPr>
        <w:fldChar w:fldCharType="separate"/>
      </w:r>
      <w:r>
        <w:rPr>
          <w:lang w:eastAsia="ru-RU"/>
        </w:rPr>
        <w:t>Таблица 4</w:t>
      </w:r>
      <w:r>
        <w:rPr>
          <w:lang w:eastAsia="ru-RU"/>
        </w:rPr>
        <w:fldChar w:fldCharType="end"/>
      </w:r>
      <w:r>
        <w:rPr>
          <w:lang w:eastAsia="ru-RU"/>
        </w:rPr>
        <w:t>).</w:t>
      </w:r>
    </w:p>
    <w:p>
      <w:pPr>
        <w:pStyle w:val="--2"/>
        <w:jc w:val="start"/>
        <w:rPr/>
      </w:pPr>
      <w:bookmarkStart w:id="18" w:name="_Ref179965271"/>
      <w:r>
        <w:rPr/>
        <w:t xml:space="preserve">Таблица </w:t>
      </w:r>
      <w:r>
        <w:rPr/>
        <w:fldChar w:fldCharType="begin"/>
      </w:r>
      <w:r>
        <w:rPr/>
        <w:instrText xml:space="preserve"> SEQ Таблица \* ARABIC </w:instrText>
      </w:r>
      <w:r>
        <w:rPr/>
        <w:fldChar w:fldCharType="separate"/>
      </w:r>
      <w:r>
        <w:rPr/>
        <w:t>4</w:t>
      </w:r>
      <w:r>
        <w:rPr/>
        <w:fldChar w:fldCharType="end"/>
      </w:r>
      <w:bookmarkEnd w:id="18"/>
      <w:r>
        <w:rPr/>
        <w:t xml:space="preserve"> - Состав подсистем Системы до начала выполнения работ по ее развитию и их функции</w:t>
      </w:r>
    </w:p>
    <w:tbl>
      <w:tblPr>
        <w:tblW w:w="50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564"/>
        <w:gridCol w:w="3422"/>
        <w:gridCol w:w="5132"/>
        <w:gridCol w:w="237"/>
      </w:tblGrid>
      <w:tr>
        <w:trPr>
          <w:tblHeader w:val="true"/>
          <w:trHeight w:val="922" w:hRule="atLeast"/>
        </w:trPr>
        <w:tc>
          <w:tcPr>
            <w:tcW w:w="564"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ind w:hanging="0"/>
              <w:jc w:val="center"/>
              <w:rPr>
                <w:lang w:eastAsia="ru-RU"/>
              </w:rPr>
            </w:pPr>
            <w:r>
              <w:rPr>
                <w:lang w:eastAsia="ru-RU"/>
              </w:rPr>
              <w:t xml:space="preserve">№ </w:t>
            </w:r>
            <w:r>
              <w:rPr>
                <w:lang w:eastAsia="ru-RU"/>
              </w:rPr>
              <w:t>п/п</w:t>
            </w:r>
          </w:p>
        </w:tc>
        <w:tc>
          <w:tcPr>
            <w:tcW w:w="3422"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ind w:hanging="0"/>
              <w:jc w:val="center"/>
              <w:rPr>
                <w:lang w:eastAsia="ru-RU"/>
              </w:rPr>
            </w:pPr>
            <w:r>
              <w:rPr>
                <w:lang w:eastAsia="ru-RU"/>
              </w:rPr>
              <w:t>Функциональные блоки и подсистемы</w:t>
            </w:r>
          </w:p>
        </w:tc>
        <w:tc>
          <w:tcPr>
            <w:tcW w:w="5132"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ind w:hanging="0"/>
              <w:jc w:val="center"/>
              <w:rPr>
                <w:lang w:eastAsia="ru-RU"/>
              </w:rPr>
            </w:pPr>
            <w:r>
              <w:rPr>
                <w:lang w:eastAsia="ru-RU"/>
              </w:rPr>
              <w:t>Функции подсистемы</w:t>
            </w:r>
          </w:p>
        </w:tc>
        <w:tc>
          <w:tcPr>
            <w:tcW w:w="237" w:type="dxa"/>
            <w:tcBorders/>
          </w:tcPr>
          <w:p>
            <w:pPr>
              <w:pStyle w:val="Normal"/>
              <w:spacing w:lineRule="atLeast" w:line="0" w:before="0" w:after="0"/>
              <w:rPr>
                <w:sz w:val="2"/>
              </w:rPr>
            </w:pPr>
            <w:r>
              <w:rPr>
                <w:sz w:val="2"/>
              </w:rPr>
            </w:r>
          </w:p>
        </w:tc>
      </w:tr>
      <w:tr>
        <w:trPr>
          <w:trHeight w:val="264" w:hRule="atLeast"/>
        </w:trPr>
        <w:tc>
          <w:tcPr>
            <w:tcW w:w="56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r>
          </w:p>
        </w:tc>
        <w:tc>
          <w:tcPr>
            <w:tcW w:w="342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r>
          </w:p>
        </w:tc>
        <w:tc>
          <w:tcPr>
            <w:tcW w:w="513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r>
          </w:p>
        </w:tc>
        <w:tc>
          <w:tcPr>
            <w:tcW w:w="237" w:type="dxa"/>
            <w:tcBorders/>
            <w:shd w:color="auto" w:fill="auto" w:val="clear"/>
            <w:vAlign w:val="bottom"/>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Нормативно-справочная информация</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 xml:space="preserve">Обеспечение унификации процесса сбора (актуализации) данных </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2</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Создание аналитических отчетов</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Формирование аналитических и статистических отчетов</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3</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Личный кабинет</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Электронные сервисы для реализации прав граждан в сфере ЖКХ</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4</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Электронный паспорт МКД</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Учет информации о характеристиках МКД, помещениях, собственниках, а также сведений о договорах управления, ресурсоснабжения (далее – РСО), обращения с твёрдыми коммунальными отходами (далее – ТКО), расчетных центров (далее –РЦ) и о лицевых счетах с платежными документами</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5</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Электронный паспорт жилого дома</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Учет сведений о характеристиках жилых домов</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6</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Электронный паспорт объекта коммунальной и инженерной инфраструктуры</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Учет сведений о характеристиках объектов коммунальной информационной инфраструктуры (далее –ОКИИ)</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7</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Электронный паспорт дворовой территории</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Учет сведений о характеристиках дворовых территорий</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8</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Работа с обращениями граждан</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Обработка обращений граждан</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9</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Социальная поддержка</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Формирование эффективных программ поддержки населения</w:t>
            </w:r>
          </w:p>
        </w:tc>
        <w:tc>
          <w:tcPr>
            <w:tcW w:w="237" w:type="dxa"/>
            <w:tcBorders/>
            <w:vAlign w:val="center"/>
          </w:tcPr>
          <w:p>
            <w:pPr>
              <w:pStyle w:val="Normal"/>
              <w:ind w:hanging="0"/>
              <w:rPr>
                <w:lang w:eastAsia="ru-RU"/>
              </w:rPr>
            </w:pPr>
            <w:r>
              <w:rPr>
                <w:lang w:eastAsia="ru-RU"/>
              </w:rPr>
            </w:r>
          </w:p>
        </w:tc>
      </w:tr>
      <w:tr>
        <w:trPr>
          <w:trHeight w:val="528"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10</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Электронный документ о деятельности ресурсоснабжающей организации</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Добавление, изменения сведений о ресурсоснабжающей организации и региональном операторе по обращению с твердыми коммунальными отходами (далее -РО ТКО)</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11</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Мониторинг качества услуг</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Мониторинг качества жизнеобеспечения территории на основе показателей качества и объемов предоставляемых услуг</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12</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Жилищная инспекция</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Учет сведений по планам проверок и результатам проверок органами жилищной инспекции</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13</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Целевые программы</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Учет целевых программ федерального, регионального, муниципального и ведомственного уровней</w:t>
            </w:r>
          </w:p>
        </w:tc>
        <w:tc>
          <w:tcPr>
            <w:tcW w:w="237" w:type="dxa"/>
            <w:tcBorders/>
            <w:vAlign w:val="center"/>
          </w:tcPr>
          <w:p>
            <w:pPr>
              <w:pStyle w:val="Normal"/>
              <w:ind w:hanging="0"/>
              <w:rPr>
                <w:lang w:eastAsia="ru-RU"/>
              </w:rPr>
            </w:pPr>
            <w:r>
              <w:rPr>
                <w:lang w:eastAsia="ru-RU"/>
              </w:rPr>
            </w:r>
          </w:p>
        </w:tc>
      </w:tr>
      <w:tr>
        <w:trPr>
          <w:trHeight w:val="1056"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14</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Электронный паспорт объекта капитального ремонта</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Заполнение, редактирование, просмотра паспортов объектов капитального ремонта, паспортов аварийных домов на основе информации, предоставляемой управляющей организацией (далее –УО) о состоянии МКД и их конструктивных элементов в части расчетных значений физического износа и других параметров, необходимых для формирования региональных программ капитального ремонта, включая расчеты объемов и стоимости работ (для сотрудников органов местного самоуправления Московской области (ОМСУ) и УО)</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15</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Формирование программ капитального ремонта</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Алгоритмы автоматизированной модели формирования программ капитального ремонта с разбивкой по годам</w:t>
            </w:r>
          </w:p>
        </w:tc>
        <w:tc>
          <w:tcPr>
            <w:tcW w:w="237" w:type="dxa"/>
            <w:tcBorders/>
            <w:vAlign w:val="center"/>
          </w:tcPr>
          <w:p>
            <w:pPr>
              <w:pStyle w:val="Normal"/>
              <w:ind w:hanging="0"/>
              <w:rPr>
                <w:lang w:eastAsia="ru-RU"/>
              </w:rPr>
            </w:pPr>
            <w:r>
              <w:rPr>
                <w:lang w:eastAsia="ru-RU"/>
              </w:rPr>
            </w:r>
          </w:p>
        </w:tc>
      </w:tr>
      <w:tr>
        <w:trPr>
          <w:trHeight w:val="264" w:hRule="atLeast"/>
        </w:trPr>
        <w:tc>
          <w:tcPr>
            <w:tcW w:w="564" w:type="dxa"/>
            <w:tcBorders>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16</w:t>
            </w:r>
          </w:p>
        </w:tc>
        <w:tc>
          <w:tcPr>
            <w:tcW w:w="3422" w:type="dxa"/>
            <w:tcBorders>
              <w:bottom w:val="single" w:sz="4" w:space="0" w:color="000000"/>
              <w:end w:val="single" w:sz="4" w:space="0" w:color="000000"/>
            </w:tcBorders>
            <w:shd w:color="auto" w:fill="auto" w:val="clear"/>
          </w:tcPr>
          <w:p>
            <w:pPr>
              <w:pStyle w:val="Normal"/>
              <w:ind w:hanging="0"/>
              <w:rPr>
                <w:lang w:eastAsia="ru-RU"/>
              </w:rPr>
            </w:pPr>
            <w:r>
              <w:rPr>
                <w:lang w:eastAsia="ru-RU"/>
              </w:rPr>
              <w:t>Электронный паспорт аварийного дома</w:t>
            </w:r>
          </w:p>
        </w:tc>
        <w:tc>
          <w:tcPr>
            <w:tcW w:w="5132" w:type="dxa"/>
            <w:tcBorders>
              <w:bottom w:val="single" w:sz="4" w:space="0" w:color="000000"/>
              <w:end w:val="single" w:sz="4" w:space="0" w:color="000000"/>
            </w:tcBorders>
            <w:shd w:color="auto" w:fill="auto" w:val="clear"/>
          </w:tcPr>
          <w:p>
            <w:pPr>
              <w:pStyle w:val="Normal"/>
              <w:ind w:hanging="0"/>
              <w:rPr>
                <w:lang w:eastAsia="ru-RU"/>
              </w:rPr>
            </w:pPr>
            <w:r>
              <w:rPr>
                <w:lang w:eastAsia="ru-RU"/>
              </w:rPr>
              <w:t>Ведение реестра паспортов аварийных домов как объектов, исключаемых из перечня при планировании капитального ремонта</w:t>
            </w:r>
          </w:p>
        </w:tc>
        <w:tc>
          <w:tcPr>
            <w:tcW w:w="237" w:type="dxa"/>
            <w:tcBorders/>
            <w:vAlign w:val="center"/>
          </w:tcPr>
          <w:p>
            <w:pPr>
              <w:pStyle w:val="Normal"/>
              <w:ind w:hanging="0"/>
              <w:rPr>
                <w:lang w:eastAsia="ru-RU"/>
              </w:rPr>
            </w:pPr>
            <w:r>
              <w:rPr>
                <w:lang w:eastAsia="ru-RU"/>
              </w:rPr>
            </w:r>
          </w:p>
        </w:tc>
      </w:tr>
      <w:tr>
        <w:trPr>
          <w:trHeight w:val="1260"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17</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Учет программ и объектов капитального ремонта</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Обеспечение доступа к данным региональной программы капитального ремонта, уточнение владельцем спец. счета и регионального оператора капитального ремонта (далее –РОКР) видов и объемов работ в своей части региональной программы капитального ремонта общего имущества в многоквартирных домов (далее –РПКР), учет стоимости работ, прогнозных размеров финансирования в разрезе источников финансирования;</w:t>
              <w:br/>
              <w:t>− учет договоров на проведение строительного контроля (технадзор, экспертиза) над выполнением работ и договоров на разработку проектно-сметной документации по объекту.</w:t>
            </w:r>
          </w:p>
        </w:tc>
        <w:tc>
          <w:tcPr>
            <w:tcW w:w="237" w:type="dxa"/>
            <w:tcBorders/>
            <w:vAlign w:val="center"/>
          </w:tcPr>
          <w:p>
            <w:pPr>
              <w:pStyle w:val="Normal"/>
              <w:ind w:hanging="0"/>
              <w:rPr>
                <w:lang w:eastAsia="ru-RU"/>
              </w:rPr>
            </w:pPr>
            <w:r>
              <w:rPr>
                <w:lang w:eastAsia="ru-RU"/>
              </w:rPr>
            </w:r>
          </w:p>
        </w:tc>
      </w:tr>
      <w:tr>
        <w:trPr>
          <w:trHeight w:val="1260"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18</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color w:val="000000"/>
                <w:lang w:eastAsia="ru-RU"/>
              </w:rPr>
            </w:pPr>
            <w:r>
              <w:rPr>
                <w:lang w:eastAsia="ru-RU"/>
              </w:rPr>
              <w:t>Подсистема ведения реестра собственников</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 xml:space="preserve">− </w:t>
            </w:r>
            <w:r>
              <w:rPr>
                <w:lang w:eastAsia="ru-RU"/>
              </w:rPr>
              <w:t xml:space="preserve">предназначена для </w:t>
            </w:r>
            <w:bookmarkStart w:id="19" w:name="_Hlk151109689"/>
            <w:bookmarkStart w:id="20" w:name="_Hlk151459496"/>
            <w:r>
              <w:rPr>
                <w:lang w:eastAsia="ru-RU"/>
              </w:rPr>
              <w:t xml:space="preserve">учета </w:t>
            </w:r>
            <w:bookmarkStart w:id="21" w:name="_Hlk151111104"/>
            <w:r>
              <w:rPr>
                <w:lang w:eastAsia="ru-RU"/>
              </w:rPr>
              <w:t>сведений о собственниках помещений многоквартирных домов (юридических и физических лиц)</w:t>
            </w:r>
            <w:bookmarkEnd w:id="19"/>
            <w:bookmarkEnd w:id="20"/>
            <w:bookmarkEnd w:id="21"/>
          </w:p>
        </w:tc>
        <w:tc>
          <w:tcPr>
            <w:tcW w:w="237" w:type="dxa"/>
            <w:tcBorders/>
            <w:vAlign w:val="center"/>
          </w:tcPr>
          <w:p>
            <w:pPr>
              <w:pStyle w:val="Normal"/>
              <w:ind w:hanging="0"/>
              <w:rPr>
                <w:lang w:eastAsia="ru-RU"/>
              </w:rPr>
            </w:pPr>
            <w:r>
              <w:rPr>
                <w:lang w:eastAsia="ru-RU"/>
              </w:rPr>
            </w:r>
          </w:p>
        </w:tc>
      </w:tr>
      <w:tr>
        <w:trPr>
          <w:trHeight w:val="1260"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19</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Подсистема общих собраний собственников</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 xml:space="preserve">− </w:t>
            </w:r>
            <w:r>
              <w:rPr>
                <w:lang w:eastAsia="ru-RU"/>
              </w:rPr>
              <w:t>предназначена для обеспечения возможности проведения общих собраний собственников помещений в заочной форме с использованием системы</w:t>
            </w:r>
          </w:p>
        </w:tc>
        <w:tc>
          <w:tcPr>
            <w:tcW w:w="237" w:type="dxa"/>
            <w:tcBorders/>
            <w:vAlign w:val="center"/>
          </w:tcPr>
          <w:p>
            <w:pPr>
              <w:pStyle w:val="Normal"/>
              <w:ind w:hanging="0"/>
              <w:rPr>
                <w:lang w:eastAsia="ru-RU"/>
              </w:rPr>
            </w:pPr>
            <w:r>
              <w:rPr>
                <w:lang w:eastAsia="ru-RU"/>
              </w:rPr>
            </w:r>
          </w:p>
        </w:tc>
      </w:tr>
      <w:tr>
        <w:trPr>
          <w:trHeight w:val="1260"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20</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Подсистема сбора оперативной и статистической отчетности</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 xml:space="preserve">− </w:t>
            </w:r>
            <w:r>
              <w:rPr>
                <w:lang w:eastAsia="ru-RU"/>
              </w:rPr>
              <w:t>предназначена для ведения реестра регламентированных отчетов, а также возможности просматривать указанный реестр</w:t>
            </w:r>
          </w:p>
        </w:tc>
        <w:tc>
          <w:tcPr>
            <w:tcW w:w="237" w:type="dxa"/>
            <w:tcBorders/>
            <w:vAlign w:val="center"/>
          </w:tcPr>
          <w:p>
            <w:pPr>
              <w:pStyle w:val="Normal"/>
              <w:ind w:hanging="0"/>
              <w:rPr>
                <w:lang w:eastAsia="ru-RU"/>
              </w:rPr>
            </w:pPr>
            <w:r>
              <w:rPr>
                <w:lang w:eastAsia="ru-RU"/>
              </w:rPr>
            </w:r>
          </w:p>
        </w:tc>
      </w:tr>
      <w:tr>
        <w:trPr>
          <w:trHeight w:val="891"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21</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Подсистема «Единый центр регистрации заявок»</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 xml:space="preserve">− </w:t>
            </w:r>
            <w:r>
              <w:rPr>
                <w:lang w:eastAsia="ru-RU"/>
              </w:rPr>
              <w:t>предназначена для централизованного учета обращений пользователей</w:t>
            </w:r>
          </w:p>
        </w:tc>
        <w:tc>
          <w:tcPr>
            <w:tcW w:w="237" w:type="dxa"/>
            <w:tcBorders/>
            <w:vAlign w:val="center"/>
          </w:tcPr>
          <w:p>
            <w:pPr>
              <w:pStyle w:val="Normal"/>
              <w:ind w:hanging="0"/>
              <w:rPr>
                <w:lang w:eastAsia="ru-RU"/>
              </w:rPr>
            </w:pPr>
            <w:r>
              <w:rPr>
                <w:lang w:eastAsia="ru-RU"/>
              </w:rPr>
            </w:r>
          </w:p>
        </w:tc>
      </w:tr>
      <w:tr>
        <w:trPr>
          <w:trHeight w:val="891"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22</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Подсистемы Претензионно-исковая работа</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Функции формирования заявлений о выдаче судебных приказов</w:t>
            </w:r>
          </w:p>
        </w:tc>
        <w:tc>
          <w:tcPr>
            <w:tcW w:w="237" w:type="dxa"/>
            <w:tcBorders/>
            <w:vAlign w:val="center"/>
          </w:tcPr>
          <w:p>
            <w:pPr>
              <w:pStyle w:val="Normal"/>
              <w:ind w:hanging="0"/>
              <w:rPr>
                <w:lang w:eastAsia="ru-RU"/>
              </w:rPr>
            </w:pPr>
            <w:r>
              <w:rPr>
                <w:lang w:eastAsia="ru-RU"/>
              </w:rPr>
            </w:r>
          </w:p>
        </w:tc>
      </w:tr>
      <w:tr>
        <w:trPr>
          <w:trHeight w:val="891"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23</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Функциональный блок «Комплексное развитие территории»</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Обеспечивает проведение ОСС по комплексному развитию территорий, интеграцию с ГИС УГД МО для получения данных о многоквартирных домах, включенных в программу КРТ, и передачи результатов общих собраний собственников обратно в систему</w:t>
            </w:r>
          </w:p>
        </w:tc>
        <w:tc>
          <w:tcPr>
            <w:tcW w:w="237" w:type="dxa"/>
            <w:tcBorders/>
            <w:vAlign w:val="center"/>
          </w:tcPr>
          <w:p>
            <w:pPr>
              <w:pStyle w:val="Normal"/>
              <w:ind w:hanging="0"/>
              <w:rPr>
                <w:lang w:eastAsia="ru-RU"/>
              </w:rPr>
            </w:pPr>
            <w:r>
              <w:rPr>
                <w:lang w:eastAsia="ru-RU"/>
              </w:rPr>
            </w:r>
          </w:p>
        </w:tc>
      </w:tr>
      <w:tr>
        <w:trPr>
          <w:trHeight w:val="891"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24</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Функциональный блок «Тарифы»</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Включает сервис получения актуальных тарифов и нормативно-правовых актов из региональной системы АИС «Тариф», а также сервис размещения утвержденных тарифов в ГИС ЖКХ</w:t>
            </w:r>
          </w:p>
        </w:tc>
        <w:tc>
          <w:tcPr>
            <w:tcW w:w="237" w:type="dxa"/>
            <w:tcBorders/>
            <w:vAlign w:val="center"/>
          </w:tcPr>
          <w:p>
            <w:pPr>
              <w:pStyle w:val="Normal"/>
              <w:ind w:hanging="0"/>
              <w:rPr>
                <w:lang w:eastAsia="ru-RU"/>
              </w:rPr>
            </w:pPr>
            <w:r>
              <w:rPr>
                <w:lang w:eastAsia="ru-RU"/>
              </w:rPr>
            </w:r>
          </w:p>
        </w:tc>
      </w:tr>
      <w:tr>
        <w:trPr>
          <w:trHeight w:val="891"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25</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Функциональный блок «Нормативы»</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Автоматизирует расчет нормативов, обеспечивает двусторонний обмен нормативами с внешними системами</w:t>
            </w:r>
          </w:p>
        </w:tc>
        <w:tc>
          <w:tcPr>
            <w:tcW w:w="237" w:type="dxa"/>
            <w:tcBorders/>
            <w:vAlign w:val="center"/>
          </w:tcPr>
          <w:p>
            <w:pPr>
              <w:pStyle w:val="Normal"/>
              <w:ind w:hanging="0"/>
              <w:rPr>
                <w:lang w:eastAsia="ru-RU"/>
              </w:rPr>
            </w:pPr>
            <w:r>
              <w:rPr>
                <w:lang w:eastAsia="ru-RU"/>
              </w:rPr>
            </w:r>
          </w:p>
        </w:tc>
      </w:tr>
      <w:tr>
        <w:trPr>
          <w:trHeight w:val="891"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26</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Подсистема «Аналитика»</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Обеспечивает построение и настройку отчетов (конструктора отчётов), позволяющего формировать аналитические отчеты по данным системы</w:t>
            </w:r>
          </w:p>
        </w:tc>
        <w:tc>
          <w:tcPr>
            <w:tcW w:w="237" w:type="dxa"/>
            <w:tcBorders/>
            <w:vAlign w:val="center"/>
          </w:tcPr>
          <w:p>
            <w:pPr>
              <w:pStyle w:val="Normal"/>
              <w:ind w:hanging="0"/>
              <w:rPr>
                <w:lang w:eastAsia="ru-RU"/>
              </w:rPr>
            </w:pPr>
            <w:r>
              <w:rPr>
                <w:lang w:eastAsia="ru-RU"/>
              </w:rPr>
            </w:r>
          </w:p>
        </w:tc>
      </w:tr>
      <w:tr>
        <w:trPr>
          <w:trHeight w:val="891" w:hRule="atLeast"/>
        </w:trPr>
        <w:tc>
          <w:tcPr>
            <w:tcW w:w="564" w:type="dxa"/>
            <w:tcBorders>
              <w:top w:val="single" w:sz="4" w:space="0" w:color="000000"/>
              <w:start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27</w:t>
            </w:r>
          </w:p>
        </w:tc>
        <w:tc>
          <w:tcPr>
            <w:tcW w:w="342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Подсистема мониторинга лицевых счетов</w:t>
            </w:r>
          </w:p>
        </w:tc>
        <w:tc>
          <w:tcPr>
            <w:tcW w:w="5132" w:type="dxa"/>
            <w:tcBorders>
              <w:top w:val="single" w:sz="4" w:space="0" w:color="000000"/>
              <w:bottom w:val="single" w:sz="4" w:space="0" w:color="000000"/>
              <w:end w:val="single" w:sz="4" w:space="0" w:color="000000"/>
            </w:tcBorders>
            <w:shd w:color="auto" w:fill="auto" w:val="clear"/>
          </w:tcPr>
          <w:p>
            <w:pPr>
              <w:pStyle w:val="Normal"/>
              <w:ind w:hanging="0"/>
              <w:rPr>
                <w:lang w:eastAsia="ru-RU"/>
              </w:rPr>
            </w:pPr>
            <w:r>
              <w:rPr>
                <w:lang w:eastAsia="ru-RU"/>
              </w:rPr>
              <w:t>Обеспечивает актуальность оснований лицевых счетов на всем протяжении жизненного цикла лицевого счета</w:t>
            </w:r>
          </w:p>
        </w:tc>
        <w:tc>
          <w:tcPr>
            <w:tcW w:w="237" w:type="dxa"/>
            <w:tcBorders/>
            <w:vAlign w:val="center"/>
          </w:tcPr>
          <w:p>
            <w:pPr>
              <w:pStyle w:val="Normal"/>
              <w:ind w:hanging="0"/>
              <w:rPr>
                <w:lang w:eastAsia="ru-RU"/>
              </w:rPr>
            </w:pPr>
            <w:r>
              <w:rPr>
                <w:lang w:eastAsia="ru-RU"/>
              </w:rPr>
            </w:r>
          </w:p>
        </w:tc>
      </w:tr>
    </w:tbl>
    <w:p>
      <w:pPr>
        <w:pStyle w:val="Normal"/>
        <w:rPr/>
      </w:pPr>
      <w:r>
        <w:rPr/>
      </w:r>
    </w:p>
    <w:p>
      <w:pPr>
        <w:pStyle w:val="Normal"/>
        <w:rPr/>
      </w:pPr>
      <w:r>
        <w:rPr/>
        <w:t>Архитектура Системы строится по трехуровневой схеме:</w:t>
      </w:r>
    </w:p>
    <w:p>
      <w:pPr>
        <w:pStyle w:val="ListParagraph"/>
        <w:numPr>
          <w:ilvl w:val="0"/>
          <w:numId w:val="3"/>
        </w:numPr>
        <w:rPr>
          <w:lang w:eastAsia="ru-RU"/>
        </w:rPr>
      </w:pPr>
      <w:r>
        <w:rPr>
          <w:lang w:eastAsia="ru-RU"/>
        </w:rPr>
        <w:t xml:space="preserve">автоматизированные рабочие места организованы по технологии «тонкого» клиента без необходимости установки на рабочие места пользователей дополнительного программного обеспечения </w:t>
        <w:br/>
        <w:t>(далее –ПО), кроме стандартного web-браузера;</w:t>
      </w:r>
    </w:p>
    <w:p>
      <w:pPr>
        <w:pStyle w:val="ListParagraph"/>
        <w:numPr>
          <w:ilvl w:val="0"/>
          <w:numId w:val="3"/>
        </w:numPr>
        <w:rPr>
          <w:lang w:eastAsia="ru-RU"/>
        </w:rPr>
      </w:pPr>
      <w:r>
        <w:rPr>
          <w:lang w:eastAsia="ru-RU"/>
        </w:rPr>
        <w:t>обработка пользовательских запросов в соответствии с бизнес-логикой осуществляется на сервере приложений;</w:t>
      </w:r>
    </w:p>
    <w:p>
      <w:pPr>
        <w:pStyle w:val="ListParagraph"/>
        <w:numPr>
          <w:ilvl w:val="0"/>
          <w:numId w:val="3"/>
        </w:numPr>
        <w:rPr>
          <w:lang w:eastAsia="ru-RU"/>
        </w:rPr>
        <w:sectPr>
          <w:type w:val="nextPage"/>
          <w:pgSz w:w="11906" w:h="16838"/>
          <w:pgMar w:left="1701" w:right="850" w:gutter="0" w:header="0" w:top="1134" w:footer="0" w:bottom="993"/>
          <w:pgNumType w:fmt="decimal"/>
          <w:formProt w:val="false"/>
          <w:textDirection w:val="lrTb"/>
          <w:docGrid w:type="default" w:linePitch="360" w:charSpace="0"/>
        </w:sectPr>
      </w:pPr>
      <w:r>
        <w:rPr>
          <w:lang w:eastAsia="ru-RU"/>
        </w:rPr>
        <w:t>выделены серверы баз данных, функционирующие в кластерной конфигурации.</w:t>
      </w:r>
    </w:p>
    <w:p>
      <w:pPr>
        <w:pStyle w:val="ListParagraph"/>
        <w:numPr>
          <w:ilvl w:val="0"/>
          <w:numId w:val="3"/>
        </w:numPr>
        <w:rPr>
          <w:lang w:eastAsia="ru-RU"/>
        </w:rPr>
      </w:pPr>
      <w:r>
        <w:rPr>
          <w:lang w:eastAsia="ru-RU"/>
        </w:rPr>
      </w:r>
    </w:p>
    <w:p>
      <w:pPr>
        <w:pStyle w:val="--2"/>
        <w:jc w:val="start"/>
        <w:rPr/>
      </w:pPr>
      <w:r>
        <w:rPr/>
        <w:t xml:space="preserve">Таблица </w:t>
      </w:r>
      <w:r>
        <w:rPr/>
        <w:fldChar w:fldCharType="begin"/>
      </w:r>
      <w:r>
        <w:rPr/>
        <w:instrText xml:space="preserve"> SEQ Таблица \* ARABIC </w:instrText>
      </w:r>
      <w:r>
        <w:rPr/>
        <w:fldChar w:fldCharType="separate"/>
      </w:r>
      <w:r>
        <w:rPr/>
        <w:t>5</w:t>
      </w:r>
      <w:r>
        <w:rPr/>
        <w:fldChar w:fldCharType="end"/>
      </w:r>
      <w:r>
        <w:rPr/>
        <w:t xml:space="preserve"> - Описание элементов функционального размера Системы</w:t>
      </w:r>
    </w:p>
    <w:p>
      <w:pPr>
        <w:pStyle w:val="--2"/>
        <w:jc w:val="start"/>
        <w:rPr/>
      </w:pPr>
      <w:r>
        <w:rPr/>
        <w:t>Текущее состояние системы</w:t>
      </w:r>
    </w:p>
    <w:tbl>
      <w:tblPr>
        <w:tblW w:w="15163"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171"/>
        <w:gridCol w:w="2218"/>
        <w:gridCol w:w="2263"/>
        <w:gridCol w:w="2306"/>
        <w:gridCol w:w="3510"/>
        <w:gridCol w:w="2695"/>
      </w:tblGrid>
      <w:tr>
        <w:trPr>
          <w:tblHeader w:val="true"/>
          <w:trHeight w:val="1200" w:hRule="atLeast"/>
        </w:trPr>
        <w:tc>
          <w:tcPr>
            <w:tcW w:w="2171"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S</w:t>
              <w:br/>
              <w:t>наименование подсистем ИС (Subsystem)</w:t>
            </w:r>
          </w:p>
        </w:tc>
        <w:tc>
          <w:tcPr>
            <w:tcW w:w="2218" w:type="dxa"/>
            <w:tcBorders>
              <w:top w:val="single" w:sz="4" w:space="0" w:color="000000"/>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F</w:t>
              <w:br/>
              <w:t>наименование функций подсистем ИС (Function)</w:t>
            </w:r>
          </w:p>
        </w:tc>
        <w:tc>
          <w:tcPr>
            <w:tcW w:w="2263" w:type="dxa"/>
            <w:tcBorders>
              <w:top w:val="single" w:sz="4" w:space="0" w:color="000000"/>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T</w:t>
              <w:br/>
              <w:t>наименование микрофункций (возможностей функций) ИС (Tool)</w:t>
            </w:r>
          </w:p>
        </w:tc>
        <w:tc>
          <w:tcPr>
            <w:tcW w:w="2306" w:type="dxa"/>
            <w:tcBorders>
              <w:top w:val="single" w:sz="4" w:space="0" w:color="000000"/>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E</w:t>
              <w:br/>
              <w:t>наименование уникальных информационных объектов ИС (Entity)</w:t>
            </w:r>
          </w:p>
        </w:tc>
        <w:tc>
          <w:tcPr>
            <w:tcW w:w="3510" w:type="dxa"/>
            <w:tcBorders>
              <w:top w:val="single" w:sz="4" w:space="0" w:color="000000"/>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A</w:t>
              <w:br/>
              <w:t>наименование атрибутов информационных объектов ИС (Attribute)</w:t>
            </w:r>
          </w:p>
        </w:tc>
        <w:tc>
          <w:tcPr>
            <w:tcW w:w="2695" w:type="dxa"/>
            <w:tcBorders>
              <w:top w:val="single" w:sz="4" w:space="0" w:color="000000"/>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P</w:t>
              <w:br/>
              <w:t>наименование свойств атрибутов информационных объектов ИС (Properties)</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27</w:t>
            </w:r>
          </w:p>
        </w:tc>
        <w:tc>
          <w:tcPr>
            <w:tcW w:w="2218" w:type="dxa"/>
            <w:tcBorders>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121</w:t>
            </w:r>
          </w:p>
        </w:tc>
        <w:tc>
          <w:tcPr>
            <w:tcW w:w="2263" w:type="dxa"/>
            <w:tcBorders>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93</w:t>
            </w:r>
          </w:p>
        </w:tc>
        <w:tc>
          <w:tcPr>
            <w:tcW w:w="2306" w:type="dxa"/>
            <w:tcBorders>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157</w:t>
            </w:r>
          </w:p>
        </w:tc>
        <w:tc>
          <w:tcPr>
            <w:tcW w:w="3510" w:type="dxa"/>
            <w:tcBorders>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226</w:t>
            </w:r>
          </w:p>
        </w:tc>
        <w:tc>
          <w:tcPr>
            <w:tcW w:w="2695" w:type="dxa"/>
            <w:tcBorders>
              <w:bottom w:val="single" w:sz="4"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90</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Нормативно-справочная информация</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Группы доступа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Добавлять</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Паспорт дома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ОМСУ</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Ввод числа</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Создание аналитических отчетов</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Пользователи системы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Сохранять</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Паспорт дома импорт списка протоколов голосования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Исполнитель</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Ввод или выбор из календаря даты</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Личный кабинет</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Журнал действий пользователей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Редактировать</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Акты выполненных работ</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'ФИАС - код адресного объекта',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Ввод текстовых значений</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Электронный паспорт МКД</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Реквизиты и параметры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Читать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Внеплановая проверка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Кол-во жилых помещений</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Отображение обязательности полей для ввода данных</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Электронный паспорт жилого дома</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Данные МКД</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Отображать</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Решения собственников по ОСС</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Площадь здания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Выбор значений из справочников</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Электронный паспорт объекта коммунальной и инженерной инфраструктуры</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Реестр собственников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Выполнять пересчет данных</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Договоры</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Общая площадь жилых помещений</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Ввод объема данных</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Электронный паспорт дворовой территории</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Поставщики услуг и ресурсов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Группировать</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Договор аренды общего имущества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Общая площадь нежилых помещений, кроме общего пользования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Согласование документа</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Работа с обращениями граждан</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Данные по ЖД</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Сортировать</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Договор оказания услуг</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Решение</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отчетов по заданным параметрам</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Социальная поддержка</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Региональная программа капитального ремонта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Формировать отчет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Договор по обращению ТКО</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Комментарий паспорту</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Настройки системы</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Электронный документ о деятельности ресурсоснабжающей организации</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Реестр общих собраний собственников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Вывод на печать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Договор поставки ресурсов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утверждения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Параметры системы</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Мониторинг качества услуг</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Конструктивные элементы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Логировать</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Договор работ по капитальному ремонту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Проверено ОМСУ - дата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Настройка групп доступа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Жилищная инспекция</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Иненерные системы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Контролировать формат ввода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Договор управления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создания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Контроль периода смены логина и пароля для входа в систему </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Целевые программы</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Энергетический паспорт</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Настройка интерфейсов таблиц</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Запросы о наличии, отсутствии задолженности за ЖКУ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редактирования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единого реестра собраний собственников</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Электронный паспорт объекта капитального ремонта</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Уборка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Отбирать данные</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Индивидуальные услуги ЛС</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исключения из жил.фонда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Предоставление доступа к веб приложению для организации</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программ капитального ремонта</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Капитальный ремонт</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Вычислять данные</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Интеграция с ГИС ЖКХ Информация о состоянии расчетов по договору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импорта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Выверка КР</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Электронный паспорт аварийного дома</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Сезонный осмотр</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Загружать файлы</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Информация о спец счете</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аннулирования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Ведение истории</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Учет программ и объектов капитального ремонта</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Износ</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Поиск  данных</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Квитирование</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Запрещено использовать - дата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Добавление МКД</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Подсистема ведения реестра собственников</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План осмотра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Передавать данные</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КПР</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последней успешной отправки в ГИС ЖКХ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Добавление организации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Подсистема общих собраний собственников</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Особый режим</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Распределять данные</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Лицевой счет</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Кол-во подъездов</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единого реестра обращений</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Подсистема сбора оперативной и статистической отчетности</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Помещения</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текущей даты</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Лицевой счет (импорт списка индивидуальных услуг)</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Причина исключения из жил.фонда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Подсистема «Единый центр регистрации заявок»</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Приборы учета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периода дат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Лицензии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Уникальный реестровый номер ГИС ЖКХ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списка приборов учета</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Претензионно-исковая работа</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Договоры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типа данных при вводе</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Новости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модификации ГИС ЖКХ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списка ЛС</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Функциональный блок «КРТ»</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Лицевые счета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Применение статусов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Объекты жилищного фонда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'ФИАС - код дома',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сведений по показаниям ПУ</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Функциональный блок «Тарифы»</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Категории состояния МКД</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Применение подсвечивания полей</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Объекты жилищного фонда договора по обращению ТКО</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Городской округ</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списка организаций</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Функциональный блок «Нормативы»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Информация о председателях и членах совета дома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Поиск данных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Объекты жилищного фонда договора поставки ресурсов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Создал</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реестра собственников</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Модуль согласования нормативов</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Новости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Фильтрация данных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Оплата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в ГИС ЖКХ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отчетности</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Подсистема мониторинга лицевых счетов</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Обращения граждан</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Добавление данных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Ответы на запросы о наличии, отсутствии задолженности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Климатическая зона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Рассылка уведомлений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Документы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Сохранение данных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Папорт ОКИИ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Проверено ОМСУ - пользователь</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Неактуальные паспорта домов - Необработанные ОМСУ</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Редактирование данных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Перерывы предоставления КУ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Тип документа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Выбор объектов и задание атрибутов для анализа</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Паспорт аварийного дома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Просмотр данных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Перечень услуг по дому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Отредактировал</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Построение иерархии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Паспорт дворовой территории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Пересчет данных данных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План выполнения по переченю услуг и работ</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ИНН</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Задание параметра отбора данных</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Паспорт ОКИИ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Вывод на печать данных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План проверок</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КПП</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Формы данных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Раскрытие информации УО</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Добавление договора социального найма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Платеж</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Год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Конструктор МКД</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Жилищная инспекция</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Просмотр  договора социального найма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Платежный документ</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Месяц</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Построение графиков и диаграмм</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Узлы ПУ</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Согласование  договора социального найма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Поверки ПУ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День</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Добавление сотрудника и настройка роли</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Связь параметров с ПУ</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Сохранение  договора социального найма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Показания ПУ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Заявитель</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Закрепление территорий за отделами</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Параметры ПУ</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Изменение  договора социального найма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Приборы учета по дому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Нормативная дата ответа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Шаблоны печатных форм документов</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Объекты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Утверждение  договора социального найма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Протокол голосования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Получатель</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Автоквитировыание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Регионы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Аннулирование  договора социального найма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Работа КПР</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Пароль пользователя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Удаление</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Начисления из ФКР</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Расторжение  договора социального найма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Работа фонда КР (информация по помещениям)</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Почта пользователя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Валидация</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Банковские платежи. История изменений</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Удаление   договора социального найма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Работа фонда КР (операции по счетам)</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Логин пользователя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связи объектов</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Опрос: Вопросы: Типы ответов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Редактирование паспорта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Перерасчеты по договору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Источник</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 доступа</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Статусы опросов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Просмотр паспорта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Результат проверки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Тема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Индексируемость</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Опрос: Вопросы: Ответы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Участие нанимателей в ОСС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Решения по КР</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Адрес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Лог выполнения событий  интеграционных обменов</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Опрос: Вопросы: Варианты ответов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Оформление ОСС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Сообщение о проведении ОСС</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Примечание к адресу</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архивных данных</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Опрос: Адреса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Администрирование ОСС по КРТ</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Список справочников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Тип собственника счета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Уникальность</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Поиск данных по тарифам</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Справочники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Состояние</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Обязательность</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Опрос: Данные по оценке для МО за неделю</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Фильтрация по тарифам</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Страховой продукт</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Способ формирования фонда кап.ремонта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Подготовка мероприятий по КРТ</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Неактуальные паспорта домов - Выведенные из эксплуатации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Просмотр данных по тарифам</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Счет РОКР</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Способ управления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данных по КРТ</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Аварийно-восстановительная бригада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Загрузка файлов</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Услуга управления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Тип проекта здания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Учет результатов КРТ</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 </w:t>
            </w:r>
            <w:r>
              <w:rPr>
                <w:rFonts w:eastAsia="Times New Roman" w:cs="Times New Roman"/>
                <w:color w:val="000000"/>
                <w:sz w:val="22"/>
                <w:szCs w:val="22"/>
                <w:lang w:eastAsia="ru-RU"/>
              </w:rPr>
              <w:t>Реестр по принятым схемам теплоснабжения, водоснабжения и водоотведения поселений, городских округов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Поиск данных по нормативам</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Устав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ID причины аннулирования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реестровых записей по КРТ</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Электронный документ о деятельности РСО</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Фильтрация по нормативам</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ГИС ЖКХ ЮЛ</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Запрещено использовать - пользователь</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Регистрация КРТ</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Целевая программа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Просмотр данных по нормативам</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Интеграция с АИС ГЖИ -  импорт паспортов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Тип дома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атрибутов КРТ</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Нормативно-правовые документы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Создание и настройка OLAP-кубов</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Архитектурное решение</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Признак блочности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Взаимосвязи между системами по КРТ</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Аналитика и Выборка по МКД</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Обновление данных в кубах</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Ведомственный жилой фонд</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Факт признания дома аварийным</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Отображение обязательности полей для ввода данных (в том числе цветовое)</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Журнал обращений граждан</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Визуализация данных</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внутридомовой системы отопления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Категория этажности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Проверка уникальности</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заявлений о выдаче судебных приказов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Настройка параметров отчетов</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водозаборного сооружения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Наименование (адрес)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Проверка обязательности</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Жилищная инспекция планы проверок</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Экспорт отчетов</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дворового участка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Не импортировать данные из АИС ГЖИ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Автоматизированные расчеты</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Жилищная инспекция Проверки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Реализация авторизации через ЕСИА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документа подтверждения класса энергетической эффективности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Категория дома по году постройки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ввода</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Лицензии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Ролевая модель доступа чрез ЕИСА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жилого помещения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Процент заполненности всего</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Вариативность</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Реестр сотрудников организаций</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Подписание данных ЭП</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здания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Процент заполненности обязательных для ГИС ЖКХ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Сбор и внесение данных по нормативам</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Разделение контуров доступа к системе</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Валидация подписанных данных ЭП</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земельного участка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Процент заполненности обязательных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Добавление НПА по тарифам</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Ролевая модель для пользователя</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Аналитические панели ("светофоры")</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коммунальной услуги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ID дома на портале Реформа ЖКХ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Добавление НПА по нормативам</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Ролевая модель для организации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Антирейтинг поставщиков</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коммунальных ресурсов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Не отправлять в ГИС ЖКХ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Построение OLAP-кубов</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Юридические лица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Отображение МКД и инфраструктуры</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конструктивного элемента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УО может отправлять решения КР в ГИС ЖКХ (не используется)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Актуальность договора по дате начала</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Обучающие материалы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Настройка слоев карты</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котла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Категория в зависимости от материала стен</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Актуальность договора по дате окончания</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Обратная связь</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Проверка актуальности данных оснований ЛС</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наружных стен</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Общий износ здания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Актуальность ЛС</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Физические лица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Автоматизированный мониторинг договоров</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несущей части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Год постройки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Анализ категории лицевого счета</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Адресный классификатор</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Выявление устаревших договоров</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общего собрания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Год ввода в эксплуатацию</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Бизнес-правила валидации ЛС</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Реестр адресов поставщика данных</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Автоматическое удаление неактуальных договоров</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объекта инфраструктуры</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Год комплексного кап.ремонта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Бизнес-правила валидации договоров</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Администрирование</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Пакетное чтение данных ЛС</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озеленения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Год реконструкции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Печать реестра по результат анализа ЛС</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Регистрация реквизитов и параметров ЗВСП</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Верификация полноты данных ЛС</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перекрытия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Фамилия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Печать реестра по результат анализа договоров</w:t>
            </w:r>
          </w:p>
        </w:tc>
      </w:tr>
      <w:tr>
        <w:trPr>
          <w:trHeight w:val="15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Направление запроса на получение вида сведений "Предоставление сведений о постановке на регистрационный учет"</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 </w:t>
            </w:r>
            <w:r>
              <w:rPr>
                <w:rFonts w:eastAsia="Times New Roman" w:cs="Times New Roman"/>
                <w:color w:val="000000"/>
                <w:sz w:val="22"/>
                <w:szCs w:val="22"/>
                <w:lang w:eastAsia="ru-RU"/>
              </w:rPr>
              <w:t>Контроль сроков действия договоров</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потребителя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Имя </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Вариативность выбора</w:t>
            </w:r>
          </w:p>
        </w:tc>
      </w:tr>
      <w:tr>
        <w:trPr>
          <w:trHeight w:val="15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ответа на запрос на получение вида сведений "Предоставление сведений о постановке на регистрационный учет"</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Поиск договора по адресу</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прибора учета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отчество</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Очередь отправки запроса</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Направление запроса на получение вида сведений "Предоставление сведений, содержащихся в ЕГРН"</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Выгрузка отчета по ЛС по результатам анализа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работ (услуг) по кап.ремонту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Телефон</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Очередь получения ответа</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ответа на запрос на получение вида сведений  "Предоставление сведений, содержащихся в ЕГРН"</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Отправка запроса в РСМЭВ для получения сведений по ИНН гражданина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работ (услуг) по управлению, содержанию и текущему ремонту дома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Электронная почта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Анализ получения ответа</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ответа от РСМЭВ для получения сведений по ИНН гражданина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работы</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документа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Анализ перечня услуг от УК и обновление справочника услуг, по которым можно подавать ЗВСП</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Функция направления запроса в РСМЭВ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Обмена данными с системой мировых судей: отправка запроса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разводки магистральной сети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Серия документа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Проверка сроков оказания услуг (УК/РСО)</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Разграничение прав доступа ЗВСП</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Обмена данными с системой мировых судей: получение ответа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разводки системы водоснабжения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СНИЛС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Автоматическое оснований для подачи ЗВСП</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Обновление Паспорта КРТ из ГИС УГД</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Обмена данными с системой нотариата: отправка запроса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системы вентиляции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Анализ лицензий УК</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Определение в ЕИАС ЖКХ МО перечня МКД на территории комплексного развития</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Обмена данными с системой нотариата: получение ответа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спортивной площадки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Физ. лицо / юр. лицо</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Анализ пересечения периодов управления УК и ЗВСП</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Передача из ЕИАС в ГИС УГД сведений о паспортах МКД на территории комплексного развития</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Обмена данными с системой почты России: отправка запроса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средств размещения информации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Площадь собственности, кв.м.</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Определение подсудности</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Отправка протоколов ОСС по МКД в ГИС УГД</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Обмена данными с системой почты России: получение ответа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теплоносителя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контактного телефона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Выбор реквизитов госпошлины</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Ведение реестра протоколов ОСС по МКД в ГИС УГД</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Обмена данными с системой ФНС в части получения сведений ЕРН</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топлива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документа на право собственности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Редактирование реквизитов госпошлины</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Разграничение прав доступа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Направление запроса в систему ФНС по ЕРН</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Виды площадей</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прекращения прав</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Валидация создания ЗВСП в зависимости от периода управления</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Регистрация реквизитов и параметров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ответа системы ФНС по ЕРН</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Виды услуг. Дополнительные услуги (SERVICEID)</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Состояние записи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наличия ЗВСП по одному ЛС</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тарифов из АИС Тариф в ЕИАС ЖКХ МО</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Направление запроса в систему ЗАГС о состоянии жизни или смерти гражданина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Виды услуг. Жилищные услуги (SERVICEID)</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Идентификатор</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наличия платежных реквизитов</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Передача  тарифов из ЕИАС ЖКХ МО в ГИС ЖКХ</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ответа системы ЗАГС о состоянии жизни или смерти гражданина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Виды услуг. Жилищные услуги (SERVICETYPEID)</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Квартира (помещение), комната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Анализ полученной даты смерти гражданина</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нормативов в ЕИАС ЖКХ МО из АИС ГЖИ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Взаимодействия с платежным шлюзом</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Виды услуг. Коммунальные услуги (SERVICEID)</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Юр. лицо</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Анализ МЧД</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атрибутов для расчета нормативов в ЕИАС ЖКХ МО из АИС ГЖИ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Отключение автоматического расчета госпошлины</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электростанции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Адрес жилого или нежилого помещения члена товарищества, кооператива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Перечень предоставляемых полномочий МЧД</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Расчёт нормативов в ЕИАС ЖКХ МО</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Включение автоматического расчета госпошлины</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элемента дворовой территории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Ссылка на log</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Объекты, в отношении которых действуют полномочия МЧД</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Обмен данными по нормативам между системами поставщиков услуг Московской области и ЕИАС ЖКХ МО.</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Отслеживание жизненного цикла платежа</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элементов освещения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Физ. лицо</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Ограничения по полномочиям в МЧД</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Регистрация данных по нормативам</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Изменение статуса оплаты госпошлины</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Группа видов работ (услуг) по кап.ремонту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Юридическое лицо</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Ведение реестра нормативов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Группа капитальности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документа на право собственности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Передача нормативов в АИС Тариф</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Диаметр запорной арматуры</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собственности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Управление OLAP-кубами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Ед. измерения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Тип доли в праве собственности на помещение: 0 - Долевая, 1 - Совместная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Визуализация ЭП</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Единицы измерения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Выдан</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Скачивание файла ЭП</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Источник ресурса в системе горячего водоснабжения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Зафиксированное наименование помещения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Автоматизированное сканирование оснований ЛС</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Источник финансирования программы</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Зафиксированное наименование собственника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статусов договоров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Нормативы</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E-mail</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Управление неактуальными договорами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Категория историко-культурного значения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документа на право собственности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Обработка ошибок при размещении ЛС</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Классификатор видов использования земель</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мобильный телефон</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статусов ЛС</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Класс энергетической эффективности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Размер доли в праве общей собственности на общее имущество в многоквартирном доме</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Управление жизненным циклом ЛС</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Конструктивное решение крыши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Размер доли в праве собственности на помещение</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Верификация договорных обязательств</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Конструкция балкона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собственник имеет права на льготы</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Сканирование на наличие договора в основании ЛС по условным видам услуг</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КПР</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собственник состоит на учете по улучшению жилищных условий</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Поиск поставщика в системе по ОГРН</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балок перекрытий</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Уникальный идентификатор</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Отправка ЛС в статусе «изменение»</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внутридомовой инженерной системы водоотведения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Место или адрес ознакомления с информацией</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Выведение ошибки по всем лицевым счетам адреса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входной площадки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Основание изменения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Удаление неактуального договора из основания ЛС</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дверей</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Порядок приёма оформленных в письменной форме решений собственников</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Формирование отчета по ЛС по результатам анализа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дымовентиляционных стояков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и время проведения собрания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сведений по ИНН гражданина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кабелей</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составления протокола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Передача сведений по ЗВСП с систему мировых судей</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козырька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начала приема решений</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Передача сведений по ЗВСП с систему нотариата</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колонн и столбов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окончания приема решений</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Передача сведений по ЗВСП с систему почты России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кровельных элементов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Поставщик информации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сведений из единого реестра населения</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кровли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Правомочность собрания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Обработка сведений из единого реестра населения</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лестницы</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Форма проведения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Расчет госпошлины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наружных дверей</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собрания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Оплата госпошлины посредством системы</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наружных стен</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Проверка МЧД</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несущих стен</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Порядок ознакомления с информацией</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Получение сведений из ЗАГС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ограждения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Имеется ошибка передачи в ГИС ЖКХ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Обработка сведений из ЗАГС</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ограждения балконов, лоджий</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протокола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Мониторинг способа получения ЕПД гражданами</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окон</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Признак отсутствия отправки в ГИС ЖКХ</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основания покрытия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Место проведения собрания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отделки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Порядок и место приема решения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отделки потолка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Причина отклонения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отделки стен</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Голосование с использованием системы</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отделки фасада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Вопрос повестки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отделки цоколя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вопроса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отделочных покрытий</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Предложение по повестке</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отмостки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Тип вопроса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пароизоляции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Даты заявки </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перекрытий</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заявки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покрытия козырька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лицевого счета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пола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квартиры/помещения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пола по грунту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акта сверки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сети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создания записи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стен</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последнего изменения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стояка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ФИО должника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стропил</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теплоизоляции сети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Файл акта сверки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фундамента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Файл судебного решения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чердачного перекрытия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акта сверки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Материал элементов</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судебного решения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Меж поверочный интервал</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вступления в силу судебного решения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Место воздухоотведения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судебного решения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Место поступления воздуха</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Краткое наименование судебного органа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Месяцы</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Полное наименование судебного органа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Назначение зданий</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Наименование для оплаты госпошлины</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Назначение здания (сооружения)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ИНН для оплаты госпошлины</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Назначение нежилого помещения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КПП для оплаты госпошлины</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Назначение помещения</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Лицевой счет</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Направление передачи</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Вид задолженности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НСИ 62. Способ формирования фонда КР</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Начало периода долга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Уровень размещения ИПУ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ИНН гражданина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 размещения показаний ИПУ</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Направлено ходатайство о направлении ИД в ФССП </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Полнота размещения платёжных документов со всеми ЖКУ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Сведения о направлении ходатайства ИД в ФССП</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Наличие общедомовых приборов учета тепловой энергии на нужды отопления и ГВС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Наличие общедомовых приборов учета тепловой энергии на нужды отопления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Наличие общедомовых приборов учета тепловой энергии на нужды ГВС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Серия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Наличие водонагревателей для целей ГВС при отсутствии централизованного (газ/электроэнергия/иное)</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Выписка ЕГРЮЛ</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Выписка ЕГРН</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Госпошлина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Кредитная организация</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БИК</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Расчетный счет</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12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Наличие отопительных установок при отсутствии централизованного отопления (газ/электроэнергия/иное)</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Адрес территории КР</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 </w:t>
            </w:r>
            <w:r>
              <w:rPr>
                <w:rFonts w:eastAsia="Times New Roman" w:cs="Times New Roman"/>
                <w:color w:val="000000"/>
                <w:sz w:val="22"/>
                <w:szCs w:val="22"/>
                <w:lang w:eastAsia="ru-RU"/>
              </w:rPr>
              <w:t>Платежные реквизиты</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Площадь территории, подлежащей комплексному развитию</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сметри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окончания доверенности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выдачи доверенности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Уникальный идентификатор МЧД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МЧД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Представитель (Поверенный) в МЧД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Доверитель (Представляемый) в МЧД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Владелец сертификата МЧД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Срок действия сертификата КЭП в МЧД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Удостоверяющий центр в МЧД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ссылка на запись в реестре МЧД ФНС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Фискальные атрибуты (для чека)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последней успешной синхронизации с ЕРН</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оплаты госпошлины</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ОКТМО судебного участка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оплаты госпошлины</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лицевого счета гражданина, перешедшего на ЭЕПД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ФИО гражданина, перешедшего на ЭЕПД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Адрес МКД (Идентификатор ГАР) гражданина, перешедшего на ЭЕПД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Тип помещения гражданина, перешедшего на ЭЕПД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помещения гражданина, перешедшего на ЭЕПД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решения гражданина, перешедшего на ЭЕПД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Способ получения ЕПД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получения/исправления гражданина, перешедшего на ЭЕПД</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автоматически проанализированного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Адрес автоматически проанализированного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автоматически проанализированного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автоматически проанализированного договора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автоматически проанализированного договора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начала автоматически проанализированного договора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окончания автоматически проанализированного договора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Код ошибки автоматически проанализированного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Описание ошибки автоматически проанализированного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Флаг актуальности договора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Флаг актуальности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проверки актуальности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Дата проверки актуальности договора </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Идентификатор пользователя, запустившего процесс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автоматизированной проверки</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Порядковый номер по результат анализа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ЛС по результат анализа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Адрес ЛС по результат анализа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ЛС по результат анализа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Ошибка ЛС по результат анализа ЛС</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Порядковый номер по результат анализа договора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Номер договора по результат анализа договоров</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договора по результат анализа договоров</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Ошибка договора по результат анализа договоров</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Учетные данные ЕСИА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Наименование норматива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Электронная подпись</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Хэш документа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171"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18"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26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306"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510"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 норматива</w:t>
            </w:r>
          </w:p>
        </w:tc>
        <w:tc>
          <w:tcPr>
            <w:tcW w:w="269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bl>
    <w:p>
      <w:pPr>
        <w:pStyle w:val="--2"/>
        <w:jc w:val="start"/>
        <w:rPr/>
      </w:pPr>
      <w:r>
        <w:rPr/>
      </w:r>
    </w:p>
    <w:p>
      <w:pPr>
        <w:pStyle w:val="--2"/>
        <w:jc w:val="start"/>
        <w:rPr/>
      </w:pPr>
      <w:r>
        <w:rPr/>
      </w:r>
    </w:p>
    <w:p>
      <w:pPr>
        <w:pStyle w:val="--2"/>
        <w:jc w:val="start"/>
        <w:rPr/>
      </w:pPr>
      <w:r>
        <w:rPr/>
      </w:r>
    </w:p>
    <w:p>
      <w:pPr>
        <w:pStyle w:val="--2"/>
        <w:jc w:val="start"/>
        <w:rPr/>
      </w:pPr>
      <w:r>
        <w:rPr/>
      </w:r>
    </w:p>
    <w:p>
      <w:pPr>
        <w:pStyle w:val="--2"/>
        <w:jc w:val="start"/>
        <w:rPr/>
      </w:pPr>
      <w:r>
        <w:rPr/>
        <w:t>Развиваемые функции</w:t>
      </w:r>
    </w:p>
    <w:tbl>
      <w:tblPr>
        <w:tblW w:w="15158"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2029"/>
        <w:gridCol w:w="2171"/>
        <w:gridCol w:w="2913"/>
        <w:gridCol w:w="2013"/>
        <w:gridCol w:w="3347"/>
        <w:gridCol w:w="2685"/>
      </w:tblGrid>
      <w:tr>
        <w:trPr>
          <w:tblHeader w:val="true"/>
          <w:trHeight w:val="1215" w:hRule="atLeast"/>
        </w:trPr>
        <w:tc>
          <w:tcPr>
            <w:tcW w:w="2029" w:type="dxa"/>
            <w:tcBorders>
              <w:top w:val="single" w:sz="8" w:space="0" w:color="000000"/>
              <w:start w:val="single" w:sz="8" w:space="0" w:color="000000"/>
              <w:bottom w:val="single" w:sz="8" w:space="0" w:color="000000"/>
              <w:end w:val="single" w:sz="8"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S</w:t>
              <w:br/>
              <w:t>наименование подсистем ИС (Subsystem)</w:t>
            </w:r>
          </w:p>
        </w:tc>
        <w:tc>
          <w:tcPr>
            <w:tcW w:w="2171" w:type="dxa"/>
            <w:tcBorders>
              <w:top w:val="single" w:sz="8" w:space="0" w:color="000000"/>
              <w:bottom w:val="single" w:sz="8" w:space="0" w:color="000000"/>
              <w:end w:val="single" w:sz="8"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F</w:t>
              <w:br/>
              <w:t>наименование функций подсистем ИС (Function)</w:t>
            </w:r>
          </w:p>
        </w:tc>
        <w:tc>
          <w:tcPr>
            <w:tcW w:w="2913" w:type="dxa"/>
            <w:tcBorders>
              <w:top w:val="single" w:sz="8" w:space="0" w:color="000000"/>
              <w:bottom w:val="single" w:sz="8" w:space="0" w:color="000000"/>
              <w:end w:val="single" w:sz="8"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T</w:t>
              <w:br/>
              <w:t>наименование микрофункций (возможностей функций) ИС (Tool)</w:t>
            </w:r>
          </w:p>
        </w:tc>
        <w:tc>
          <w:tcPr>
            <w:tcW w:w="2013" w:type="dxa"/>
            <w:tcBorders>
              <w:top w:val="single" w:sz="8" w:space="0" w:color="000000"/>
              <w:bottom w:val="single" w:sz="8" w:space="0" w:color="000000"/>
              <w:end w:val="single" w:sz="8"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E</w:t>
              <w:br/>
              <w:t>наименование уникальных информационных объектов ИС (Entity)</w:t>
            </w:r>
          </w:p>
        </w:tc>
        <w:tc>
          <w:tcPr>
            <w:tcW w:w="3347" w:type="dxa"/>
            <w:tcBorders>
              <w:top w:val="single" w:sz="8" w:space="0" w:color="000000"/>
              <w:bottom w:val="single" w:sz="8" w:space="0" w:color="000000"/>
              <w:end w:val="single" w:sz="8"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A</w:t>
              <w:br/>
              <w:t>наименование атрибутов информационных объектов ИС (Attribute)</w:t>
            </w:r>
          </w:p>
        </w:tc>
        <w:tc>
          <w:tcPr>
            <w:tcW w:w="2685" w:type="dxa"/>
            <w:tcBorders>
              <w:top w:val="single" w:sz="8" w:space="0" w:color="000000"/>
              <w:bottom w:val="single" w:sz="8" w:space="0" w:color="000000"/>
              <w:end w:val="single" w:sz="8"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P</w:t>
              <w:br/>
              <w:t>наименование свойств атрибутов информационных объектов ИС (Properties)</w:t>
            </w:r>
          </w:p>
        </w:tc>
      </w:tr>
      <w:tr>
        <w:trPr>
          <w:trHeight w:val="315" w:hRule="atLeast"/>
        </w:trPr>
        <w:tc>
          <w:tcPr>
            <w:tcW w:w="2029" w:type="dxa"/>
            <w:tcBorders>
              <w:start w:val="single" w:sz="8" w:space="0" w:color="000000"/>
              <w:bottom w:val="single" w:sz="8"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3</w:t>
            </w:r>
          </w:p>
        </w:tc>
        <w:tc>
          <w:tcPr>
            <w:tcW w:w="2171" w:type="dxa"/>
            <w:tcBorders>
              <w:start w:val="single" w:sz="8" w:space="0" w:color="000000"/>
              <w:bottom w:val="single" w:sz="8"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7</w:t>
            </w:r>
          </w:p>
        </w:tc>
        <w:tc>
          <w:tcPr>
            <w:tcW w:w="2913" w:type="dxa"/>
            <w:tcBorders>
              <w:start w:val="single" w:sz="8" w:space="0" w:color="000000"/>
              <w:bottom w:val="single" w:sz="8"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16</w:t>
            </w:r>
          </w:p>
        </w:tc>
        <w:tc>
          <w:tcPr>
            <w:tcW w:w="2013" w:type="dxa"/>
            <w:tcBorders>
              <w:start w:val="single" w:sz="8" w:space="0" w:color="000000"/>
              <w:bottom w:val="single" w:sz="8"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7</w:t>
            </w:r>
          </w:p>
        </w:tc>
        <w:tc>
          <w:tcPr>
            <w:tcW w:w="3347" w:type="dxa"/>
            <w:tcBorders>
              <w:start w:val="single" w:sz="8" w:space="0" w:color="000000"/>
              <w:bottom w:val="single" w:sz="8" w:space="0" w:color="000000"/>
              <w:end w:val="single" w:sz="4"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42</w:t>
            </w:r>
          </w:p>
        </w:tc>
        <w:tc>
          <w:tcPr>
            <w:tcW w:w="2685" w:type="dxa"/>
            <w:tcBorders>
              <w:start w:val="single" w:sz="8" w:space="0" w:color="000000"/>
              <w:bottom w:val="single" w:sz="8" w:space="0" w:color="000000"/>
              <w:end w:val="single" w:sz="8" w:space="0" w:color="000000"/>
            </w:tcBorders>
            <w:shd w:color="auto" w:fill="auto" w:val="clear"/>
            <w:vAlign w:val="center"/>
          </w:tcPr>
          <w:p>
            <w:pPr>
              <w:pStyle w:val="Normal"/>
              <w:spacing w:lineRule="auto" w:line="240"/>
              <w:ind w:hanging="0"/>
              <w:jc w:val="center"/>
              <w:rPr>
                <w:rFonts w:eastAsia="Times New Roman" w:cs="Times New Roman"/>
                <w:b/>
                <w:bCs/>
                <w:color w:val="000000"/>
                <w:sz w:val="22"/>
                <w:szCs w:val="22"/>
                <w:lang w:eastAsia="ru-RU"/>
              </w:rPr>
            </w:pPr>
            <w:r>
              <w:rPr>
                <w:rFonts w:eastAsia="Times New Roman" w:cs="Times New Roman"/>
                <w:b/>
                <w:bCs/>
                <w:color w:val="000000"/>
                <w:sz w:val="22"/>
                <w:szCs w:val="22"/>
                <w:lang w:eastAsia="ru-RU"/>
              </w:rPr>
              <w:t>18</w:t>
            </w:r>
          </w:p>
        </w:tc>
      </w:tr>
      <w:tr>
        <w:trPr>
          <w:trHeight w:val="9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Модуль рабочее место</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Авторизация и управление доступом</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История изменений нормативов</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Норматив</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Городской округ</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Уникальный идентификатор, ролевая модель</w:t>
            </w:r>
          </w:p>
        </w:tc>
      </w:tr>
      <w:tr>
        <w:trPr>
          <w:trHeight w:val="12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Модуль согласования нормативов</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 дисциплины поставщиков данных</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Преобразование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Реестр нормативов</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ЗАТО</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Права доступа к модулям</w:t>
            </w:r>
          </w:p>
        </w:tc>
      </w:tr>
      <w:tr>
        <w:trPr>
          <w:trHeight w:val="9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Мобильная  версия личного кабинета организации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Визуализация данных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Отклонение</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 размещения решений о выборе способа</w:t>
              <w:br/>
              <w:t>формирования ФКР</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Единица измерения норматива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подписания</w:t>
            </w:r>
          </w:p>
        </w:tc>
      </w:tr>
      <w:tr>
        <w:trPr>
          <w:trHeight w:val="9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Мониторинг заполнения сведений по кап. Ремонту</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Ввод/добавление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Уровень размещения работ в КПР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Комментарий</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Контрольная сумма, история изменений</w:t>
            </w:r>
          </w:p>
        </w:tc>
      </w:tr>
      <w:tr>
        <w:trPr>
          <w:trHeight w:val="9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Просмотр утверждённых нормативов</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Просмотр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 размещения остатков на всех счетах для</w:t>
              <w:br/>
              <w:t xml:space="preserve">формирования фонда КР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w:t>
              <w:br/>
              <w:t xml:space="preserve">размещения работ в КПР </w:t>
              <w:br/>
              <w:t>работ в РП и КПР</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Полнота данных</w:t>
            </w:r>
          </w:p>
        </w:tc>
      </w:tr>
      <w:tr>
        <w:trPr>
          <w:trHeight w:val="18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Ведение ведомственного контроля занесения данных поставщиками информации</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Изменение/редактирование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 размещения остатков на всех счетах ФКР</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w:t>
              <w:br/>
              <w:t>размещения остатков на всех счетах для</w:t>
              <w:br/>
              <w:t xml:space="preserve">формирования фонда КР </w:t>
              <w:br/>
              <w:t>решений по</w:t>
              <w:br/>
              <w:t>кап.ремонту</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Дата </w:t>
            </w:r>
          </w:p>
        </w:tc>
      </w:tr>
      <w:tr>
        <w:trPr>
          <w:trHeight w:val="12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Мобильная адаптация</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Просмотр статуса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 размещения остатков на специальных счетах УО /</w:t>
              <w:br/>
              <w:t xml:space="preserve">ТСЖ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w:t>
              <w:br/>
              <w:t>размещения  остатков на всех счетах ФКР</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Статус</w:t>
            </w:r>
          </w:p>
        </w:tc>
      </w:tr>
      <w:tr>
        <w:trPr>
          <w:trHeight w:val="12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Прикрепление файлов</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w:t>
              <w:br/>
              <w:t>размещения</w:t>
              <w:br/>
              <w:t>остатков на</w:t>
              <w:br/>
              <w:t>котловых счетах ФКР</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Фильтры, прозрачность</w:t>
            </w:r>
          </w:p>
        </w:tc>
      </w:tr>
      <w:tr>
        <w:trPr>
          <w:trHeight w:val="12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Обновление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w:t>
              <w:br/>
              <w:t>размещения</w:t>
              <w:br/>
              <w:t>остатков на</w:t>
              <w:br/>
              <w:t>специальных счетах</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создания</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Передача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Тип</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Время изменения</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Получение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начала действия норматива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Формирование реестра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Импорт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окончания действия норматива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Список допустимых значений (выпадающий список)</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Экспорт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Величина норматива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Автоматическое вычисление данных на панелях</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Сортировка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Позиция в рейтинге начислений взносов на КР</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Зависимость от других атрибутов</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Фильтрация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Размер взноса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Печать реестра нормативов</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Удаление данных</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норматива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Визуализация дашбордов</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отклонения нормативов</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Выбор фильтра на дашборде</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утверждения нормативов</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xml:space="preserve">Анализ связи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Наименование НПА утвержденного норматива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Дата утверждения нормативов</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Наименование НПА утвержденного норматива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МКД со всеми заполненными техническими характеристиками</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Средний уровень заполнения технических характеристик в МКД</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Доля домов со всеми необходимыми договорами ЖКУ</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 размещения договоров управления и уставов ТСЖ</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9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Уровень размещения решений о выборе способа формирования капитального ремонта;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Уровень включения работ в КПР;</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Уровень размещения остатков на счетах для формирования фонда;</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Уровень размещения остатков на котловых счетах ФКР;</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Уровень размещения остатков на специальных счетах ФКР;</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Уровень размещения размеров фонда по МКД;</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Доля МКД с кадастровыми номерами</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Доля помещений в МКД с кадастровыми номерами;</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Доля МКД со 100% размещением кадастровых номеров помещений;</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Доля ЖД кадастровых номеров;</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Доля комнат МКД с КН</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Уровень размещения договоров ТКО;</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Уровень размещения договоров РСО;</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Уровень размещения сведений о коммунальных услугах</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3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Courier New" w:cs="Times New Roman"/>
                <w:color w:val="000000"/>
                <w:sz w:val="22"/>
                <w:szCs w:val="22"/>
                <w:lang w:eastAsia="ru-RU"/>
              </w:rPr>
              <w:t>Доля МКД с кадастровыми номерами</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Доля помещений в МКД с кадастровыми номерами</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r>
        <w:trPr>
          <w:trHeight w:val="600" w:hRule="atLeast"/>
        </w:trPr>
        <w:tc>
          <w:tcPr>
            <w:tcW w:w="2029" w:type="dxa"/>
            <w:tcBorders>
              <w:start w:val="single" w:sz="4" w:space="0" w:color="000000"/>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171"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9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2013"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c>
          <w:tcPr>
            <w:tcW w:w="3347"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Доля МКД со 100% размещением кадастровых номеров помещений</w:t>
            </w:r>
          </w:p>
        </w:tc>
        <w:tc>
          <w:tcPr>
            <w:tcW w:w="2685" w:type="dxa"/>
            <w:tcBorders>
              <w:bottom w:val="single" w:sz="4" w:space="0" w:color="000000"/>
              <w:end w:val="single" w:sz="4" w:space="0" w:color="000000"/>
            </w:tcBorders>
            <w:shd w:color="auto" w:fill="auto" w:val="clear"/>
            <w:vAlign w:val="bottom"/>
          </w:tcPr>
          <w:p>
            <w:pPr>
              <w:pStyle w:val="Normal"/>
              <w:spacing w:lineRule="auto" w:line="240"/>
              <w:ind w:hanging="0"/>
              <w:jc w:val="start"/>
              <w:rPr>
                <w:rFonts w:eastAsia="Times New Roman" w:cs="Times New Roman"/>
                <w:color w:val="000000"/>
                <w:sz w:val="22"/>
                <w:szCs w:val="22"/>
                <w:lang w:eastAsia="ru-RU"/>
              </w:rPr>
            </w:pPr>
            <w:r>
              <w:rPr>
                <w:rFonts w:eastAsia="Times New Roman" w:cs="Times New Roman"/>
                <w:color w:val="000000"/>
                <w:sz w:val="22"/>
                <w:szCs w:val="22"/>
                <w:lang w:eastAsia="ru-RU"/>
              </w:rPr>
              <w:t> </w:t>
            </w:r>
          </w:p>
        </w:tc>
      </w:tr>
    </w:tbl>
    <w:p>
      <w:pPr>
        <w:sectPr>
          <w:type w:val="nextPage"/>
          <w:pgSz w:orient="landscape" w:w="16838" w:h="11906"/>
          <w:pgMar w:left="993" w:right="1134" w:gutter="0" w:header="0" w:top="1701" w:footer="0" w:bottom="850"/>
          <w:pgNumType w:fmt="decimal"/>
          <w:formProt w:val="false"/>
          <w:textDirection w:val="lrTb"/>
          <w:docGrid w:type="default" w:linePitch="381" w:charSpace="0"/>
        </w:sectPr>
      </w:pPr>
    </w:p>
    <w:p>
      <w:pPr>
        <w:pStyle w:val="--2"/>
        <w:rPr/>
      </w:pPr>
      <w:r>
        <w:rPr/>
      </w:r>
    </w:p>
    <w:p>
      <w:pPr>
        <w:pStyle w:val="Heading4"/>
        <w:numPr>
          <w:ilvl w:val="2"/>
          <w:numId w:val="18"/>
        </w:numPr>
        <w:ind w:firstLine="709" w:start="0"/>
        <w:rPr>
          <w:i/>
          <w:iCs/>
        </w:rPr>
      </w:pPr>
      <w:r>
        <w:rPr/>
        <w:t>Требования к способам и средствам обеспечения информационного взаимодействия компонентов Системы</w:t>
      </w:r>
    </w:p>
    <w:p>
      <w:pPr>
        <w:pStyle w:val="Normal"/>
        <w:rPr>
          <w:lang w:eastAsia="ru-RU"/>
        </w:rPr>
      </w:pPr>
      <w:r>
        <w:rPr>
          <w:lang w:eastAsia="ru-RU"/>
        </w:rPr>
        <w:t>Способы и средства обеспечения информационного взаимодействия должны быть предложены Подрядчиком и представлены в проектной документации.</w:t>
      </w:r>
    </w:p>
    <w:p>
      <w:pPr>
        <w:pStyle w:val="Heading4"/>
        <w:numPr>
          <w:ilvl w:val="2"/>
          <w:numId w:val="18"/>
        </w:numPr>
        <w:ind w:firstLine="709" w:start="0"/>
        <w:rPr>
          <w:i/>
          <w:iCs/>
        </w:rPr>
      </w:pPr>
      <w:r>
        <w:rPr/>
        <w:t>Требования к характеристикам взаимосвязей создаваемой Системы со смежными информационными системами, требования к интероперабельности, требования к ее совместимости, в том числе указания о способах обмена информацией</w:t>
      </w:r>
    </w:p>
    <w:p>
      <w:pPr>
        <w:pStyle w:val="Normal"/>
        <w:rPr>
          <w:lang w:eastAsia="ru-RU"/>
        </w:rPr>
        <w:sectPr>
          <w:type w:val="nextPage"/>
          <w:pgSz w:w="11906" w:h="16838"/>
          <w:pgMar w:left="1701" w:right="850" w:gutter="0" w:header="0" w:top="1134" w:footer="0" w:bottom="993"/>
          <w:pgNumType w:fmt="decimal"/>
          <w:formProt w:val="false"/>
          <w:textDirection w:val="lrTb"/>
          <w:docGrid w:type="default" w:linePitch="360" w:charSpace="0"/>
        </w:sectPr>
      </w:pPr>
      <w:r>
        <w:rPr>
          <w:lang w:eastAsia="ru-RU"/>
        </w:rPr>
        <w:t>Сведения о взаимосвязях между подсистемами Системы, между подсистемами Системы и внешними информационными системами, а также о текущем составе и характеристиках потоков, данных между подсистемами Системы, между подсистемами Системы и внешними информационными системами до начала выполнения работ по развитию Системы приведены в (</w:t>
      </w:r>
      <w:r>
        <w:rPr>
          <w:lang w:eastAsia="ru-RU"/>
        </w:rPr>
        <w:fldChar w:fldCharType="begin"/>
      </w:r>
      <w:r>
        <w:rPr>
          <w:lang w:eastAsia="ru-RU"/>
        </w:rPr>
        <w:instrText xml:space="preserve"> REF _Ref199244292 \h </w:instrText>
      </w:r>
      <w:r>
        <w:rPr>
          <w:lang w:eastAsia="ru-RU"/>
        </w:rPr>
        <w:fldChar w:fldCharType="separate"/>
      </w:r>
      <w:r>
        <w:rPr>
          <w:lang w:eastAsia="ru-RU"/>
        </w:rPr>
        <w:t>Таблица 6</w:t>
      </w:r>
      <w:r>
        <w:rPr>
          <w:lang w:eastAsia="ru-RU"/>
        </w:rPr>
        <w:fldChar w:fldCharType="end"/>
      </w:r>
      <w:r>
        <w:rPr>
          <w:lang w:eastAsia="ru-RU"/>
        </w:rPr>
        <w:t>).</w:t>
      </w:r>
    </w:p>
    <w:p>
      <w:pPr>
        <w:pStyle w:val="--2"/>
        <w:rPr/>
      </w:pPr>
      <w:bookmarkStart w:id="22" w:name="_Ref199244292"/>
      <w:r>
        <w:rPr/>
        <w:t xml:space="preserve">Таблица </w:t>
      </w:r>
      <w:r>
        <w:rPr/>
        <w:fldChar w:fldCharType="begin"/>
      </w:r>
      <w:r>
        <w:rPr/>
        <w:instrText xml:space="preserve"> SEQ Таблица \* ARABIC </w:instrText>
      </w:r>
      <w:r>
        <w:rPr/>
        <w:fldChar w:fldCharType="separate"/>
      </w:r>
      <w:r>
        <w:rPr/>
        <w:t>6</w:t>
      </w:r>
      <w:r>
        <w:rPr/>
        <w:fldChar w:fldCharType="end"/>
      </w:r>
      <w:bookmarkEnd w:id="22"/>
      <w:r>
        <w:rPr/>
        <w:t xml:space="preserve"> – Взаимосвязи Системы</w:t>
      </w:r>
    </w:p>
    <w:tbl>
      <w:tblPr>
        <w:tblW w:w="14879"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583"/>
        <w:gridCol w:w="2105"/>
        <w:gridCol w:w="6047"/>
        <w:gridCol w:w="2836"/>
        <w:gridCol w:w="1418"/>
        <w:gridCol w:w="1890"/>
      </w:tblGrid>
      <w:tr>
        <w:trPr>
          <w:tblHeader w:val="true"/>
        </w:trPr>
        <w:tc>
          <w:tcPr>
            <w:tcW w:w="58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 xml:space="preserve">№ </w:t>
            </w:r>
            <w:r>
              <w:rPr>
                <w:lang w:eastAsia="ru-RU"/>
              </w:rPr>
              <w:t>п/п</w:t>
            </w:r>
          </w:p>
        </w:tc>
        <w:tc>
          <w:tcPr>
            <w:tcW w:w="2105"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Наименование подсистемы системы (внешней системы) – источника</w:t>
            </w:r>
          </w:p>
        </w:tc>
        <w:tc>
          <w:tcPr>
            <w:tcW w:w="6047"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 xml:space="preserve">Состав потоков данных </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Характеристики потоков данных</w:t>
            </w:r>
          </w:p>
        </w:tc>
        <w:tc>
          <w:tcPr>
            <w:tcW w:w="1418"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Уровень конфиденциальности</w:t>
            </w:r>
          </w:p>
        </w:tc>
        <w:tc>
          <w:tcPr>
            <w:tcW w:w="1890"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Наименование подсистемы системы (внешней системы) – получателя</w:t>
            </w:r>
          </w:p>
        </w:tc>
      </w:tr>
      <w:tr>
        <w:trPr>
          <w:trHeight w:val="1603" w:hRule="atLeast"/>
        </w:trPr>
        <w:tc>
          <w:tcPr>
            <w:tcW w:w="583" w:type="dxa"/>
            <w:tcBorders>
              <w:top w:val="single" w:sz="4" w:space="0" w:color="000000"/>
              <w:start w:val="single" w:sz="4" w:space="0" w:color="000000"/>
              <w:end w:val="single" w:sz="4" w:space="0" w:color="000000"/>
            </w:tcBorders>
          </w:tcPr>
          <w:p>
            <w:pPr>
              <w:pStyle w:val="Normal"/>
              <w:rPr>
                <w:lang w:eastAsia="ru-RU"/>
              </w:rPr>
            </w:pPr>
            <w:r>
              <w:rPr>
                <w:lang w:eastAsia="ru-RU"/>
              </w:rPr>
              <w:t>1</w:t>
            </w:r>
          </w:p>
        </w:tc>
        <w:tc>
          <w:tcPr>
            <w:tcW w:w="2105" w:type="dxa"/>
            <w:tcBorders>
              <w:top w:val="single" w:sz="4" w:space="0" w:color="000000"/>
              <w:start w:val="single" w:sz="4" w:space="0" w:color="000000"/>
              <w:end w:val="single" w:sz="4" w:space="0" w:color="000000"/>
            </w:tcBorders>
          </w:tcPr>
          <w:p>
            <w:pPr>
              <w:pStyle w:val="Normal"/>
              <w:ind w:hanging="0"/>
              <w:rPr>
                <w:lang w:eastAsia="ru-RU"/>
              </w:rPr>
            </w:pPr>
            <w:r>
              <w:rPr>
                <w:lang w:eastAsia="ru-RU"/>
              </w:rPr>
              <w:t>Федеральная информационная адресная система (далее – ФИАС)</w:t>
            </w:r>
          </w:p>
          <w:p>
            <w:pPr>
              <w:pStyle w:val="Normal"/>
              <w:rPr>
                <w:lang w:eastAsia="ru-RU"/>
              </w:rPr>
            </w:pPr>
            <w:r>
              <w:rPr>
                <w:lang w:eastAsia="ru-RU"/>
              </w:rPr>
            </w:r>
          </w:p>
        </w:tc>
        <w:tc>
          <w:tcPr>
            <w:tcW w:w="6047" w:type="dxa"/>
            <w:tcBorders>
              <w:top w:val="single" w:sz="4" w:space="0" w:color="000000"/>
              <w:start w:val="single" w:sz="4" w:space="0" w:color="000000"/>
              <w:end w:val="single" w:sz="4" w:space="0" w:color="000000"/>
            </w:tcBorders>
          </w:tcPr>
          <w:p>
            <w:pPr>
              <w:pStyle w:val="ListParagraph"/>
              <w:numPr>
                <w:ilvl w:val="0"/>
                <w:numId w:val="4"/>
              </w:numPr>
              <w:rPr>
                <w:lang w:eastAsia="ru-RU"/>
              </w:rPr>
            </w:pPr>
            <w:r>
              <w:rPr>
                <w:lang w:eastAsia="ru-RU"/>
              </w:rPr>
              <w:t>Справочники</w:t>
            </w:r>
          </w:p>
          <w:p>
            <w:pPr>
              <w:pStyle w:val="ListParagraph"/>
              <w:numPr>
                <w:ilvl w:val="0"/>
                <w:numId w:val="4"/>
              </w:numPr>
              <w:rPr>
                <w:lang w:eastAsia="ru-RU"/>
              </w:rPr>
            </w:pPr>
            <w:r>
              <w:rPr>
                <w:lang w:eastAsia="ru-RU"/>
              </w:rPr>
              <w:t>Адресообразующие объекты</w:t>
            </w:r>
          </w:p>
          <w:p>
            <w:pPr>
              <w:pStyle w:val="ListParagraph"/>
              <w:numPr>
                <w:ilvl w:val="0"/>
                <w:numId w:val="4"/>
              </w:numPr>
              <w:rPr>
                <w:lang w:eastAsia="ru-RU"/>
              </w:rPr>
            </w:pPr>
            <w:r>
              <w:rPr>
                <w:lang w:eastAsia="ru-RU"/>
              </w:rPr>
              <w:t>Адреса зданий, сооружений</w:t>
            </w:r>
          </w:p>
          <w:p>
            <w:pPr>
              <w:pStyle w:val="ListParagraph"/>
              <w:numPr>
                <w:ilvl w:val="0"/>
                <w:numId w:val="4"/>
              </w:numPr>
              <w:rPr>
                <w:lang w:eastAsia="ru-RU"/>
              </w:rPr>
            </w:pPr>
            <w:r>
              <w:rPr>
                <w:lang w:eastAsia="ru-RU"/>
              </w:rPr>
              <w:t>Помещения</w:t>
            </w:r>
          </w:p>
        </w:tc>
        <w:tc>
          <w:tcPr>
            <w:tcW w:w="2836" w:type="dxa"/>
            <w:tcBorders>
              <w:top w:val="single" w:sz="4" w:space="0" w:color="000000"/>
              <w:start w:val="single" w:sz="4" w:space="0" w:color="000000"/>
              <w:end w:val="single" w:sz="4" w:space="0" w:color="000000"/>
            </w:tcBorders>
          </w:tcPr>
          <w:p>
            <w:pPr>
              <w:pStyle w:val="Normal"/>
              <w:ind w:hanging="0"/>
              <w:rPr>
                <w:lang w:eastAsia="ru-RU"/>
              </w:rPr>
            </w:pPr>
            <w:r>
              <w:rPr>
                <w:lang w:eastAsia="ru-RU"/>
              </w:rPr>
              <w:t>Используется протокол FTP</w:t>
            </w:r>
          </w:p>
        </w:tc>
        <w:tc>
          <w:tcPr>
            <w:tcW w:w="1418" w:type="dxa"/>
            <w:tcBorders>
              <w:top w:val="single" w:sz="4" w:space="0" w:color="000000"/>
              <w:start w:val="single" w:sz="4" w:space="0" w:color="000000"/>
              <w:end w:val="single" w:sz="4" w:space="0" w:color="000000"/>
            </w:tcBorders>
          </w:tcPr>
          <w:p>
            <w:pPr>
              <w:pStyle w:val="Normal"/>
              <w:ind w:hanging="0"/>
              <w:rPr>
                <w:lang w:eastAsia="ru-RU"/>
              </w:rPr>
            </w:pPr>
            <w:r>
              <w:rPr>
                <w:lang w:eastAsia="ru-RU"/>
              </w:rPr>
              <w:t>Обезличенные данные</w:t>
            </w:r>
          </w:p>
        </w:tc>
        <w:tc>
          <w:tcPr>
            <w:tcW w:w="1890" w:type="dxa"/>
            <w:tcBorders>
              <w:top w:val="single" w:sz="4" w:space="0" w:color="000000"/>
              <w:start w:val="single" w:sz="4" w:space="0" w:color="000000"/>
              <w:end w:val="single" w:sz="4" w:space="0" w:color="000000"/>
            </w:tcBorders>
          </w:tcPr>
          <w:p>
            <w:pPr>
              <w:pStyle w:val="Normal"/>
              <w:ind w:hanging="0"/>
              <w:rPr>
                <w:bCs/>
                <w:iCs/>
                <w:lang w:eastAsia="ru-RU"/>
              </w:rPr>
            </w:pPr>
            <w:r>
              <w:rPr>
                <w:lang w:eastAsia="ru-RU"/>
              </w:rPr>
              <w:t>Подсистема нормативно-справочной информации</w:t>
            </w:r>
          </w:p>
        </w:tc>
      </w:tr>
      <w:tr>
        <w:trPr>
          <w:trHeight w:val="1603" w:hRule="atLeast"/>
        </w:trPr>
        <w:tc>
          <w:tcPr>
            <w:tcW w:w="583"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2</w:t>
            </w:r>
          </w:p>
        </w:tc>
        <w:tc>
          <w:tcPr>
            <w:tcW w:w="210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ГИС ЖКХ</w:t>
            </w:r>
          </w:p>
        </w:tc>
        <w:tc>
          <w:tcPr>
            <w:tcW w:w="604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Справочники</w:t>
            </w:r>
          </w:p>
          <w:p>
            <w:pPr>
              <w:pStyle w:val="Normal"/>
              <w:rPr>
                <w:lang w:eastAsia="ru-RU"/>
              </w:rPr>
            </w:pPr>
            <w:r>
              <w:rPr>
                <w:lang w:eastAsia="ru-RU"/>
              </w:rPr>
              <w:t>Данные в соответствии с действующим регламентом интеграции с внешними системами</w:t>
            </w:r>
          </w:p>
        </w:tc>
        <w:tc>
          <w:tcPr>
            <w:tcW w:w="2836"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 xml:space="preserve">Обмен между веб-сервисами, протокол </w:t>
            </w:r>
            <w:r>
              <w:rPr>
                <w:lang w:val="en-US" w:eastAsia="ru-RU"/>
              </w:rPr>
              <w:t>SOAP</w:t>
            </w:r>
          </w:p>
        </w:tc>
        <w:tc>
          <w:tcPr>
            <w:tcW w:w="1418"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Обезличенные данные</w:t>
            </w:r>
          </w:p>
        </w:tc>
        <w:tc>
          <w:tcPr>
            <w:tcW w:w="1890" w:type="dxa"/>
            <w:tcBorders>
              <w:top w:val="single" w:sz="4" w:space="0" w:color="000000"/>
              <w:start w:val="single" w:sz="4" w:space="0" w:color="000000"/>
              <w:bottom w:val="single" w:sz="4" w:space="0" w:color="000000"/>
              <w:end w:val="single" w:sz="4" w:space="0" w:color="000000"/>
            </w:tcBorders>
          </w:tcPr>
          <w:p>
            <w:pPr>
              <w:pStyle w:val="Normal"/>
              <w:ind w:hanging="0"/>
              <w:rPr>
                <w:bCs/>
                <w:iCs/>
                <w:lang w:eastAsia="ru-RU"/>
              </w:rPr>
            </w:pPr>
            <w:r>
              <w:rPr>
                <w:lang w:eastAsia="ru-RU"/>
              </w:rPr>
              <w:t>Подсистема интеграции с внешними системами</w:t>
            </w:r>
          </w:p>
        </w:tc>
      </w:tr>
      <w:tr>
        <w:trPr>
          <w:trHeight w:val="428" w:hRule="atLeast"/>
        </w:trPr>
        <w:tc>
          <w:tcPr>
            <w:tcW w:w="583"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3</w:t>
            </w:r>
          </w:p>
        </w:tc>
        <w:tc>
          <w:tcPr>
            <w:tcW w:w="210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Подсистема интеграции с внешними системами</w:t>
            </w:r>
          </w:p>
        </w:tc>
        <w:tc>
          <w:tcPr>
            <w:tcW w:w="604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Справочники</w:t>
            </w:r>
          </w:p>
          <w:p>
            <w:pPr>
              <w:pStyle w:val="Normal"/>
              <w:rPr>
                <w:lang w:eastAsia="ru-RU"/>
              </w:rPr>
            </w:pPr>
            <w:r>
              <w:rPr>
                <w:lang w:eastAsia="ru-RU"/>
              </w:rPr>
              <w:t>Данные в соответствии с действующим регламентом интеграции с внешними системами</w:t>
            </w:r>
          </w:p>
        </w:tc>
        <w:tc>
          <w:tcPr>
            <w:tcW w:w="2836"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Обмен между веб-сервисами, протокол SOAP</w:t>
            </w:r>
          </w:p>
        </w:tc>
        <w:tc>
          <w:tcPr>
            <w:tcW w:w="1418"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Обезличенные данные</w:t>
            </w:r>
          </w:p>
        </w:tc>
        <w:tc>
          <w:tcPr>
            <w:tcW w:w="1890"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ГИС ЖКХ</w:t>
            </w:r>
          </w:p>
        </w:tc>
      </w:tr>
      <w:tr>
        <w:trPr>
          <w:trHeight w:val="428" w:hRule="atLeast"/>
        </w:trPr>
        <w:tc>
          <w:tcPr>
            <w:tcW w:w="583" w:type="dxa"/>
            <w:tcBorders>
              <w:start w:val="single" w:sz="4" w:space="0" w:color="000000"/>
              <w:bottom w:val="single" w:sz="4" w:space="0" w:color="000000"/>
              <w:end w:val="single" w:sz="4" w:space="0" w:color="000000"/>
            </w:tcBorders>
          </w:tcPr>
          <w:p>
            <w:pPr>
              <w:pStyle w:val="Normal"/>
              <w:rPr>
                <w:lang w:eastAsia="ru-RU"/>
              </w:rPr>
            </w:pPr>
            <w:r>
              <w:rPr>
                <w:lang w:eastAsia="ru-RU"/>
              </w:rPr>
              <w:t>4</w:t>
            </w:r>
          </w:p>
        </w:tc>
        <w:tc>
          <w:tcPr>
            <w:tcW w:w="2105" w:type="dxa"/>
            <w:tcBorders>
              <w:start w:val="single" w:sz="4" w:space="0" w:color="000000"/>
              <w:bottom w:val="single" w:sz="4" w:space="0" w:color="000000"/>
              <w:end w:val="single" w:sz="4" w:space="0" w:color="000000"/>
            </w:tcBorders>
          </w:tcPr>
          <w:p>
            <w:pPr>
              <w:pStyle w:val="Normal"/>
              <w:ind w:hanging="0"/>
              <w:rPr>
                <w:lang w:eastAsia="ru-RU"/>
              </w:rPr>
            </w:pPr>
            <w:r>
              <w:rPr>
                <w:lang w:eastAsia="ru-RU"/>
              </w:rPr>
              <w:t>ЕИАС ЖКХ МО</w:t>
            </w:r>
          </w:p>
        </w:tc>
        <w:tc>
          <w:tcPr>
            <w:tcW w:w="6047" w:type="dxa"/>
            <w:tcBorders>
              <w:start w:val="single" w:sz="4" w:space="0" w:color="000000"/>
              <w:bottom w:val="single" w:sz="4" w:space="0" w:color="000000"/>
              <w:end w:val="single" w:sz="4" w:space="0" w:color="000000"/>
            </w:tcBorders>
          </w:tcPr>
          <w:p>
            <w:pPr>
              <w:pStyle w:val="Normal"/>
              <w:rPr>
                <w:lang w:eastAsia="ru-RU"/>
              </w:rPr>
            </w:pPr>
            <w:r>
              <w:rPr>
                <w:lang w:eastAsia="ru-RU"/>
              </w:rPr>
              <w:t>Реестры уведомлений о выбранном собственниками помещений в многоквартирных домах способе управления многоквартирными домами;</w:t>
            </w:r>
          </w:p>
          <w:p>
            <w:pPr>
              <w:pStyle w:val="Normal"/>
              <w:rPr>
                <w:lang w:eastAsia="ru-RU"/>
              </w:rPr>
            </w:pPr>
            <w:r>
              <w:rPr>
                <w:lang w:eastAsia="ru-RU"/>
              </w:rPr>
              <w:t>реестры уведомлений о выбранном собственниками помещений в многоквартирных домах способе формирования фонда капитального ремонта;</w:t>
            </w:r>
          </w:p>
          <w:p>
            <w:pPr>
              <w:pStyle w:val="Normal"/>
              <w:rPr>
                <w:lang w:eastAsia="ru-RU"/>
              </w:rPr>
            </w:pPr>
            <w:r>
              <w:rPr>
                <w:lang w:eastAsia="ru-RU"/>
              </w:rPr>
              <w:t>реестры счетов, в том числе специальных счетов, открытых в целях формирования фондов капитального ремонта;</w:t>
            </w:r>
          </w:p>
          <w:p>
            <w:pPr>
              <w:pStyle w:val="Normal"/>
              <w:rPr>
                <w:lang w:eastAsia="ru-RU"/>
              </w:rPr>
            </w:pPr>
            <w:r>
              <w:rPr>
                <w:lang w:eastAsia="ru-RU"/>
              </w:rPr>
              <w:t>информация о лицах, осуществляющих деятельность по оказанию услуг по управлению многоквартирными домами, по договорам оказания услуг по содержанию и (или) выполнению работ по ремонту общего имущества, по предоставлению коммунальных услуг;</w:t>
            </w:r>
          </w:p>
          <w:p>
            <w:pPr>
              <w:pStyle w:val="Normal"/>
              <w:rPr>
                <w:lang w:eastAsia="ru-RU"/>
              </w:rPr>
            </w:pPr>
            <w:r>
              <w:rPr>
                <w:lang w:eastAsia="ru-RU"/>
              </w:rPr>
              <w:t>информация о мероприятиях, связанных с осуществлением государственного жилищного надзора и муниципального жилищного контроля, с размещением соответствующих актов, содержащих результаты осуществления таких мероприятий;</w:t>
            </w:r>
          </w:p>
          <w:p>
            <w:pPr>
              <w:pStyle w:val="Normal"/>
              <w:rPr>
                <w:lang w:eastAsia="ru-RU"/>
              </w:rPr>
            </w:pPr>
            <w:r>
              <w:rPr>
                <w:lang w:eastAsia="ru-RU"/>
              </w:rPr>
              <w:t>информация о совершенных операциях по списанию со счета и зачислению на счет денежных средств, в том числе на специальный счет, которые открыты в целях формирования фонда капитального ремонта, а также об остатке денежных средств на таких счетах;</w:t>
            </w:r>
          </w:p>
          <w:p>
            <w:pPr>
              <w:pStyle w:val="Normal"/>
              <w:rPr>
                <w:lang w:eastAsia="ru-RU"/>
              </w:rPr>
            </w:pPr>
            <w:r>
              <w:rPr>
                <w:lang w:eastAsia="ru-RU"/>
              </w:rPr>
              <w:t>информация о выбранном собственниками помещений в многоквартирном доме способе управления указанным домом и способе формирования фонда капитального ремонта, а также документы, подтверждающие принятие соответствующих решений;</w:t>
            </w:r>
          </w:p>
          <w:p>
            <w:pPr>
              <w:pStyle w:val="Normal"/>
              <w:rPr>
                <w:lang w:eastAsia="ru-RU"/>
              </w:rPr>
            </w:pPr>
            <w:r>
              <w:rPr>
                <w:lang w:eastAsia="ru-RU"/>
              </w:rPr>
              <w:t>информация о поступивших обращениях по вопросам жилищно-коммунального хозяйства и о результатах их рассмотрения;</w:t>
            </w:r>
          </w:p>
          <w:p>
            <w:pPr>
              <w:pStyle w:val="Normal"/>
              <w:rPr>
                <w:lang w:eastAsia="ru-RU"/>
              </w:rPr>
            </w:pPr>
            <w:r>
              <w:rPr>
                <w:lang w:eastAsia="ru-RU"/>
              </w:rPr>
              <w:t>информация о случаях привлечения лиц, осуществляющих деятельность по управлению многоквартирными домами, осуществлению поставок ресурсов, необходимых для предоставления коммунальных услуг, в многоквартирные дома, жилые дома, предоставлению коммунальных услуг, к административной ответственности с указанием количества таких случаев, документы о применении мер административного воздействия, а также о мерах, принятых для устранения нарушений, повлекших за собой применение мер административного воздействия.</w:t>
            </w:r>
          </w:p>
        </w:tc>
        <w:tc>
          <w:tcPr>
            <w:tcW w:w="2836" w:type="dxa"/>
            <w:tcBorders>
              <w:start w:val="single" w:sz="4" w:space="0" w:color="000000"/>
              <w:bottom w:val="single" w:sz="4" w:space="0" w:color="000000"/>
              <w:end w:val="single" w:sz="4" w:space="0" w:color="000000"/>
            </w:tcBorders>
          </w:tcPr>
          <w:p>
            <w:pPr>
              <w:pStyle w:val="Normal"/>
              <w:ind w:hanging="0"/>
              <w:rPr>
                <w:lang w:eastAsia="ru-RU"/>
              </w:rPr>
            </w:pPr>
            <w:r>
              <w:rPr>
                <w:lang w:eastAsia="ru-RU"/>
              </w:rPr>
              <w:t xml:space="preserve">Используется протокол </w:t>
            </w:r>
            <w:r>
              <w:rPr>
                <w:lang w:val="en-US" w:eastAsia="ru-RU"/>
              </w:rPr>
              <w:t>FTP</w:t>
            </w:r>
            <w:r>
              <w:rPr>
                <w:lang w:eastAsia="ru-RU"/>
              </w:rPr>
              <w:t xml:space="preserve">, данные передаются в виде </w:t>
            </w:r>
            <w:r>
              <w:rPr>
                <w:lang w:val="en-US" w:eastAsia="ru-RU"/>
              </w:rPr>
              <w:t>CSV</w:t>
            </w:r>
            <w:r>
              <w:rPr>
                <w:lang w:eastAsia="ru-RU"/>
              </w:rPr>
              <w:t>-файлов</w:t>
            </w:r>
          </w:p>
        </w:tc>
        <w:tc>
          <w:tcPr>
            <w:tcW w:w="1418" w:type="dxa"/>
            <w:tcBorders>
              <w:start w:val="single" w:sz="4" w:space="0" w:color="000000"/>
              <w:bottom w:val="single" w:sz="4" w:space="0" w:color="000000"/>
              <w:end w:val="single" w:sz="4" w:space="0" w:color="000000"/>
            </w:tcBorders>
          </w:tcPr>
          <w:p>
            <w:pPr>
              <w:pStyle w:val="Normal"/>
              <w:ind w:hanging="0"/>
              <w:rPr>
                <w:lang w:eastAsia="ru-RU"/>
              </w:rPr>
            </w:pPr>
            <w:r>
              <w:rPr>
                <w:lang w:eastAsia="ru-RU"/>
              </w:rPr>
              <w:t>Обезличенные данные</w:t>
            </w:r>
          </w:p>
        </w:tc>
        <w:tc>
          <w:tcPr>
            <w:tcW w:w="1890" w:type="dxa"/>
            <w:tcBorders>
              <w:start w:val="single" w:sz="4" w:space="0" w:color="000000"/>
              <w:bottom w:val="single" w:sz="4" w:space="0" w:color="000000"/>
              <w:end w:val="single" w:sz="4" w:space="0" w:color="000000"/>
            </w:tcBorders>
          </w:tcPr>
          <w:p>
            <w:pPr>
              <w:pStyle w:val="Normal"/>
              <w:ind w:hanging="0"/>
              <w:rPr>
                <w:lang w:eastAsia="ru-RU"/>
              </w:rPr>
            </w:pPr>
            <w:r>
              <w:rPr>
                <w:lang w:eastAsia="ru-RU"/>
              </w:rPr>
              <w:t>Подсистема «Жилищная инспекция»</w:t>
            </w:r>
          </w:p>
        </w:tc>
      </w:tr>
      <w:tr>
        <w:trPr/>
        <w:tc>
          <w:tcPr>
            <w:tcW w:w="583"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5</w:t>
            </w:r>
          </w:p>
        </w:tc>
        <w:tc>
          <w:tcPr>
            <w:tcW w:w="210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АИС ГЖИ</w:t>
            </w:r>
          </w:p>
        </w:tc>
        <w:tc>
          <w:tcPr>
            <w:tcW w:w="604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идентификаторы планов проверки;</w:t>
            </w:r>
          </w:p>
          <w:p>
            <w:pPr>
              <w:pStyle w:val="Normal"/>
              <w:rPr>
                <w:lang w:eastAsia="ru-RU"/>
              </w:rPr>
            </w:pPr>
            <w:r>
              <w:rPr>
                <w:lang w:eastAsia="ru-RU"/>
              </w:rPr>
              <w:t>идентификаторы записей планов проверки;</w:t>
            </w:r>
          </w:p>
          <w:p>
            <w:pPr>
              <w:pStyle w:val="Normal"/>
              <w:rPr>
                <w:lang w:eastAsia="ru-RU"/>
              </w:rPr>
            </w:pPr>
            <w:r>
              <w:rPr>
                <w:lang w:eastAsia="ru-RU"/>
              </w:rPr>
              <w:t>идентификаторы внеплановых проверок;</w:t>
            </w:r>
          </w:p>
          <w:p>
            <w:pPr>
              <w:pStyle w:val="Normal"/>
              <w:rPr>
                <w:lang w:eastAsia="ru-RU"/>
              </w:rPr>
            </w:pPr>
            <w:r>
              <w:rPr>
                <w:lang w:eastAsia="ru-RU"/>
              </w:rPr>
              <w:t>идентификаторы адресов внеплановых проверок</w:t>
            </w:r>
          </w:p>
        </w:tc>
        <w:tc>
          <w:tcPr>
            <w:tcW w:w="2836"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Данные передаются в виде CSV-файлов</w:t>
            </w:r>
          </w:p>
        </w:tc>
        <w:tc>
          <w:tcPr>
            <w:tcW w:w="1418"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Обезличенные данные</w:t>
            </w:r>
          </w:p>
        </w:tc>
        <w:tc>
          <w:tcPr>
            <w:tcW w:w="1890"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ЕИАС ЖКХ МО</w:t>
            </w:r>
          </w:p>
        </w:tc>
      </w:tr>
      <w:tr>
        <w:trPr/>
        <w:tc>
          <w:tcPr>
            <w:tcW w:w="583"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6</w:t>
            </w:r>
          </w:p>
        </w:tc>
        <w:tc>
          <w:tcPr>
            <w:tcW w:w="210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Автоматизированная система управления фонда капитального ремонта многоквартирных домов (далее - АСУ ФКР)</w:t>
            </w:r>
          </w:p>
        </w:tc>
        <w:tc>
          <w:tcPr>
            <w:tcW w:w="6047"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Договоры капитального ремонта</w:t>
            </w:r>
          </w:p>
          <w:p>
            <w:pPr>
              <w:pStyle w:val="Normal"/>
              <w:rPr>
                <w:lang w:eastAsia="ru-RU"/>
              </w:rPr>
            </w:pPr>
            <w:r>
              <w:rPr>
                <w:lang w:eastAsia="ru-RU"/>
              </w:rPr>
              <w:t>Акты выполненных работ по капитальному ремонту</w:t>
            </w:r>
          </w:p>
          <w:p>
            <w:pPr>
              <w:pStyle w:val="Normal"/>
              <w:rPr>
                <w:lang w:eastAsia="ru-RU"/>
              </w:rPr>
            </w:pPr>
            <w:r>
              <w:rPr>
                <w:lang w:eastAsia="ru-RU"/>
              </w:rPr>
              <w:t>Платежи по договорам капитального ремонта</w:t>
            </w:r>
          </w:p>
          <w:p>
            <w:pPr>
              <w:pStyle w:val="Normal"/>
              <w:rPr>
                <w:lang w:eastAsia="ru-RU"/>
              </w:rPr>
            </w:pPr>
            <w:r>
              <w:rPr>
                <w:lang w:eastAsia="ru-RU"/>
              </w:rPr>
              <w:t>Сведения о начислениях по капитальному ремонту</w:t>
            </w:r>
          </w:p>
          <w:p>
            <w:pPr>
              <w:pStyle w:val="Normal"/>
              <w:rPr>
                <w:lang w:eastAsia="ru-RU"/>
              </w:rPr>
            </w:pPr>
            <w:r>
              <w:rPr>
                <w:lang w:eastAsia="ru-RU"/>
              </w:rPr>
              <w:t>Сведения о платежах по взносам на капитальный ремонт</w:t>
            </w:r>
          </w:p>
        </w:tc>
        <w:tc>
          <w:tcPr>
            <w:tcW w:w="2836" w:type="dxa"/>
            <w:tcBorders>
              <w:top w:val="single" w:sz="4" w:space="0" w:color="000000"/>
              <w:start w:val="single" w:sz="4" w:space="0" w:color="000000"/>
              <w:bottom w:val="single" w:sz="4" w:space="0" w:color="000000"/>
              <w:end w:val="single" w:sz="4" w:space="0" w:color="000000"/>
            </w:tcBorders>
          </w:tcPr>
          <w:p>
            <w:pPr>
              <w:pStyle w:val="Normal"/>
              <w:ind w:hanging="0"/>
              <w:rPr>
                <w:lang w:val="en-US" w:eastAsia="ru-RU"/>
              </w:rPr>
            </w:pPr>
            <w:r>
              <w:rPr>
                <w:lang w:eastAsia="ru-RU"/>
              </w:rPr>
              <w:t xml:space="preserve">Обмен данными посредством </w:t>
            </w:r>
            <w:r>
              <w:rPr>
                <w:lang w:val="en-US" w:eastAsia="ru-RU"/>
              </w:rPr>
              <w:t>JSON</w:t>
            </w:r>
          </w:p>
        </w:tc>
        <w:tc>
          <w:tcPr>
            <w:tcW w:w="1418"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Обезличенные данные</w:t>
            </w:r>
          </w:p>
        </w:tc>
        <w:tc>
          <w:tcPr>
            <w:tcW w:w="1890"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ЕИАС ЖКХ МО</w:t>
            </w:r>
          </w:p>
        </w:tc>
      </w:tr>
      <w:tr>
        <w:trPr/>
        <w:tc>
          <w:tcPr>
            <w:tcW w:w="583"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7</w:t>
            </w:r>
          </w:p>
        </w:tc>
        <w:tc>
          <w:tcPr>
            <w:tcW w:w="210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ЕИАС ЖКХ МО</w:t>
            </w:r>
          </w:p>
        </w:tc>
        <w:tc>
          <w:tcPr>
            <w:tcW w:w="6047"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Региональная программа капитального ремонта</w:t>
            </w:r>
          </w:p>
          <w:p>
            <w:pPr>
              <w:pStyle w:val="Normal"/>
              <w:rPr>
                <w:lang w:eastAsia="ru-RU"/>
              </w:rPr>
            </w:pPr>
            <w:r>
              <w:rPr>
                <w:lang w:eastAsia="ru-RU"/>
              </w:rPr>
              <w:t>Краткосрочные планы реализации региональной программы капитального ремонта</w:t>
            </w:r>
          </w:p>
          <w:p>
            <w:pPr>
              <w:pStyle w:val="Normal"/>
              <w:rPr>
                <w:lang w:eastAsia="ru-RU"/>
              </w:rPr>
            </w:pPr>
            <w:r>
              <w:rPr>
                <w:lang w:eastAsia="ru-RU"/>
              </w:rPr>
              <w:t>Справочники</w:t>
            </w:r>
          </w:p>
        </w:tc>
        <w:tc>
          <w:tcPr>
            <w:tcW w:w="2836"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Обмен данными посредством JSON</w:t>
            </w:r>
          </w:p>
        </w:tc>
        <w:tc>
          <w:tcPr>
            <w:tcW w:w="1418" w:type="dxa"/>
            <w:tcBorders>
              <w:top w:val="single" w:sz="4" w:space="0" w:color="000000"/>
              <w:start w:val="single" w:sz="4" w:space="0" w:color="000000"/>
              <w:bottom w:val="single" w:sz="4" w:space="0" w:color="000000"/>
              <w:end w:val="single" w:sz="4" w:space="0" w:color="000000"/>
            </w:tcBorders>
          </w:tcPr>
          <w:p>
            <w:pPr>
              <w:pStyle w:val="Normal"/>
              <w:ind w:hanging="0"/>
              <w:rPr>
                <w:lang w:val="en-US" w:eastAsia="ru-RU"/>
              </w:rPr>
            </w:pPr>
            <w:r>
              <w:rPr>
                <w:lang w:eastAsia="ru-RU"/>
              </w:rPr>
              <w:t>Обезличенные данные</w:t>
            </w:r>
          </w:p>
        </w:tc>
        <w:tc>
          <w:tcPr>
            <w:tcW w:w="1890"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АСУ ФКР</w:t>
            </w:r>
          </w:p>
        </w:tc>
      </w:tr>
      <w:tr>
        <w:trPr/>
        <w:tc>
          <w:tcPr>
            <w:tcW w:w="583" w:type="dxa"/>
            <w:tcBorders>
              <w:top w:val="single" w:sz="4" w:space="0" w:color="000000"/>
              <w:start w:val="single" w:sz="4" w:space="0" w:color="000000"/>
              <w:bottom w:val="single" w:sz="4" w:space="0" w:color="000000"/>
              <w:end w:val="single" w:sz="4" w:space="0" w:color="000000"/>
            </w:tcBorders>
          </w:tcPr>
          <w:p>
            <w:pPr>
              <w:pStyle w:val="Normal"/>
              <w:rPr>
                <w:lang w:eastAsia="ru-RU"/>
              </w:rPr>
            </w:pPr>
            <w:r>
              <w:rPr>
                <w:lang w:eastAsia="ru-RU"/>
              </w:rPr>
              <w:t>8</w:t>
            </w:r>
          </w:p>
        </w:tc>
        <w:tc>
          <w:tcPr>
            <w:tcW w:w="2105"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Региональная система межведомственного электронного взаимодействия (далее –РСМЭВ)</w:t>
            </w:r>
          </w:p>
        </w:tc>
        <w:tc>
          <w:tcPr>
            <w:tcW w:w="6047"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Получение данных по собственникам от Росреестра; МВД; МФЦ; ЗАГС; ФНС; ЕРН</w:t>
            </w:r>
          </w:p>
        </w:tc>
        <w:tc>
          <w:tcPr>
            <w:tcW w:w="2836"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Обмен данными посредством JSON</w:t>
            </w:r>
          </w:p>
        </w:tc>
        <w:tc>
          <w:tcPr>
            <w:tcW w:w="1418"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Обезличенные данные</w:t>
            </w:r>
          </w:p>
        </w:tc>
        <w:tc>
          <w:tcPr>
            <w:tcW w:w="1890" w:type="dxa"/>
            <w:tcBorders>
              <w:top w:val="single" w:sz="4" w:space="0" w:color="000000"/>
              <w:start w:val="single" w:sz="4" w:space="0" w:color="000000"/>
              <w:bottom w:val="single" w:sz="4" w:space="0" w:color="000000"/>
              <w:end w:val="single" w:sz="4" w:space="0" w:color="000000"/>
            </w:tcBorders>
          </w:tcPr>
          <w:p>
            <w:pPr>
              <w:pStyle w:val="Normal"/>
              <w:ind w:hanging="0"/>
              <w:rPr>
                <w:lang w:eastAsia="ru-RU"/>
              </w:rPr>
            </w:pPr>
            <w:r>
              <w:rPr>
                <w:lang w:eastAsia="ru-RU"/>
              </w:rPr>
              <w:t>ЕИАС ЖКХ МО</w:t>
            </w:r>
          </w:p>
        </w:tc>
      </w:tr>
    </w:tbl>
    <w:p>
      <w:pPr>
        <w:sectPr>
          <w:type w:val="nextPage"/>
          <w:pgSz w:orient="landscape" w:w="16838" w:h="11906"/>
          <w:pgMar w:left="1134" w:right="1134" w:gutter="0" w:header="0" w:top="1701" w:footer="0" w:bottom="850"/>
          <w:pgNumType w:fmt="decimal"/>
          <w:formProt w:val="false"/>
          <w:textDirection w:val="lrTb"/>
          <w:docGrid w:type="default" w:linePitch="381" w:charSpace="0"/>
        </w:sectPr>
      </w:pPr>
    </w:p>
    <w:p>
      <w:pPr>
        <w:pStyle w:val="Heading4"/>
        <w:numPr>
          <w:ilvl w:val="2"/>
          <w:numId w:val="18"/>
        </w:numPr>
        <w:ind w:firstLine="709" w:start="0"/>
        <w:rPr>
          <w:i/>
          <w:iCs/>
        </w:rPr>
      </w:pPr>
      <w:r>
        <w:rPr/>
        <w:t>Требования к режимам функционирования Системы</w:t>
      </w:r>
    </w:p>
    <w:p>
      <w:pPr>
        <w:pStyle w:val="Normal"/>
        <w:rPr/>
      </w:pPr>
      <w:r>
        <w:rPr/>
        <w:t>Должно быть обеспечено функционирование ЕИАС ЖКХ МО в следующих режимах:</w:t>
      </w:r>
    </w:p>
    <w:p>
      <w:pPr>
        <w:pStyle w:val="ListParagraph"/>
        <w:numPr>
          <w:ilvl w:val="0"/>
          <w:numId w:val="5"/>
        </w:numPr>
        <w:rPr/>
      </w:pPr>
      <w:r>
        <w:rPr/>
        <w:t>штатный режим (непрерывная круглосуточная работа);</w:t>
      </w:r>
    </w:p>
    <w:p>
      <w:pPr>
        <w:pStyle w:val="ListParagraph"/>
        <w:numPr>
          <w:ilvl w:val="0"/>
          <w:numId w:val="5"/>
        </w:numPr>
        <w:rPr/>
      </w:pPr>
      <w:r>
        <w:rPr/>
        <w:t>сервисный режим (для проведения обслуживания, реконфигурации, замены и пополнения новыми компонентами);</w:t>
      </w:r>
    </w:p>
    <w:p>
      <w:pPr>
        <w:pStyle w:val="ListParagraph"/>
        <w:numPr>
          <w:ilvl w:val="0"/>
          <w:numId w:val="5"/>
        </w:numPr>
        <w:rPr/>
      </w:pPr>
      <w:r>
        <w:rPr/>
        <w:t>аварийный режим.</w:t>
      </w:r>
    </w:p>
    <w:p>
      <w:pPr>
        <w:pStyle w:val="Normal"/>
        <w:rPr/>
      </w:pPr>
      <w:r>
        <w:rPr/>
        <w:t>В штатном режиме функционирования ЕИАС ЖКХ МО пользователям должен предоставляться доступ к функциям Системы в соответствии с установленными правами доступа. В штатном режиме должна обеспечиваться возможность непрерывной круглосуточной работы.</w:t>
      </w:r>
    </w:p>
    <w:p>
      <w:pPr>
        <w:pStyle w:val="Normal"/>
        <w:rPr/>
      </w:pPr>
      <w:r>
        <w:rPr/>
        <w:t>Сервисный режим предназначен для проведения обслуживания, реконфигурации Системы, замены и пополнения новыми компонентами, проведения резервного копирования информации, восстановления после сбоев в работе.</w:t>
      </w:r>
    </w:p>
    <w:p>
      <w:pPr>
        <w:pStyle w:val="Normal"/>
        <w:rPr/>
      </w:pPr>
      <w:r>
        <w:rPr/>
        <w:t>В данном режиме ЕИАС ЖКХ МО или подсистемы ЕИАС ЖКХ МО становятся недоступными для пользователей. Переход к сервисному режиму осуществляется как в ручном, так и в автоматическом режиме, в зависимости от вида работ в соответствии с эксплуатационными документами ЕИАС ЖКХ МО. В данном режиме осуществляется:</w:t>
      </w:r>
    </w:p>
    <w:p>
      <w:pPr>
        <w:pStyle w:val="ListParagraph"/>
        <w:numPr>
          <w:ilvl w:val="0"/>
          <w:numId w:val="6"/>
        </w:numPr>
        <w:rPr/>
      </w:pPr>
      <w:r>
        <w:rPr/>
        <w:t>проведение на сервере ЕИАС ЖКХ МО регламентных работ;</w:t>
      </w:r>
    </w:p>
    <w:p>
      <w:pPr>
        <w:pStyle w:val="ListParagraph"/>
        <w:numPr>
          <w:ilvl w:val="0"/>
          <w:numId w:val="6"/>
        </w:numPr>
        <w:rPr/>
      </w:pPr>
      <w:r>
        <w:rPr/>
        <w:t>модернизация программно-технического комплекса ЕИАС ЖКХ МО;</w:t>
      </w:r>
    </w:p>
    <w:p>
      <w:pPr>
        <w:pStyle w:val="ListParagraph"/>
        <w:numPr>
          <w:ilvl w:val="0"/>
          <w:numId w:val="6"/>
        </w:numPr>
        <w:rPr/>
      </w:pPr>
      <w:r>
        <w:rPr/>
        <w:t>модернизация ЕИАС ЖКХ МО или отдельных подсистем.</w:t>
      </w:r>
    </w:p>
    <w:p>
      <w:pPr>
        <w:pStyle w:val="Normal"/>
        <w:rPr/>
      </w:pPr>
      <w:r>
        <w:rPr/>
        <w:t>Аварийный режим функционирования Системы характеризуется отказом одного или нескольких компонентов программного и (или) аппаратного обеспечения. В этом режиме будут приниматься меры к обеспечению временной работоспособности Системы (возможно с ограничением в выполнения отдельных функций), после чего будет производиться анализ причин выхода Системы в аварийный режим, и проводиться мероприятия по восстановлению полной работоспособности.</w:t>
      </w:r>
    </w:p>
    <w:p>
      <w:pPr>
        <w:pStyle w:val="Normal"/>
        <w:rPr/>
      </w:pPr>
      <w:r>
        <w:rPr/>
        <w:t>В Системе должен быть реализован автоматический контроль нормального состояния ее функционирования, задействованы функции отслеживания и фиксации нештатных и аварийных ситуаций, созданы механизмы, обеспечивающие возможность восстановления работоспособности после отказов, сбоев или аварий.</w:t>
      </w:r>
    </w:p>
    <w:p>
      <w:pPr>
        <w:pStyle w:val="Heading4"/>
        <w:numPr>
          <w:ilvl w:val="2"/>
          <w:numId w:val="18"/>
        </w:numPr>
        <w:ind w:firstLine="709" w:start="0"/>
        <w:rPr>
          <w:i/>
          <w:iCs/>
        </w:rPr>
      </w:pPr>
      <w:r>
        <w:rPr/>
        <w:t>Требования по диагностированию Системы</w:t>
      </w:r>
    </w:p>
    <w:p>
      <w:pPr>
        <w:pStyle w:val="Normal"/>
        <w:rPr/>
      </w:pPr>
      <w:r>
        <w:rPr/>
        <w:t>Диагностика работы Системы осуществляется средствами системного и инструментального программного обеспечения и производится обслуживающим персоналом системы.</w:t>
      </w:r>
    </w:p>
    <w:p>
      <w:pPr>
        <w:pStyle w:val="Normal"/>
        <w:rPr/>
      </w:pPr>
      <w:r>
        <w:rPr/>
        <w:t>Система должна содержать средства учёта, а также журнал событий и ошибок, что позволит упростить диагностику возникновения критических ситуаций при функционировании системы.</w:t>
      </w:r>
    </w:p>
    <w:p>
      <w:pPr>
        <w:pStyle w:val="Normal"/>
        <w:rPr/>
      </w:pPr>
      <w:r>
        <w:rPr/>
        <w:t>При возникновении сбоев функционирования подсистемы или совершении пользователем ошибочных действий должны выдаваться системные сообщения преимущественно на русском языке (за исключением внутренних платформенных сообщений об ошибках), на основе которых персонал может определить причину ошибки и способы её устранения.</w:t>
      </w:r>
    </w:p>
    <w:p>
      <w:pPr>
        <w:pStyle w:val="Heading4"/>
        <w:numPr>
          <w:ilvl w:val="2"/>
          <w:numId w:val="18"/>
        </w:numPr>
        <w:ind w:firstLine="709" w:start="0"/>
        <w:rPr>
          <w:i/>
          <w:iCs/>
        </w:rPr>
      </w:pPr>
      <w:r>
        <w:rPr/>
        <w:t>Перспективы развития, модернизации Системы</w:t>
      </w:r>
    </w:p>
    <w:p>
      <w:pPr>
        <w:pStyle w:val="Normal"/>
        <w:rPr>
          <w:lang w:eastAsia="ru-RU"/>
        </w:rPr>
      </w:pPr>
      <w:r>
        <w:rPr>
          <w:lang w:eastAsia="ru-RU"/>
        </w:rPr>
        <w:t>Архитектура и иные технологические решения Система должны обеспечивать возможность модернизации Системы по видам обеспечения (технического, программного) с целью добавления и/или изменения функций, увеличения производительности за счет горизонтального и вертикального масштабирования.</w:t>
      </w:r>
    </w:p>
    <w:p>
      <w:pPr>
        <w:pStyle w:val="Normal"/>
        <w:rPr>
          <w:lang w:eastAsia="ru-RU"/>
        </w:rPr>
      </w:pPr>
      <w:r>
        <w:rPr>
          <w:lang w:eastAsia="ru-RU"/>
        </w:rPr>
        <w:t>При модернизации любого вида обеспечения должна быть обеспечена сохранность данных без потери возможности работы с ними с помощью модернизированной системы.</w:t>
      </w:r>
    </w:p>
    <w:p>
      <w:pPr>
        <w:pStyle w:val="Normal"/>
        <w:rPr>
          <w:lang w:eastAsia="ru-RU"/>
        </w:rPr>
      </w:pPr>
      <w:r>
        <w:rPr>
          <w:lang w:eastAsia="ru-RU"/>
        </w:rPr>
        <w:t>Система должна обеспечивать подключение новых программных модулей. Пригодность системы к модернизации определяется наличием документированного программного интерфейса, предусматривающего подключение новых компонентов без необходимости внесения изменений в программные коды существующих подсистем.</w:t>
      </w:r>
    </w:p>
    <w:p>
      <w:pPr>
        <w:pStyle w:val="Normal"/>
        <w:rPr>
          <w:lang w:eastAsia="ru-RU"/>
        </w:rPr>
      </w:pPr>
      <w:r>
        <w:rPr>
          <w:lang w:eastAsia="ru-RU"/>
        </w:rPr>
        <w:t>Система должна обеспечивать возможность наращивания производительности путем увеличения производительности средств технического обеспечения.</w:t>
      </w:r>
    </w:p>
    <w:p>
      <w:pPr>
        <w:pStyle w:val="Heading3"/>
        <w:numPr>
          <w:ilvl w:val="1"/>
          <w:numId w:val="18"/>
        </w:numPr>
        <w:ind w:firstLine="709" w:start="0"/>
        <w:rPr/>
      </w:pPr>
      <w:bookmarkStart w:id="23" w:name="_Toc239425661"/>
      <w:r>
        <w:rPr/>
        <w:t>Требования к функциям, выполняемым Системой</w:t>
      </w:r>
      <w:bookmarkEnd w:id="23"/>
    </w:p>
    <w:p>
      <w:pPr>
        <w:pStyle w:val="Heading4"/>
        <w:numPr>
          <w:ilvl w:val="2"/>
          <w:numId w:val="18"/>
        </w:numPr>
        <w:ind w:firstLine="709" w:start="0"/>
        <w:rPr>
          <w:i/>
          <w:iCs/>
        </w:rPr>
      </w:pPr>
      <w:r>
        <w:rPr/>
        <w:t>Требования к модернизации аналитических панелей ЕИАС ЖКХ МО</w:t>
      </w:r>
    </w:p>
    <w:p>
      <w:pPr>
        <w:pStyle w:val="Normal"/>
        <w:rPr>
          <w:lang w:eastAsia="ru-RU"/>
        </w:rPr>
      </w:pPr>
      <w:r>
        <w:rPr>
          <w:lang w:eastAsia="ru-RU"/>
        </w:rPr>
        <w:t>Подрядчик должен реализовать модернизацию аналитических панелей ЕИАС ЖКХ МО.</w:t>
      </w:r>
    </w:p>
    <w:p>
      <w:pPr>
        <w:pStyle w:val="Normal"/>
        <w:rPr>
          <w:lang w:eastAsia="ru-RU"/>
        </w:rPr>
      </w:pPr>
      <w:r>
        <w:rPr>
          <w:lang w:eastAsia="ru-RU"/>
        </w:rPr>
        <w:t>В состав решения должны быть включены ранее разработанные информационные панели и отчетные формы по следующим направлениям:</w:t>
      </w:r>
    </w:p>
    <w:p>
      <w:pPr>
        <w:pStyle w:val="ListParagraph"/>
        <w:numPr>
          <w:ilvl w:val="0"/>
          <w:numId w:val="15"/>
        </w:numPr>
        <w:rPr>
          <w:lang w:eastAsia="ru-RU"/>
        </w:rPr>
      </w:pPr>
      <w:r>
        <w:rPr>
          <w:lang w:eastAsia="ru-RU"/>
        </w:rPr>
        <w:t>Индивидуальные приборы учета (ИПУ);</w:t>
      </w:r>
    </w:p>
    <w:p>
      <w:pPr>
        <w:pStyle w:val="ListParagraph"/>
        <w:numPr>
          <w:ilvl w:val="0"/>
          <w:numId w:val="15"/>
        </w:numPr>
        <w:rPr>
          <w:lang w:eastAsia="ru-RU"/>
        </w:rPr>
      </w:pPr>
      <w:r>
        <w:rPr>
          <w:lang w:eastAsia="ru-RU"/>
        </w:rPr>
        <w:t>Объекты коммунальной инфраструктуры (ОКИИ);</w:t>
      </w:r>
    </w:p>
    <w:p>
      <w:pPr>
        <w:pStyle w:val="ListParagraph"/>
        <w:numPr>
          <w:ilvl w:val="0"/>
          <w:numId w:val="15"/>
        </w:numPr>
        <w:rPr>
          <w:lang w:eastAsia="ru-RU"/>
        </w:rPr>
      </w:pPr>
      <w:r>
        <w:rPr>
          <w:lang w:eastAsia="ru-RU"/>
        </w:rPr>
        <w:t>Платежные документы.</w:t>
      </w:r>
    </w:p>
    <w:p>
      <w:pPr>
        <w:pStyle w:val="Normal"/>
        <w:rPr>
          <w:lang w:eastAsia="ru-RU"/>
        </w:rPr>
      </w:pPr>
      <w:r>
        <w:rPr>
          <w:lang w:eastAsia="ru-RU"/>
        </w:rPr>
        <w:t>Указанные блоки должны быть доступны пользователю в едином окне модуля без необходимости отдельной авторизации или перехода по внешним ссылкам.</w:t>
      </w:r>
    </w:p>
    <w:p>
      <w:pPr>
        <w:pStyle w:val="Normal"/>
        <w:rPr>
          <w:lang w:eastAsia="ru-RU"/>
        </w:rPr>
      </w:pPr>
      <w:r>
        <w:rPr>
          <w:lang w:eastAsia="ru-RU"/>
        </w:rPr>
        <w:t>Интерфейс модуля должен быть реализован в соответствии с принципами удобства использования и обеспечивать минимальное количество действий пользователя для получения необходимой информации.</w:t>
      </w:r>
    </w:p>
    <w:p>
      <w:pPr>
        <w:pStyle w:val="Normal"/>
        <w:rPr>
          <w:lang w:eastAsia="ru-RU"/>
        </w:rPr>
      </w:pPr>
      <w:r>
        <w:rPr>
          <w:lang w:eastAsia="ru-RU"/>
        </w:rPr>
        <w:t>На этапе технического проектирования должны быть разработаны права доступа в зависимости от роли пользователя и типа организации в ЕИАС ЖКХ МО. Перечень видов сведения модуля может быть уточнен на этапе технического проектирования.</w:t>
      </w:r>
    </w:p>
    <w:p>
      <w:pPr>
        <w:pStyle w:val="Normal"/>
        <w:rPr>
          <w:lang w:eastAsia="ru-RU"/>
        </w:rPr>
      </w:pPr>
      <w:r>
        <w:rPr>
          <w:lang w:eastAsia="ru-RU"/>
        </w:rPr>
      </w:r>
    </w:p>
    <w:p>
      <w:pPr>
        <w:pStyle w:val="Heading4"/>
        <w:numPr>
          <w:ilvl w:val="2"/>
          <w:numId w:val="18"/>
        </w:numPr>
        <w:ind w:firstLine="709" w:start="0"/>
        <w:rPr>
          <w:i/>
          <w:iCs/>
        </w:rPr>
      </w:pPr>
      <w:bookmarkStart w:id="24" w:name="_Hlk220420526"/>
      <w:r>
        <w:rPr/>
        <w:t>Требования к созданию мобильной версии личного кабинета организации ЕИАС ЖКХ МО</w:t>
      </w:r>
    </w:p>
    <w:p>
      <w:pPr>
        <w:pStyle w:val="Normal"/>
        <w:rPr>
          <w:lang w:eastAsia="ru-RU"/>
        </w:rPr>
      </w:pPr>
      <w:bookmarkStart w:id="25" w:name="_Hlk220420526"/>
      <w:r>
        <w:rPr>
          <w:lang w:eastAsia="ru-RU"/>
        </w:rPr>
        <w:t xml:space="preserve">Подрядчик должен обеспечить доступность личного кабинета организации ЕИАС ЖКХ МО с мобильных устройств посредством адаптивной веб-версии системы. </w:t>
      </w:r>
      <w:bookmarkEnd w:id="25"/>
    </w:p>
    <w:p>
      <w:pPr>
        <w:pStyle w:val="Normal"/>
        <w:rPr>
          <w:lang w:eastAsia="ru-RU"/>
        </w:rPr>
      </w:pPr>
      <w:r>
        <w:rPr>
          <w:lang w:eastAsia="ru-RU"/>
        </w:rPr>
        <w:t>Мобильная веб-версия должна обеспечивать доступ к следующим функциям системы:</w:t>
      </w:r>
    </w:p>
    <w:p>
      <w:pPr>
        <w:pStyle w:val="ListParagraph"/>
        <w:numPr>
          <w:ilvl w:val="0"/>
          <w:numId w:val="15"/>
        </w:numPr>
        <w:rPr>
          <w:lang w:eastAsia="ru-RU"/>
        </w:rPr>
      </w:pPr>
      <w:r>
        <w:rPr>
          <w:lang w:eastAsia="ru-RU"/>
        </w:rPr>
        <w:t>авторизация для пользователя личного кабинета организации ЕИАС ЖКХ МО;</w:t>
      </w:r>
    </w:p>
    <w:p>
      <w:pPr>
        <w:pStyle w:val="ListParagraph"/>
        <w:numPr>
          <w:ilvl w:val="0"/>
          <w:numId w:val="15"/>
        </w:numPr>
        <w:rPr>
          <w:lang w:eastAsia="ru-RU"/>
        </w:rPr>
      </w:pPr>
      <w:r>
        <w:rPr>
          <w:lang w:eastAsia="ru-RU"/>
        </w:rPr>
        <w:t>просмотр модуля аналитических панелей с ключевыми показателями;</w:t>
      </w:r>
    </w:p>
    <w:p>
      <w:pPr>
        <w:pStyle w:val="ListParagraph"/>
        <w:numPr>
          <w:ilvl w:val="0"/>
          <w:numId w:val="15"/>
        </w:numPr>
        <w:rPr>
          <w:lang w:eastAsia="ru-RU"/>
        </w:rPr>
      </w:pPr>
      <w:r>
        <w:rPr>
          <w:lang w:eastAsia="ru-RU"/>
        </w:rPr>
        <w:t>просмотр карточек объектов без возможности редактирования (режим «только чтение»);</w:t>
      </w:r>
    </w:p>
    <w:p>
      <w:pPr>
        <w:pStyle w:val="ListParagraph"/>
        <w:numPr>
          <w:ilvl w:val="0"/>
          <w:numId w:val="15"/>
        </w:numPr>
        <w:rPr>
          <w:lang w:eastAsia="ru-RU"/>
        </w:rPr>
      </w:pPr>
      <w:r>
        <w:rPr>
          <w:lang w:eastAsia="ru-RU"/>
        </w:rPr>
        <w:t>применение фильтров по периоду и уровню детализации на дашбордах.</w:t>
      </w:r>
    </w:p>
    <w:p>
      <w:pPr>
        <w:pStyle w:val="Normal"/>
        <w:rPr>
          <w:lang w:eastAsia="ru-RU"/>
        </w:rPr>
      </w:pPr>
      <w:r>
        <w:rPr>
          <w:lang w:eastAsia="ru-RU"/>
        </w:rPr>
        <w:t>Перечень функций, доступных в мобильном режиме, и состав экранов уточняются на этапе технического проектирования.</w:t>
      </w:r>
    </w:p>
    <w:p>
      <w:pPr>
        <w:pStyle w:val="Heading4"/>
        <w:numPr>
          <w:ilvl w:val="3"/>
          <w:numId w:val="18"/>
        </w:numPr>
        <w:rPr/>
      </w:pPr>
      <w:r>
        <w:rPr/>
        <w:t>Требования к интерфейсу мобильной веб-версии ЕИАС ЖКХ МО</w:t>
      </w:r>
    </w:p>
    <w:p>
      <w:pPr>
        <w:pStyle w:val="Normal"/>
        <w:rPr>
          <w:lang w:eastAsia="ru-RU"/>
        </w:rPr>
      </w:pPr>
      <w:r>
        <w:rPr>
          <w:lang w:eastAsia="ru-RU"/>
        </w:rPr>
        <w:t>К интерфейсу мобильной веб-версии ЕИАС ЖКХ МО предъявляются следующие требования:</w:t>
      </w:r>
    </w:p>
    <w:p>
      <w:pPr>
        <w:pStyle w:val="ListParagraph"/>
        <w:numPr>
          <w:ilvl w:val="0"/>
          <w:numId w:val="15"/>
        </w:numPr>
        <w:rPr>
          <w:lang w:eastAsia="ru-RU"/>
        </w:rPr>
      </w:pPr>
      <w:r>
        <w:rPr>
          <w:lang w:eastAsia="ru-RU"/>
        </w:rPr>
        <w:t>Адаптивность и поддерживаемые устройства:</w:t>
      </w:r>
    </w:p>
    <w:p>
      <w:pPr>
        <w:pStyle w:val="ListParagraph"/>
        <w:numPr>
          <w:ilvl w:val="1"/>
          <w:numId w:val="15"/>
        </w:numPr>
        <w:rPr>
          <w:lang w:eastAsia="ru-RU"/>
        </w:rPr>
      </w:pPr>
      <w:r>
        <w:rPr>
          <w:lang w:eastAsia="ru-RU"/>
        </w:rPr>
        <w:t>Поддержка устройств с шириной экрана от 360 пикселей (смартфоны) и от 768 пикселей (планшеты);</w:t>
      </w:r>
    </w:p>
    <w:p>
      <w:pPr>
        <w:pStyle w:val="ListParagraph"/>
        <w:numPr>
          <w:ilvl w:val="1"/>
          <w:numId w:val="15"/>
        </w:numPr>
        <w:rPr>
          <w:lang w:eastAsia="ru-RU"/>
        </w:rPr>
      </w:pPr>
      <w:r>
        <w:rPr>
          <w:lang w:eastAsia="ru-RU"/>
        </w:rPr>
        <w:t>Интерфейс должен корректно отображаться в портретной и альбомной ориентации без горизонтальной прокрутки страницы целиком;</w:t>
      </w:r>
    </w:p>
    <w:p>
      <w:pPr>
        <w:pStyle w:val="ListParagraph"/>
        <w:numPr>
          <w:ilvl w:val="1"/>
          <w:numId w:val="15"/>
        </w:numPr>
        <w:rPr>
          <w:lang w:eastAsia="ru-RU"/>
        </w:rPr>
      </w:pPr>
      <w:r>
        <w:rPr>
          <w:lang w:eastAsia="ru-RU"/>
        </w:rPr>
        <w:t>Поддерживаемые браузеры: последние две актуальные версии Яндекс браузера для Android, Яндекс браузер для iOS/iPadOS Safari, Google Chrome.</w:t>
      </w:r>
    </w:p>
    <w:p>
      <w:pPr>
        <w:pStyle w:val="ListParagraph"/>
        <w:numPr>
          <w:ilvl w:val="0"/>
          <w:numId w:val="15"/>
        </w:numPr>
        <w:rPr>
          <w:lang w:eastAsia="ru-RU"/>
        </w:rPr>
      </w:pPr>
      <w:r>
        <w:rPr>
          <w:lang w:eastAsia="ru-RU"/>
        </w:rPr>
        <w:t>Адаптивная вёрстка и поведение на устройствах:</w:t>
      </w:r>
    </w:p>
    <w:p>
      <w:pPr>
        <w:pStyle w:val="ListParagraph"/>
        <w:numPr>
          <w:ilvl w:val="1"/>
          <w:numId w:val="15"/>
        </w:numPr>
        <w:rPr>
          <w:lang w:eastAsia="ru-RU"/>
        </w:rPr>
      </w:pPr>
      <w:r>
        <w:rPr>
          <w:lang w:eastAsia="ru-RU"/>
        </w:rPr>
        <w:t>Интерфейс мобильной веб-версии должен корректно отображаться на трёх классах устройств:</w:t>
      </w:r>
    </w:p>
    <w:tbl>
      <w:tblPr>
        <w:tblW w:w="9351"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040"/>
        <w:gridCol w:w="3051"/>
        <w:gridCol w:w="3260"/>
      </w:tblGrid>
      <w:tr>
        <w:trPr>
          <w:trHeight w:val="630" w:hRule="atLeast"/>
        </w:trPr>
        <w:tc>
          <w:tcPr>
            <w:tcW w:w="3040"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rPr>
                <w:lang w:eastAsia="ru-RU"/>
              </w:rPr>
            </w:pPr>
            <w:r>
              <w:rPr>
                <w:lang w:eastAsia="ru-RU"/>
              </w:rPr>
              <w:t>Класс устройства</w:t>
            </w:r>
          </w:p>
        </w:tc>
        <w:tc>
          <w:tcPr>
            <w:tcW w:w="3051" w:type="dxa"/>
            <w:tcBorders>
              <w:top w:val="single" w:sz="4" w:space="0" w:color="000000"/>
              <w:bottom w:val="single" w:sz="4" w:space="0" w:color="000000"/>
              <w:end w:val="single" w:sz="4" w:space="0" w:color="000000"/>
            </w:tcBorders>
            <w:shd w:color="auto" w:fill="auto" w:val="clear"/>
            <w:vAlign w:val="center"/>
          </w:tcPr>
          <w:p>
            <w:pPr>
              <w:pStyle w:val="Normal"/>
              <w:rPr>
                <w:lang w:eastAsia="ru-RU"/>
              </w:rPr>
            </w:pPr>
            <w:r>
              <w:rPr>
                <w:lang w:eastAsia="ru-RU"/>
              </w:rPr>
              <w:t>Ширина экрана (CSS px)</w:t>
            </w:r>
          </w:p>
        </w:tc>
        <w:tc>
          <w:tcPr>
            <w:tcW w:w="3260" w:type="dxa"/>
            <w:tcBorders>
              <w:top w:val="single" w:sz="4" w:space="0" w:color="000000"/>
              <w:bottom w:val="single" w:sz="4" w:space="0" w:color="000000"/>
              <w:end w:val="single" w:sz="4" w:space="0" w:color="000000"/>
            </w:tcBorders>
            <w:shd w:color="auto" w:fill="auto" w:val="clear"/>
            <w:vAlign w:val="center"/>
          </w:tcPr>
          <w:p>
            <w:pPr>
              <w:pStyle w:val="Normal"/>
              <w:rPr>
                <w:lang w:eastAsia="ru-RU"/>
              </w:rPr>
            </w:pPr>
            <w:r>
              <w:rPr>
                <w:lang w:eastAsia="ru-RU"/>
              </w:rPr>
              <w:t>Layout</w:t>
            </w:r>
          </w:p>
        </w:tc>
      </w:tr>
      <w:tr>
        <w:trPr>
          <w:trHeight w:val="630" w:hRule="atLeast"/>
        </w:trPr>
        <w:tc>
          <w:tcPr>
            <w:tcW w:w="3040" w:type="dxa"/>
            <w:tcBorders>
              <w:start w:val="single" w:sz="4" w:space="0" w:color="000000"/>
              <w:bottom w:val="single" w:sz="4" w:space="0" w:color="000000"/>
              <w:end w:val="single" w:sz="4" w:space="0" w:color="000000"/>
            </w:tcBorders>
            <w:shd w:color="auto" w:fill="auto" w:val="clear"/>
            <w:vAlign w:val="center"/>
          </w:tcPr>
          <w:p>
            <w:pPr>
              <w:pStyle w:val="Normal"/>
              <w:rPr>
                <w:lang w:eastAsia="ru-RU"/>
              </w:rPr>
            </w:pPr>
            <w:r>
              <w:rPr>
                <w:lang w:eastAsia="ru-RU"/>
              </w:rPr>
              <w:t>Смартфон (портрет)</w:t>
            </w:r>
          </w:p>
        </w:tc>
        <w:tc>
          <w:tcPr>
            <w:tcW w:w="3051" w:type="dxa"/>
            <w:tcBorders>
              <w:bottom w:val="single" w:sz="4" w:space="0" w:color="000000"/>
              <w:end w:val="single" w:sz="4" w:space="0" w:color="000000"/>
            </w:tcBorders>
            <w:shd w:color="auto" w:fill="auto" w:val="clear"/>
            <w:vAlign w:val="center"/>
          </w:tcPr>
          <w:p>
            <w:pPr>
              <w:pStyle w:val="Normal"/>
              <w:rPr>
                <w:lang w:eastAsia="ru-RU"/>
              </w:rPr>
            </w:pPr>
            <w:r>
              <w:rPr>
                <w:lang w:eastAsia="ru-RU"/>
              </w:rPr>
              <w:t>360–767 px</w:t>
            </w:r>
          </w:p>
        </w:tc>
        <w:tc>
          <w:tcPr>
            <w:tcW w:w="3260" w:type="dxa"/>
            <w:tcBorders>
              <w:bottom w:val="single" w:sz="4" w:space="0" w:color="000000"/>
              <w:end w:val="single" w:sz="4" w:space="0" w:color="000000"/>
            </w:tcBorders>
            <w:shd w:color="auto" w:fill="auto" w:val="clear"/>
            <w:vAlign w:val="center"/>
          </w:tcPr>
          <w:p>
            <w:pPr>
              <w:pStyle w:val="Normal"/>
              <w:rPr>
                <w:lang w:eastAsia="ru-RU"/>
              </w:rPr>
            </w:pPr>
            <w:r>
              <w:rPr>
                <w:lang w:eastAsia="ru-RU"/>
              </w:rPr>
              <w:t>1 колонка, нижнее меню (tab bar)</w:t>
            </w:r>
          </w:p>
        </w:tc>
      </w:tr>
      <w:tr>
        <w:trPr>
          <w:trHeight w:val="945" w:hRule="atLeast"/>
        </w:trPr>
        <w:tc>
          <w:tcPr>
            <w:tcW w:w="3040" w:type="dxa"/>
            <w:tcBorders>
              <w:start w:val="single" w:sz="4" w:space="0" w:color="000000"/>
              <w:bottom w:val="single" w:sz="4" w:space="0" w:color="000000"/>
              <w:end w:val="single" w:sz="4" w:space="0" w:color="000000"/>
            </w:tcBorders>
            <w:shd w:color="auto" w:fill="auto" w:val="clear"/>
            <w:vAlign w:val="center"/>
          </w:tcPr>
          <w:p>
            <w:pPr>
              <w:pStyle w:val="Normal"/>
              <w:rPr>
                <w:lang w:eastAsia="ru-RU"/>
              </w:rPr>
            </w:pPr>
            <w:r>
              <w:rPr>
                <w:lang w:eastAsia="ru-RU"/>
              </w:rPr>
              <w:t>Смартфон (альбом) / планшет (портрет)</w:t>
            </w:r>
          </w:p>
        </w:tc>
        <w:tc>
          <w:tcPr>
            <w:tcW w:w="3051" w:type="dxa"/>
            <w:tcBorders>
              <w:bottom w:val="single" w:sz="4" w:space="0" w:color="000000"/>
              <w:end w:val="single" w:sz="4" w:space="0" w:color="000000"/>
            </w:tcBorders>
            <w:shd w:color="auto" w:fill="auto" w:val="clear"/>
            <w:vAlign w:val="center"/>
          </w:tcPr>
          <w:p>
            <w:pPr>
              <w:pStyle w:val="Normal"/>
              <w:rPr>
                <w:lang w:eastAsia="ru-RU"/>
              </w:rPr>
            </w:pPr>
            <w:r>
              <w:rPr>
                <w:lang w:eastAsia="ru-RU"/>
              </w:rPr>
              <w:t>768–1023 px</w:t>
            </w:r>
          </w:p>
        </w:tc>
        <w:tc>
          <w:tcPr>
            <w:tcW w:w="3260" w:type="dxa"/>
            <w:tcBorders>
              <w:bottom w:val="single" w:sz="4" w:space="0" w:color="000000"/>
              <w:end w:val="single" w:sz="4" w:space="0" w:color="000000"/>
            </w:tcBorders>
            <w:shd w:color="auto" w:fill="auto" w:val="clear"/>
            <w:vAlign w:val="center"/>
          </w:tcPr>
          <w:p>
            <w:pPr>
              <w:pStyle w:val="Normal"/>
              <w:rPr>
                <w:lang w:eastAsia="ru-RU"/>
              </w:rPr>
            </w:pPr>
            <w:r>
              <w:rPr>
                <w:lang w:eastAsia="ru-RU"/>
              </w:rPr>
              <w:t>1–2 колонки виджетов, нижнее меню</w:t>
            </w:r>
          </w:p>
        </w:tc>
      </w:tr>
      <w:tr>
        <w:trPr>
          <w:trHeight w:val="635" w:hRule="atLeast"/>
        </w:trPr>
        <w:tc>
          <w:tcPr>
            <w:tcW w:w="3040" w:type="dxa"/>
            <w:tcBorders>
              <w:start w:val="single" w:sz="4" w:space="0" w:color="000000"/>
              <w:bottom w:val="single" w:sz="4" w:space="0" w:color="000000"/>
              <w:end w:val="single" w:sz="4" w:space="0" w:color="000000"/>
            </w:tcBorders>
            <w:shd w:color="auto" w:fill="auto" w:val="clear"/>
            <w:vAlign w:val="center"/>
          </w:tcPr>
          <w:p>
            <w:pPr>
              <w:pStyle w:val="Normal"/>
              <w:rPr>
                <w:lang w:eastAsia="ru-RU"/>
              </w:rPr>
            </w:pPr>
            <w:r>
              <w:rPr>
                <w:lang w:eastAsia="ru-RU"/>
              </w:rPr>
              <w:t>Планшет (альбом)</w:t>
            </w:r>
          </w:p>
        </w:tc>
        <w:tc>
          <w:tcPr>
            <w:tcW w:w="3051" w:type="dxa"/>
            <w:tcBorders>
              <w:bottom w:val="single" w:sz="4" w:space="0" w:color="000000"/>
              <w:end w:val="single" w:sz="4" w:space="0" w:color="000000"/>
            </w:tcBorders>
            <w:shd w:color="auto" w:fill="auto" w:val="clear"/>
            <w:vAlign w:val="center"/>
          </w:tcPr>
          <w:p>
            <w:pPr>
              <w:pStyle w:val="Normal"/>
              <w:rPr>
                <w:lang w:eastAsia="ru-RU"/>
              </w:rPr>
            </w:pPr>
            <w:r>
              <w:rPr>
                <w:lang w:eastAsia="ru-RU"/>
              </w:rPr>
              <w:t>1024–1279 px</w:t>
            </w:r>
          </w:p>
        </w:tc>
        <w:tc>
          <w:tcPr>
            <w:tcW w:w="3260" w:type="dxa"/>
            <w:tcBorders>
              <w:bottom w:val="single" w:sz="4" w:space="0" w:color="000000"/>
              <w:end w:val="single" w:sz="4" w:space="0" w:color="000000"/>
            </w:tcBorders>
            <w:shd w:color="auto" w:fill="auto" w:val="clear"/>
            <w:vAlign w:val="center"/>
          </w:tcPr>
          <w:p>
            <w:pPr>
              <w:pStyle w:val="Normal"/>
              <w:rPr>
                <w:lang w:eastAsia="ru-RU"/>
              </w:rPr>
            </w:pPr>
            <w:r>
              <w:rPr>
                <w:lang w:eastAsia="ru-RU"/>
              </w:rPr>
              <w:t>2 колонки виджетов, боковое или нижнее меню</w:t>
            </w:r>
          </w:p>
        </w:tc>
      </w:tr>
    </w:tbl>
    <w:p>
      <w:pPr>
        <w:pStyle w:val="Normal"/>
        <w:rPr/>
      </w:pPr>
      <w:r>
        <w:rPr/>
        <w:t>* Все значения ширины указаны в логических пикселях (CSS px). Физическое разрешение экрана может быть выше с учетом device pixel ratio (DPR) устройства.</w:t>
      </w:r>
    </w:p>
    <w:p>
      <w:pPr>
        <w:pStyle w:val="ListParagraph"/>
        <w:numPr>
          <w:ilvl w:val="1"/>
          <w:numId w:val="15"/>
        </w:numPr>
        <w:rPr>
          <w:lang w:eastAsia="ru-RU"/>
        </w:rPr>
      </w:pPr>
      <w:r>
        <w:rPr>
          <w:lang w:eastAsia="ru-RU"/>
        </w:rPr>
        <w:t>На планшете в альбомной ориентации допускается отображение двух виджетов в строке при условии сохранения читаемости данных.</w:t>
      </w:r>
    </w:p>
    <w:p>
      <w:pPr>
        <w:pStyle w:val="ListParagraph"/>
        <w:numPr>
          <w:ilvl w:val="1"/>
          <w:numId w:val="15"/>
        </w:numPr>
        <w:rPr>
          <w:lang w:eastAsia="ru-RU"/>
        </w:rPr>
      </w:pPr>
      <w:r>
        <w:rPr>
          <w:lang w:eastAsia="ru-RU"/>
        </w:rPr>
        <w:t>Переход между layout-режимами происходит автоматически при изменении ширины окна браузера без перезагрузки страницы.</w:t>
      </w:r>
    </w:p>
    <w:p>
      <w:pPr>
        <w:pStyle w:val="ListParagraph"/>
        <w:numPr>
          <w:ilvl w:val="1"/>
          <w:numId w:val="15"/>
        </w:numPr>
        <w:rPr>
          <w:lang w:eastAsia="ru-RU"/>
        </w:rPr>
      </w:pPr>
      <w:r>
        <w:rPr>
          <w:lang w:eastAsia="ru-RU"/>
        </w:rPr>
        <w:t>Шрифт основного контента не должен масштабироваться браузером автоматически (запрет text-size-adjust) размеры задаются явно в CSS.</w:t>
      </w:r>
    </w:p>
    <w:p>
      <w:pPr>
        <w:pStyle w:val="ListParagraph"/>
        <w:numPr>
          <w:ilvl w:val="0"/>
          <w:numId w:val="15"/>
        </w:numPr>
        <w:rPr>
          <w:lang w:eastAsia="ru-RU"/>
        </w:rPr>
      </w:pPr>
      <w:r>
        <w:rPr>
          <w:lang w:eastAsia="ru-RU"/>
        </w:rPr>
        <w:t>Навигация:</w:t>
      </w:r>
    </w:p>
    <w:p>
      <w:pPr>
        <w:pStyle w:val="ListParagraph"/>
        <w:numPr>
          <w:ilvl w:val="1"/>
          <w:numId w:val="15"/>
        </w:numPr>
        <w:rPr>
          <w:lang w:eastAsia="ru-RU"/>
        </w:rPr>
      </w:pPr>
      <w:r>
        <w:rPr>
          <w:lang w:eastAsia="ru-RU"/>
        </w:rPr>
        <w:t>Основная навигация реализуется через нижнее меню (tab bar) с не более чем пятью разделами; текущий раздел явно выделен визуально (цвет + подпись).</w:t>
      </w:r>
    </w:p>
    <w:p>
      <w:pPr>
        <w:pStyle w:val="ListParagraph"/>
        <w:numPr>
          <w:ilvl w:val="1"/>
          <w:numId w:val="15"/>
        </w:numPr>
        <w:rPr>
          <w:lang w:eastAsia="ru-RU"/>
        </w:rPr>
      </w:pPr>
      <w:r>
        <w:rPr>
          <w:lang w:eastAsia="ru-RU"/>
        </w:rPr>
        <w:t>Вложенная навигация — через стандартный паттерн «стек экранов» со стрелкой «Назад» в верхнем левом углу.</w:t>
      </w:r>
    </w:p>
    <w:p>
      <w:pPr>
        <w:pStyle w:val="ListParagraph"/>
        <w:numPr>
          <w:ilvl w:val="1"/>
          <w:numId w:val="15"/>
        </w:numPr>
        <w:rPr>
          <w:lang w:eastAsia="ru-RU"/>
        </w:rPr>
      </w:pPr>
      <w:r>
        <w:rPr>
          <w:lang w:eastAsia="ru-RU"/>
        </w:rPr>
        <w:t>Навигационная иерархия не должна превышать трех уровней вложенности.</w:t>
      </w:r>
    </w:p>
    <w:p>
      <w:pPr>
        <w:pStyle w:val="ListParagraph"/>
        <w:numPr>
          <w:ilvl w:val="0"/>
          <w:numId w:val="15"/>
        </w:numPr>
        <w:rPr>
          <w:lang w:eastAsia="ru-RU"/>
        </w:rPr>
      </w:pPr>
      <w:r>
        <w:rPr>
          <w:lang w:eastAsia="ru-RU"/>
        </w:rPr>
        <w:t>Производительность:</w:t>
      </w:r>
    </w:p>
    <w:p>
      <w:pPr>
        <w:pStyle w:val="ListParagraph"/>
        <w:numPr>
          <w:ilvl w:val="1"/>
          <w:numId w:val="15"/>
        </w:numPr>
        <w:rPr>
          <w:lang w:eastAsia="ru-RU"/>
        </w:rPr>
      </w:pPr>
      <w:r>
        <w:rPr>
          <w:lang w:eastAsia="ru-RU"/>
        </w:rPr>
        <w:t>Страница авторизации открывается не более чем за 5 секунды при соединении 4G/LTE.</w:t>
      </w:r>
    </w:p>
    <w:p>
      <w:pPr>
        <w:pStyle w:val="ListParagraph"/>
        <w:numPr>
          <w:ilvl w:val="1"/>
          <w:numId w:val="15"/>
        </w:numPr>
        <w:rPr>
          <w:lang w:eastAsia="ru-RU"/>
        </w:rPr>
      </w:pPr>
      <w:r>
        <w:rPr>
          <w:lang w:eastAsia="ru-RU"/>
        </w:rPr>
        <w:t>Переход на главный экран после успешной авторизации — не более 5 секунд.</w:t>
      </w:r>
    </w:p>
    <w:p>
      <w:pPr>
        <w:pStyle w:val="ListParagraph"/>
        <w:numPr>
          <w:ilvl w:val="1"/>
          <w:numId w:val="15"/>
        </w:numPr>
        <w:rPr>
          <w:lang w:eastAsia="ru-RU"/>
        </w:rPr>
      </w:pPr>
      <w:r>
        <w:rPr>
          <w:lang w:eastAsia="ru-RU"/>
        </w:rPr>
        <w:t>Загрузка дашборда с данными — не более 10 секунд при соединении 4G/LTE.</w:t>
      </w:r>
    </w:p>
    <w:p>
      <w:pPr>
        <w:pStyle w:val="Normal"/>
        <w:rPr>
          <w:lang w:eastAsia="ru-RU"/>
        </w:rPr>
      </w:pPr>
      <w:r>
        <w:rPr>
          <w:lang w:eastAsia="ru-RU"/>
        </w:rPr>
        <w:t>Конкретное технологическое решение и итоговый состав экранов мобильной веб-версии определяются на этапе технического проектирования.</w:t>
      </w:r>
    </w:p>
    <w:p>
      <w:pPr>
        <w:pStyle w:val="Normal"/>
        <w:rPr>
          <w:lang w:eastAsia="ru-RU"/>
        </w:rPr>
      </w:pPr>
      <w:r>
        <w:rPr>
          <w:lang w:eastAsia="ru-RU"/>
        </w:rPr>
      </w:r>
    </w:p>
    <w:p>
      <w:pPr>
        <w:pStyle w:val="Heading3"/>
        <w:numPr>
          <w:ilvl w:val="1"/>
          <w:numId w:val="18"/>
        </w:numPr>
        <w:ind w:firstLine="709" w:start="0"/>
        <w:rPr/>
      </w:pPr>
      <w:bookmarkStart w:id="26" w:name="_Toc239425662"/>
      <w:r>
        <w:rPr/>
        <w:t>Требования к видам обеспечения Системы</w:t>
      </w:r>
      <w:bookmarkEnd w:id="26"/>
    </w:p>
    <w:p>
      <w:pPr>
        <w:pStyle w:val="Heading4"/>
        <w:numPr>
          <w:ilvl w:val="2"/>
          <w:numId w:val="18"/>
        </w:numPr>
        <w:ind w:firstLine="709" w:start="0"/>
        <w:rPr>
          <w:i/>
          <w:iCs/>
        </w:rPr>
      </w:pPr>
      <w:r>
        <w:rPr/>
        <w:t>Требования к математическому обеспечению</w:t>
      </w:r>
    </w:p>
    <w:p>
      <w:pPr>
        <w:pStyle w:val="Normal"/>
        <w:rPr>
          <w:b/>
          <w:bCs/>
          <w:lang w:eastAsia="ru-RU"/>
        </w:rPr>
      </w:pPr>
      <w:r>
        <w:rPr/>
        <w:t>Требования не предъявляются.</w:t>
      </w:r>
    </w:p>
    <w:p>
      <w:pPr>
        <w:pStyle w:val="Heading4"/>
        <w:numPr>
          <w:ilvl w:val="2"/>
          <w:numId w:val="18"/>
        </w:numPr>
        <w:ind w:firstLine="709" w:start="0"/>
        <w:rPr>
          <w:i/>
          <w:iCs/>
        </w:rPr>
      </w:pPr>
      <w:r>
        <w:rPr/>
        <w:t>Требования к информационному обеспечению</w:t>
      </w:r>
    </w:p>
    <w:p>
      <w:pPr>
        <w:pStyle w:val="Normal"/>
        <w:rPr/>
      </w:pPr>
      <w:r>
        <w:rPr/>
        <w:t>Состав, структура и способы организации данных в веб-интерфейсах должны быть определенны на этапе технического проектирования.</w:t>
      </w:r>
    </w:p>
    <w:p>
      <w:pPr>
        <w:pStyle w:val="Normal"/>
        <w:rPr/>
      </w:pPr>
      <w:r>
        <w:rPr/>
        <w:t>Средства СУБД, а также средства используемых операционных систем должны обеспечивать документирование и протоколирование обрабатываемой в Системе информации.</w:t>
      </w:r>
    </w:p>
    <w:p>
      <w:pPr>
        <w:pStyle w:val="Normal"/>
        <w:rPr/>
      </w:pPr>
      <w:r>
        <w:rPr/>
        <w:t>Структура базы данных должна поддерживать кодирование хранимой и обрабатываемой информации в соответствии с общероссийскими классификаторами.</w:t>
      </w:r>
    </w:p>
    <w:p>
      <w:pPr>
        <w:pStyle w:val="Normal"/>
        <w:rPr/>
      </w:pPr>
      <w:r>
        <w:rPr/>
        <w:t>Доступ к данным должен быть предоставлен только авторизованным пользователям с учетом их служебных полномочий, а также с учетом категории запрашиваемой информации.</w:t>
      </w:r>
    </w:p>
    <w:p>
      <w:pPr>
        <w:pStyle w:val="Normal"/>
        <w:rPr/>
      </w:pPr>
      <w:r>
        <w:rPr/>
        <w:t>Технические средства, обеспечивающие хранение информации, должны использовать современные технологии, позволяющие обеспечить повышенную надежность хранения данных и оперативную замену оборудования.</w:t>
      </w:r>
    </w:p>
    <w:p>
      <w:pPr>
        <w:pStyle w:val="Heading4"/>
        <w:numPr>
          <w:ilvl w:val="2"/>
          <w:numId w:val="18"/>
        </w:numPr>
        <w:ind w:firstLine="709" w:start="0"/>
        <w:rPr>
          <w:i/>
          <w:iCs/>
        </w:rPr>
      </w:pPr>
      <w:r>
        <w:rPr/>
        <w:t>Требования к лингвистическому обеспечению</w:t>
      </w:r>
    </w:p>
    <w:p>
      <w:pPr>
        <w:pStyle w:val="Normal"/>
        <w:rPr/>
      </w:pPr>
      <w:r>
        <w:rPr/>
        <w:t>Интерфейс программного обеспечения, справочная, техническая и эксплуатационная документация должны быть выполнены на русском языке.</w:t>
      </w:r>
    </w:p>
    <w:p>
      <w:pPr>
        <w:pStyle w:val="Normal"/>
        <w:rPr/>
      </w:pPr>
      <w:r>
        <w:rPr/>
        <w:t>Сообщения при выполнении ошибочных действиях пользователя должны быть на русском языке, за исключением системных ошибок.</w:t>
      </w:r>
    </w:p>
    <w:p>
      <w:pPr>
        <w:pStyle w:val="Heading4"/>
        <w:numPr>
          <w:ilvl w:val="2"/>
          <w:numId w:val="18"/>
        </w:numPr>
        <w:ind w:firstLine="709" w:start="0"/>
        <w:rPr>
          <w:i/>
          <w:iCs/>
        </w:rPr>
      </w:pPr>
      <w:r>
        <w:rPr/>
        <w:t>Требования к программному обеспечению</w:t>
      </w:r>
    </w:p>
    <w:p>
      <w:pPr>
        <w:pStyle w:val="Normal"/>
        <w:rPr>
          <w:lang w:eastAsia="ru-RU"/>
        </w:rPr>
      </w:pPr>
      <w:r>
        <w:rPr>
          <w:lang w:eastAsia="ru-RU"/>
        </w:rPr>
        <w:t xml:space="preserve">Программное обеспечение, используемое для достижений целей и решения задач, в рамках настоящего технического задания, должно быть включено в реестре российского и/или евразийского программного обеспечения. В случае невозможности использования программного обеспечения из реестра российского и/или евразийского программного обеспечения по основаниям, предусмотренных подпунктами е), ж) пункта 5 Постановления Правительства РФ от 23.12.2024 №1875 «О </w:t>
      </w:r>
      <w:r>
        <w:rPr/>
        <w:t xml:space="preserve">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lang w:eastAsia="ru-RU"/>
        </w:rPr>
        <w:t xml:space="preserve">  в этом случае в проектной документации включается обоснование неприменения запрета использования программного обеспечения происходящего из иностранных государств и не находящихся в реестре евразийского программного обеспечения, с соблюдением требований, предусмотренных подпунктами е), ж) пункта 5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rPr>
          <w:lang w:eastAsia="ru-RU"/>
        </w:rPr>
      </w:pPr>
      <w:r>
        <w:rPr>
          <w:lang w:eastAsia="ru-RU"/>
        </w:rPr>
        <w:t xml:space="preserve">При проектировании Системы при ее развитии необходимо обеспечить отсутствие уязвимостей программного (программно-технического) обеспечения и Системы в целом. Под уязвимостью следует понимать технологическую особенность программного (программно-технического) и технического обеспечения, которая может быть использована для реализации угроз безопасности информации. Перечень проверяемых уязвимостей размещен в реестре системы управления уязвимостями по адресу </w:t>
      </w:r>
      <w:r>
        <w:rPr>
          <w:lang w:val="en-US" w:eastAsia="ru-RU"/>
        </w:rPr>
        <w:t>suu</w:t>
      </w:r>
      <w:r>
        <w:rPr>
          <w:lang w:eastAsia="ru-RU"/>
        </w:rPr>
        <w:t>.</w:t>
      </w:r>
      <w:r>
        <w:rPr>
          <w:lang w:val="en-US" w:eastAsia="ru-RU"/>
        </w:rPr>
        <w:t>cibint</w:t>
      </w:r>
      <w:r>
        <w:rPr>
          <w:lang w:eastAsia="ru-RU"/>
        </w:rPr>
        <w:t>.</w:t>
      </w:r>
      <w:r>
        <w:rPr>
          <w:lang w:val="en-US" w:eastAsia="ru-RU"/>
        </w:rPr>
        <w:t>mosreg</w:t>
      </w:r>
      <w:r>
        <w:rPr>
          <w:lang w:eastAsia="ru-RU"/>
        </w:rPr>
        <w:t>.</w:t>
      </w:r>
      <w:r>
        <w:rPr>
          <w:lang w:val="en-US" w:eastAsia="ru-RU"/>
        </w:rPr>
        <w:t>ru</w:t>
      </w:r>
      <w:r>
        <w:rPr>
          <w:lang w:eastAsia="ru-RU"/>
        </w:rPr>
        <w:t>.</w:t>
      </w:r>
    </w:p>
    <w:p>
      <w:pPr>
        <w:pStyle w:val="Normal"/>
        <w:rPr>
          <w:lang w:eastAsia="ru-RU"/>
        </w:rPr>
      </w:pPr>
      <w:bookmarkStart w:id="27" w:name="_Hlk179807266"/>
      <w:r>
        <w:rPr>
          <w:lang w:eastAsia="ru-RU"/>
        </w:rPr>
        <w:t>Выявление, анализ и контроль устранения уязвимостей осуществляет ГКУ МО «ЦИБ МО»  на основании уведомления Заказчиком о проведении работ по развитию (модернизации) Системы при вводе Системы в эксплуатацию.</w:t>
      </w:r>
      <w:bookmarkEnd w:id="27"/>
    </w:p>
    <w:p>
      <w:pPr>
        <w:pStyle w:val="Heading4"/>
        <w:numPr>
          <w:ilvl w:val="2"/>
          <w:numId w:val="18"/>
        </w:numPr>
        <w:ind w:firstLine="709" w:start="0"/>
        <w:rPr>
          <w:i/>
          <w:iCs/>
        </w:rPr>
      </w:pPr>
      <w:r>
        <w:rPr/>
        <w:t>Требования техническому обеспечению</w:t>
      </w:r>
    </w:p>
    <w:p>
      <w:pPr>
        <w:pStyle w:val="Normal"/>
        <w:rPr/>
      </w:pPr>
      <w:r>
        <w:rPr/>
        <w:t>Используемое при развитии Системы Программное обеспечение и библиотеки программных кодов должны быть общедоступными и использоваться в промышленных масштабах. Программная платформа, на основе которой реализуются прикладные функции, должна быть зарегистрирована в Едином реестре российских программ для электронных вычислительных машин и баз данных.</w:t>
      </w:r>
    </w:p>
    <w:p>
      <w:pPr>
        <w:pStyle w:val="Normal"/>
        <w:rPr/>
      </w:pPr>
      <w:r>
        <w:rPr/>
        <w:t>В составе программного обеспечения Системы должно содержаться общесистемное и специальное программное обеспечение.</w:t>
      </w:r>
    </w:p>
    <w:p>
      <w:pPr>
        <w:pStyle w:val="Normal"/>
        <w:rPr/>
      </w:pPr>
      <w:r>
        <w:rPr/>
        <w:t>Общесистемное программное обеспечение должно включать в себя: операционную систему, СУБД, набор сервисных и тестовых программ. Допускается использование имеющегося общесистемного программного обеспечения.</w:t>
      </w:r>
    </w:p>
    <w:p>
      <w:pPr>
        <w:pStyle w:val="Heading4"/>
        <w:numPr>
          <w:ilvl w:val="2"/>
          <w:numId w:val="18"/>
        </w:numPr>
        <w:ind w:firstLine="709" w:start="0"/>
        <w:rPr>
          <w:i/>
          <w:iCs/>
        </w:rPr>
      </w:pPr>
      <w:r>
        <w:rPr/>
        <w:t>Требования метрологическому обеспечению</w:t>
      </w:r>
    </w:p>
    <w:p>
      <w:pPr>
        <w:pStyle w:val="Normal"/>
        <w:rPr>
          <w:i/>
          <w:iCs/>
        </w:rPr>
      </w:pPr>
      <w:r>
        <w:rPr>
          <w:lang w:eastAsia="ru-RU"/>
        </w:rPr>
        <w:t>Требования к метрологическому обеспечению не предъявляются.</w:t>
      </w:r>
    </w:p>
    <w:p>
      <w:pPr>
        <w:pStyle w:val="Heading4"/>
        <w:numPr>
          <w:ilvl w:val="2"/>
          <w:numId w:val="18"/>
        </w:numPr>
        <w:ind w:firstLine="709" w:start="0"/>
        <w:rPr>
          <w:i/>
          <w:iCs/>
        </w:rPr>
      </w:pPr>
      <w:r>
        <w:rPr/>
        <w:t>Требования к организационному обеспечению</w:t>
      </w:r>
    </w:p>
    <w:p>
      <w:pPr>
        <w:pStyle w:val="Normal"/>
        <w:rPr/>
      </w:pPr>
      <w:r>
        <w:rPr/>
        <w:t>Структура развиваемой Системы предполагает эксплуатацию пользователями разных уровней и подчиненности. Для обеспечения эффективности эксплуатации Системы и актуальности данных необходимо обеспечить своевременное предоставление первичных данных пользователями всех уровней (иных систем). Для решения этой задачи на этапе подготовки Системы к вводу в промышленную эксплуатацию Заказчику необходимо организовать подписание соответствующих соглашений об информационном взаимодействии между участниками процессов взаимодействия.</w:t>
      </w:r>
    </w:p>
    <w:p>
      <w:pPr>
        <w:pStyle w:val="Normal"/>
        <w:rPr>
          <w:lang w:eastAsia="ru-RU"/>
        </w:rPr>
      </w:pPr>
      <w:r>
        <w:rPr>
          <w:lang w:eastAsia="ru-RU"/>
        </w:rPr>
      </w:r>
    </w:p>
    <w:p>
      <w:pPr>
        <w:pStyle w:val="Heading4"/>
        <w:numPr>
          <w:ilvl w:val="2"/>
          <w:numId w:val="18"/>
        </w:numPr>
        <w:ind w:firstLine="709" w:start="0"/>
        <w:rPr>
          <w:i/>
          <w:iCs/>
        </w:rPr>
      </w:pPr>
      <w:r>
        <w:rPr/>
        <w:t xml:space="preserve">Требования к методическому обеспечению </w:t>
      </w:r>
    </w:p>
    <w:p>
      <w:pPr>
        <w:pStyle w:val="Normal"/>
        <w:rPr/>
      </w:pPr>
      <w:r>
        <w:rPr/>
        <w:t xml:space="preserve">Перечень нормативных актов, на основе и с соблюдением которых должна быть реализована Система: </w:t>
      </w:r>
    </w:p>
    <w:p>
      <w:pPr>
        <w:pStyle w:val="ListBullet"/>
        <w:numPr>
          <w:ilvl w:val="0"/>
          <w:numId w:val="7"/>
        </w:numPr>
        <w:rPr/>
      </w:pPr>
      <w:r>
        <w:rPr/>
        <w:t>Жилищный кодекс Российской Федерации от 29.12.2004 № 188-ФЗ;</w:t>
      </w:r>
    </w:p>
    <w:p>
      <w:pPr>
        <w:pStyle w:val="ListBullet"/>
        <w:numPr>
          <w:ilvl w:val="0"/>
          <w:numId w:val="7"/>
        </w:numPr>
        <w:rPr/>
      </w:pPr>
      <w:r>
        <w:rPr/>
        <w:t>Федеральный закон от 21.07.2014 № 209-ФЗ «О государственной информационной системе жилищно-коммунального хозяйства»;</w:t>
      </w:r>
    </w:p>
    <w:p>
      <w:pPr>
        <w:pStyle w:val="ListBullet"/>
        <w:numPr>
          <w:ilvl w:val="0"/>
          <w:numId w:val="7"/>
        </w:numPr>
        <w:rPr/>
      </w:pPr>
      <w:r>
        <w:rPr/>
        <w:t xml:space="preserve">Постановление Правительства РФ от </w:t>
      </w:r>
      <w:r>
        <w:rPr>
          <w:bCs/>
        </w:rPr>
        <w:t xml:space="preserve">28 ноября 2025 г. № 1939 </w:t>
        <w:br/>
      </w:r>
      <w:r>
        <w:rPr/>
        <w:t>«О государственном учете жилищного фонда в Российской Федерации»;</w:t>
      </w:r>
    </w:p>
    <w:p>
      <w:pPr>
        <w:pStyle w:val="ListBullet"/>
        <w:numPr>
          <w:ilvl w:val="0"/>
          <w:numId w:val="7"/>
        </w:numPr>
        <w:rPr/>
      </w:pPr>
      <w:r>
        <w:rPr/>
        <w:t>Постановление Правительства РФ от 06.05.2011 № 354 «О предоставлении коммунальных услуг собственникам и пользователям помещений в многоквартирных домах и жилых домов»;</w:t>
      </w:r>
    </w:p>
    <w:p>
      <w:pPr>
        <w:pStyle w:val="ListBullet"/>
        <w:numPr>
          <w:ilvl w:val="0"/>
          <w:numId w:val="7"/>
        </w:numPr>
        <w:rPr/>
      </w:pPr>
      <w:r>
        <w:rPr/>
        <w:t xml:space="preserve">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(вместе с «Правилами оказания услуг и выполнения работ, необходимых для обеспечения надлежащего содержания общего имущества в многоквартирном доме»); </w:t>
      </w:r>
    </w:p>
    <w:p>
      <w:pPr>
        <w:pStyle w:val="ListBullet"/>
        <w:numPr>
          <w:ilvl w:val="0"/>
          <w:numId w:val="7"/>
        </w:numPr>
        <w:rPr/>
      </w:pPr>
      <w:r>
        <w:rPr/>
        <w:t>Постановление Правительства Российской Федерации от 23.05.2006 № 306 «Об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w:t>
      </w:r>
    </w:p>
    <w:p>
      <w:pPr>
        <w:pStyle w:val="ListBullet"/>
        <w:numPr>
          <w:ilvl w:val="0"/>
          <w:numId w:val="7"/>
        </w:numPr>
        <w:rPr/>
      </w:pPr>
      <w:r>
        <w:rPr/>
        <w:t>Постановление Правительства РФ от 06.05.2011 № 354 «О предоставлении коммунальных услуг собственникам и пользователям помещений в многоквартирных домах и жилых домов»</w:t>
      </w:r>
    </w:p>
    <w:p>
      <w:pPr>
        <w:pStyle w:val="ListBullet"/>
        <w:numPr>
          <w:ilvl w:val="0"/>
          <w:numId w:val="7"/>
        </w:numPr>
        <w:rPr/>
      </w:pPr>
      <w:r>
        <w:rPr/>
        <w:t>Приказ Минстроя России от 10.08.2015 № 575/пр «Об установлении количества процедур пользования одним водоразборным устройством в течение календарного месяца, применяемых в целях расчета нормативов потребления коммунальных услуг по холодному и горячему водоснабжению в жилых помещениях»</w:t>
      </w:r>
    </w:p>
    <w:p>
      <w:pPr>
        <w:pStyle w:val="ListBullet"/>
        <w:numPr>
          <w:ilvl w:val="0"/>
          <w:numId w:val="7"/>
        </w:numPr>
        <w:rPr/>
      </w:pPr>
      <w:r>
        <w:rPr/>
        <w:t>Постановление Правительства РФ от 29.07.2013 № 644 «Об утверждении Правил холодного водоснабжения и водоотведения и о внесении изменений в некоторые акты Правительства Российской Федерации»</w:t>
      </w:r>
    </w:p>
    <w:p>
      <w:pPr>
        <w:pStyle w:val="ListBullet"/>
        <w:numPr>
          <w:ilvl w:val="0"/>
          <w:numId w:val="7"/>
        </w:numPr>
        <w:rPr>
          <w:b/>
          <w:bCs/>
          <w:lang w:eastAsia="ru-RU"/>
        </w:rPr>
      </w:pPr>
      <w:r>
        <w:rPr/>
        <w:t>Приказ Минэнерго России от 30.12.2008 № 323 «Об утверждении порядка определения нормативов удельного расхода топлива при производстве электрической и тепловой энергии».</w:t>
      </w:r>
    </w:p>
    <w:p>
      <w:pPr>
        <w:pStyle w:val="Heading3"/>
        <w:numPr>
          <w:ilvl w:val="1"/>
          <w:numId w:val="18"/>
        </w:numPr>
        <w:ind w:firstLine="709" w:start="0"/>
        <w:rPr/>
      </w:pPr>
      <w:bookmarkStart w:id="28" w:name="_Toc239425663"/>
      <w:r>
        <w:rPr/>
        <w:t>Общие технические требования к Системе</w:t>
      </w:r>
      <w:bookmarkEnd w:id="28"/>
    </w:p>
    <w:p>
      <w:pPr>
        <w:pStyle w:val="Heading4"/>
        <w:numPr>
          <w:ilvl w:val="2"/>
          <w:numId w:val="18"/>
        </w:numPr>
        <w:ind w:firstLine="709" w:start="0"/>
        <w:rPr>
          <w:i/>
          <w:iCs/>
        </w:rPr>
      </w:pPr>
      <w:r>
        <w:rPr/>
        <w:t>Требования к численности и квалификации персонала и пользователей Системы</w:t>
      </w:r>
    </w:p>
    <w:p>
      <w:pPr>
        <w:pStyle w:val="Normal"/>
        <w:rPr/>
      </w:pPr>
      <w:r>
        <w:rPr/>
        <w:t>Количество пользователей приведено в (</w:t>
      </w:r>
      <w:r>
        <w:rPr/>
        <w:fldChar w:fldCharType="begin"/>
      </w:r>
      <w:r>
        <w:rPr/>
        <w:instrText xml:space="preserve"> REF _Ref150782258 \h </w:instrText>
      </w:r>
      <w:r>
        <w:rPr/>
        <w:fldChar w:fldCharType="separate"/>
      </w:r>
      <w:r>
        <w:rPr/>
        <w:t>Таблица 7</w:t>
      </w:r>
      <w:r>
        <w:rPr/>
        <w:fldChar w:fldCharType="end"/>
      </w:r>
      <w:r>
        <w:rPr/>
        <w:t>).</w:t>
      </w:r>
    </w:p>
    <w:p>
      <w:pPr>
        <w:pStyle w:val="Normal"/>
        <w:rPr/>
      </w:pPr>
      <w:bookmarkStart w:id="29" w:name="_Ref150782258"/>
      <w:r>
        <w:rPr/>
        <w:t xml:space="preserve">Таблица </w:t>
      </w:r>
      <w:r>
        <w:rPr/>
        <w:fldChar w:fldCharType="begin"/>
      </w:r>
      <w:r>
        <w:rPr/>
        <w:instrText xml:space="preserve"> SEQ Таблица \* ARABIC </w:instrText>
      </w:r>
      <w:r>
        <w:rPr/>
        <w:fldChar w:fldCharType="separate"/>
      </w:r>
      <w:r>
        <w:rPr/>
        <w:t>7</w:t>
      </w:r>
      <w:r>
        <w:rPr/>
        <w:fldChar w:fldCharType="end"/>
      </w:r>
      <w:bookmarkEnd w:id="29"/>
      <w:r>
        <w:rPr/>
        <w:t>. Количество пользователей системы</w:t>
      </w:r>
    </w:p>
    <w:tbl>
      <w:tblPr>
        <w:tblW w:w="9634"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063"/>
        <w:gridCol w:w="4528"/>
        <w:gridCol w:w="4043"/>
      </w:tblGrid>
      <w:tr>
        <w:trPr>
          <w:tblHeader w:val="true"/>
        </w:trPr>
        <w:tc>
          <w:tcPr>
            <w:tcW w:w="1063" w:type="dxa"/>
            <w:vMerge w:val="restart"/>
            <w:tcBorders>
              <w:top w:val="single" w:sz="4" w:space="0" w:color="000000"/>
              <w:start w:val="single" w:sz="4" w:space="0" w:color="000000"/>
              <w:bottom w:val="single" w:sz="4" w:space="0" w:color="000000"/>
              <w:end w:val="single" w:sz="4" w:space="0" w:color="000000"/>
            </w:tcBorders>
            <w:shd w:color="auto" w:fill="D9D9D9" w:val="clear"/>
            <w:vAlign w:val="center"/>
          </w:tcPr>
          <w:p>
            <w:pPr>
              <w:pStyle w:val="Normal"/>
              <w:ind w:hanging="0"/>
              <w:rPr/>
            </w:pPr>
            <w:r>
              <w:rPr/>
              <w:t xml:space="preserve">№ </w:t>
            </w:r>
            <w:r>
              <w:rPr/>
              <w:t>п/п</w:t>
            </w:r>
          </w:p>
        </w:tc>
        <w:tc>
          <w:tcPr>
            <w:tcW w:w="4528" w:type="dxa"/>
            <w:vMerge w:val="restart"/>
            <w:tcBorders>
              <w:top w:val="single" w:sz="4" w:space="0" w:color="000000"/>
              <w:start w:val="single" w:sz="4" w:space="0" w:color="000000"/>
              <w:bottom w:val="single" w:sz="4" w:space="0" w:color="000000"/>
              <w:end w:val="single" w:sz="4" w:space="0" w:color="000000"/>
            </w:tcBorders>
            <w:shd w:color="auto" w:fill="D9D9D9" w:val="clear"/>
            <w:vAlign w:val="center"/>
          </w:tcPr>
          <w:p>
            <w:pPr>
              <w:pStyle w:val="Normal"/>
              <w:ind w:hanging="0"/>
              <w:rPr/>
            </w:pPr>
            <w:r>
              <w:rPr/>
              <w:t>Наименование категории пользователей</w:t>
            </w:r>
          </w:p>
        </w:tc>
        <w:tc>
          <w:tcPr>
            <w:tcW w:w="4043" w:type="dxa"/>
            <w:tcBorders>
              <w:top w:val="single" w:sz="4" w:space="0" w:color="000000"/>
              <w:start w:val="single" w:sz="4" w:space="0" w:color="000000"/>
              <w:bottom w:val="single" w:sz="4" w:space="0" w:color="000000"/>
              <w:end w:val="single" w:sz="4" w:space="0" w:color="000000"/>
            </w:tcBorders>
            <w:shd w:color="auto" w:fill="D9D9D9" w:val="clear"/>
          </w:tcPr>
          <w:p>
            <w:pPr>
              <w:pStyle w:val="Normal"/>
              <w:ind w:hanging="0"/>
              <w:rPr/>
            </w:pPr>
            <w:r>
              <w:rPr/>
              <w:t>Количество пользователей, человек</w:t>
            </w:r>
          </w:p>
        </w:tc>
      </w:tr>
      <w:tr>
        <w:trPr>
          <w:tblHeader w:val="true"/>
        </w:trPr>
        <w:tc>
          <w:tcPr>
            <w:tcW w:w="1063" w:type="dxa"/>
            <w:vMerge w:val="continue"/>
            <w:tcBorders>
              <w:top w:val="single" w:sz="4" w:space="0" w:color="000000"/>
              <w:start w:val="single" w:sz="4" w:space="0" w:color="000000"/>
              <w:bottom w:val="single" w:sz="4" w:space="0" w:color="000000"/>
              <w:end w:val="single" w:sz="4" w:space="0" w:color="000000"/>
            </w:tcBorders>
            <w:shd w:color="auto" w:fill="D9D9D9" w:val="clear"/>
          </w:tcPr>
          <w:p>
            <w:pPr>
              <w:pStyle w:val="Normal"/>
              <w:rPr>
                <w:lang w:eastAsia="ru-RU"/>
              </w:rPr>
            </w:pPr>
            <w:r>
              <w:rPr>
                <w:lang w:eastAsia="ru-RU"/>
              </w:rPr>
            </w:r>
          </w:p>
        </w:tc>
        <w:tc>
          <w:tcPr>
            <w:tcW w:w="4528" w:type="dxa"/>
            <w:vMerge w:val="continue"/>
            <w:tcBorders>
              <w:top w:val="single" w:sz="4" w:space="0" w:color="000000"/>
              <w:start w:val="single" w:sz="4" w:space="0" w:color="000000"/>
              <w:bottom w:val="single" w:sz="4" w:space="0" w:color="000000"/>
              <w:end w:val="single" w:sz="4" w:space="0" w:color="000000"/>
            </w:tcBorders>
            <w:shd w:color="auto" w:fill="D9D9D9" w:val="clear"/>
          </w:tcPr>
          <w:p>
            <w:pPr>
              <w:pStyle w:val="Normal"/>
              <w:rPr>
                <w:lang w:eastAsia="ru-RU"/>
              </w:rPr>
            </w:pPr>
            <w:r>
              <w:rPr>
                <w:lang w:eastAsia="ru-RU"/>
              </w:rPr>
            </w:r>
          </w:p>
        </w:tc>
        <w:tc>
          <w:tcPr>
            <w:tcW w:w="4043" w:type="dxa"/>
            <w:tcBorders>
              <w:top w:val="single" w:sz="4" w:space="0" w:color="000000"/>
              <w:start w:val="single" w:sz="4" w:space="0" w:color="000000"/>
              <w:bottom w:val="single" w:sz="4" w:space="0" w:color="000000"/>
              <w:end w:val="single" w:sz="4" w:space="0" w:color="000000"/>
            </w:tcBorders>
            <w:shd w:color="auto" w:fill="D9D9D9" w:val="clear"/>
          </w:tcPr>
          <w:p>
            <w:pPr>
              <w:pStyle w:val="Normal"/>
              <w:rPr/>
            </w:pPr>
            <w:r>
              <w:rPr/>
              <w:t>2026 год</w:t>
            </w:r>
          </w:p>
        </w:tc>
      </w:tr>
      <w:tr>
        <w:trPr/>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1</w:t>
            </w:r>
          </w:p>
        </w:tc>
        <w:tc>
          <w:tcPr>
            <w:tcW w:w="4528"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Сотрудники ЦИОГВ</w:t>
            </w:r>
          </w:p>
        </w:tc>
        <w:tc>
          <w:tcPr>
            <w:tcW w:w="404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172</w:t>
            </w:r>
          </w:p>
        </w:tc>
      </w:tr>
      <w:tr>
        <w:trPr/>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2</w:t>
            </w:r>
          </w:p>
        </w:tc>
        <w:tc>
          <w:tcPr>
            <w:tcW w:w="4528"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Сотрудники ОМСУ</w:t>
            </w:r>
          </w:p>
        </w:tc>
        <w:tc>
          <w:tcPr>
            <w:tcW w:w="404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1047</w:t>
            </w:r>
          </w:p>
        </w:tc>
      </w:tr>
      <w:tr>
        <w:trPr/>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3</w:t>
            </w:r>
          </w:p>
        </w:tc>
        <w:tc>
          <w:tcPr>
            <w:tcW w:w="4528"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Сотрудники УО (УК, ТСЖ, ЖСК)</w:t>
            </w:r>
          </w:p>
        </w:tc>
        <w:tc>
          <w:tcPr>
            <w:tcW w:w="404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5946</w:t>
            </w:r>
          </w:p>
        </w:tc>
      </w:tr>
      <w:tr>
        <w:trPr/>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4</w:t>
            </w:r>
          </w:p>
        </w:tc>
        <w:tc>
          <w:tcPr>
            <w:tcW w:w="4528"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lang w:eastAsia="ru-RU"/>
              </w:rPr>
              <w:t>Сотрудники РСО</w:t>
            </w:r>
          </w:p>
        </w:tc>
        <w:tc>
          <w:tcPr>
            <w:tcW w:w="404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3352</w:t>
            </w:r>
          </w:p>
        </w:tc>
      </w:tr>
      <w:tr>
        <w:trPr/>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5</w:t>
            </w:r>
          </w:p>
        </w:tc>
        <w:tc>
          <w:tcPr>
            <w:tcW w:w="4528"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shd w:fill="FFFFFF" w:val="clear"/>
                <w:lang w:eastAsia="ru-RU"/>
              </w:rPr>
              <w:t>Сотрудник оператора ТКО</w:t>
            </w:r>
          </w:p>
        </w:tc>
        <w:tc>
          <w:tcPr>
            <w:tcW w:w="4043" w:type="dxa"/>
            <w:tcBorders>
              <w:top w:val="single" w:sz="4" w:space="0" w:color="000000"/>
              <w:start w:val="single" w:sz="4" w:space="0" w:color="000000"/>
              <w:bottom w:val="single" w:sz="4" w:space="0" w:color="000000"/>
              <w:end w:val="single" w:sz="4" w:space="0" w:color="000000"/>
            </w:tcBorders>
            <w:vAlign w:val="bottom"/>
          </w:tcPr>
          <w:p>
            <w:pPr>
              <w:pStyle w:val="Normal"/>
              <w:rPr>
                <w:lang w:eastAsia="ru-RU"/>
              </w:rPr>
            </w:pPr>
            <w:r>
              <w:rPr>
                <w:lang w:eastAsia="ru-RU"/>
              </w:rPr>
              <w:t>142</w:t>
            </w:r>
          </w:p>
        </w:tc>
      </w:tr>
      <w:tr>
        <w:trPr/>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6</w:t>
            </w:r>
          </w:p>
        </w:tc>
        <w:tc>
          <w:tcPr>
            <w:tcW w:w="4528"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ru-RU"/>
              </w:rPr>
            </w:pPr>
            <w:r>
              <w:rPr>
                <w:shd w:fill="FFFFFF" w:val="clear"/>
                <w:lang w:eastAsia="ru-RU"/>
              </w:rPr>
              <w:t>Сотрудник РЦ</w:t>
            </w:r>
          </w:p>
        </w:tc>
        <w:tc>
          <w:tcPr>
            <w:tcW w:w="404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774</w:t>
            </w:r>
          </w:p>
        </w:tc>
      </w:tr>
      <w:tr>
        <w:trPr/>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7</w:t>
            </w:r>
          </w:p>
        </w:tc>
        <w:tc>
          <w:tcPr>
            <w:tcW w:w="4528" w:type="dxa"/>
            <w:tcBorders>
              <w:top w:val="single" w:sz="4" w:space="0" w:color="000000"/>
              <w:start w:val="single" w:sz="4" w:space="0" w:color="000000"/>
              <w:bottom w:val="single" w:sz="4" w:space="0" w:color="000000"/>
              <w:end w:val="single" w:sz="4" w:space="0" w:color="000000"/>
            </w:tcBorders>
            <w:vAlign w:val="center"/>
          </w:tcPr>
          <w:p>
            <w:pPr>
              <w:pStyle w:val="Normal"/>
              <w:ind w:hanging="0"/>
              <w:rPr>
                <w:shd w:fill="FFFFFF" w:val="clear"/>
                <w:lang w:eastAsia="ru-RU"/>
              </w:rPr>
            </w:pPr>
            <w:r>
              <w:rPr>
                <w:shd w:fill="FFFFFF" w:val="clear"/>
                <w:lang w:eastAsia="ru-RU"/>
              </w:rPr>
              <w:t>Сотрудник РОКР</w:t>
            </w:r>
          </w:p>
        </w:tc>
        <w:tc>
          <w:tcPr>
            <w:tcW w:w="4043" w:type="dxa"/>
            <w:tcBorders>
              <w:top w:val="single" w:sz="4" w:space="0" w:color="000000"/>
              <w:start w:val="single" w:sz="4" w:space="0" w:color="000000"/>
              <w:bottom w:val="single" w:sz="4" w:space="0" w:color="000000"/>
              <w:end w:val="single" w:sz="4" w:space="0" w:color="000000"/>
            </w:tcBorders>
            <w:vAlign w:val="center"/>
          </w:tcPr>
          <w:p>
            <w:pPr>
              <w:pStyle w:val="Normal"/>
              <w:rPr>
                <w:lang w:eastAsia="ru-RU"/>
              </w:rPr>
            </w:pPr>
            <w:r>
              <w:rPr>
                <w:lang w:eastAsia="ru-RU"/>
              </w:rPr>
              <w:t>227</w:t>
            </w:r>
          </w:p>
        </w:tc>
      </w:tr>
    </w:tbl>
    <w:p>
      <w:pPr>
        <w:pStyle w:val="Normal"/>
        <w:rPr/>
      </w:pPr>
      <w:r>
        <w:rPr/>
      </w:r>
    </w:p>
    <w:p>
      <w:pPr>
        <w:pStyle w:val="Normal"/>
        <w:rPr/>
      </w:pPr>
      <w:r>
        <w:rPr/>
        <w:t>Пользователями Системы будут являться сотрудники органов государственной власти Московской области, органов местного самоуправления, сотрудники управляющих организаций, ТСЖ, ЖСК, ЖК, ресурсоснабжающих организаций, расчетных центров, регионального оператора капитального ремонта, собственники жилья и прочие категории участников процессов, происходящих в сфере ЖКХ Московской области</w:t>
      </w:r>
    </w:p>
    <w:p>
      <w:pPr>
        <w:pStyle w:val="Normal"/>
        <w:rPr/>
      </w:pPr>
      <w:bookmarkStart w:id="30" w:name="_Hlk152327795"/>
      <w:bookmarkEnd w:id="30"/>
      <w:r>
        <w:rPr/>
        <w:t xml:space="preserve">Техническое обслуживание Системы должно осуществляться администраторами, которые должны обладать знаниями по настройке и поддержке оборудования, на котором будут размещены программные средства Системы, а также знаниями настройки системного и специального программного обеспечения. </w:t>
      </w:r>
    </w:p>
    <w:p>
      <w:pPr>
        <w:pStyle w:val="Normal"/>
        <w:rPr/>
      </w:pPr>
      <w:r>
        <w:rPr/>
        <w:t>Администратор должен обладать следующими знаниями и навыками:</w:t>
      </w:r>
    </w:p>
    <w:p>
      <w:pPr>
        <w:pStyle w:val="ListParagraph"/>
        <w:numPr>
          <w:ilvl w:val="0"/>
          <w:numId w:val="8"/>
        </w:numPr>
        <w:rPr/>
      </w:pPr>
      <w:r>
        <w:rPr/>
        <w:t>Глубокие знания и навык работы с Unix подобными системами (</w:t>
      </w:r>
      <w:r>
        <w:rPr>
          <w:lang w:val="en-US"/>
        </w:rPr>
        <w:t>Astra</w:t>
      </w:r>
      <w:r>
        <w:rPr/>
        <w:t xml:space="preserve"> </w:t>
      </w:r>
      <w:r>
        <w:rPr>
          <w:lang w:val="en-US"/>
        </w:rPr>
        <w:t>Linux</w:t>
      </w:r>
      <w:r>
        <w:rPr/>
        <w:t>). Настройка служб DHCP, DNS, VPN, CIFS, FTP, HTTP, SMTP, NTP. Настройка маршрутизации (iproute2), межсетевого экрана (netfilter).</w:t>
      </w:r>
    </w:p>
    <w:p>
      <w:pPr>
        <w:pStyle w:val="ListParagraph"/>
        <w:numPr>
          <w:ilvl w:val="0"/>
          <w:numId w:val="8"/>
        </w:numPr>
        <w:rPr/>
      </w:pPr>
      <w:r>
        <w:rPr/>
        <w:t>Навык администрирования программного обеспечения: Tomcat, Nginx, SphinxSearch.</w:t>
      </w:r>
    </w:p>
    <w:p>
      <w:pPr>
        <w:pStyle w:val="ListParagraph"/>
        <w:numPr>
          <w:ilvl w:val="0"/>
          <w:numId w:val="8"/>
        </w:numPr>
        <w:rPr/>
      </w:pPr>
      <w:r>
        <w:rPr/>
        <w:t>Знание системы виртуализации на базе программных продуктов «Базис»</w:t>
      </w:r>
    </w:p>
    <w:p>
      <w:pPr>
        <w:pStyle w:val="ListParagraph"/>
        <w:numPr>
          <w:ilvl w:val="0"/>
          <w:numId w:val="8"/>
        </w:numPr>
        <w:rPr/>
      </w:pPr>
      <w:r>
        <w:rPr/>
        <w:t xml:space="preserve">Навыки администрирования СУБД Postgres </w:t>
      </w:r>
      <w:r>
        <w:rPr>
          <w:lang w:val="en-US"/>
        </w:rPr>
        <w:t>Pro</w:t>
      </w:r>
      <w:r>
        <w:rPr/>
        <w:t>.</w:t>
      </w:r>
    </w:p>
    <w:p>
      <w:pPr>
        <w:pStyle w:val="ListParagraph"/>
        <w:numPr>
          <w:ilvl w:val="0"/>
          <w:numId w:val="8"/>
        </w:numPr>
        <w:rPr/>
      </w:pPr>
      <w:r>
        <w:rPr/>
        <w:t xml:space="preserve">Навыки настройки коммуникационного оборудования. Понимание модели OSI, работы стека протоколов TCP/IP, статической и динамической маршрутизации, VLAN. </w:t>
      </w:r>
    </w:p>
    <w:p>
      <w:pPr>
        <w:pStyle w:val="Normal"/>
        <w:rPr>
          <w:i/>
          <w:iCs/>
        </w:rPr>
      </w:pPr>
      <w:bookmarkStart w:id="31" w:name="_Hlk152327855"/>
      <w:bookmarkStart w:id="32" w:name="_Hlk152327795_Копия_1"/>
      <w:bookmarkEnd w:id="32"/>
      <w:r>
        <w:rPr/>
        <w:t xml:space="preserve">Взаимодействие персонала, обслуживающих систему и пользователей должно осуществляться на основании заявок от пользователей. </w:t>
      </w:r>
      <w:bookmarkEnd w:id="31"/>
    </w:p>
    <w:p>
      <w:pPr>
        <w:pStyle w:val="Heading4"/>
        <w:numPr>
          <w:ilvl w:val="2"/>
          <w:numId w:val="18"/>
        </w:numPr>
        <w:ind w:firstLine="709" w:start="0"/>
        <w:rPr>
          <w:i/>
          <w:iCs/>
        </w:rPr>
      </w:pPr>
      <w:r>
        <w:rPr/>
        <w:t xml:space="preserve">Требования к показателям назначения </w:t>
      </w:r>
    </w:p>
    <w:p>
      <w:pPr>
        <w:pStyle w:val="Normal"/>
        <w:rPr/>
      </w:pPr>
      <w:r>
        <w:rPr/>
        <w:t xml:space="preserve">Показатели назначения системы, которым должна соответствовать система приведены в </w:t>
      </w:r>
      <w:r>
        <w:rPr/>
        <w:fldChar w:fldCharType="begin"/>
      </w:r>
      <w:r>
        <w:rPr/>
        <w:instrText xml:space="preserve"> REF _Ref154405544 \h </w:instrText>
      </w:r>
      <w:r>
        <w:rPr/>
        <w:fldChar w:fldCharType="separate"/>
      </w:r>
      <w:r>
        <w:rPr/>
        <w:t>Таблица 8</w:t>
      </w:r>
      <w:r>
        <w:rPr/>
        <w:fldChar w:fldCharType="end"/>
      </w:r>
      <w:r>
        <w:rPr/>
        <w:t xml:space="preserve">. </w:t>
      </w:r>
    </w:p>
    <w:p>
      <w:pPr>
        <w:pStyle w:val="Normal"/>
        <w:rPr/>
      </w:pPr>
      <w:bookmarkStart w:id="33" w:name="_Ref154405544"/>
      <w:r>
        <w:rPr/>
        <w:t xml:space="preserve">Таблица </w:t>
      </w:r>
      <w:r>
        <w:rPr/>
        <w:fldChar w:fldCharType="begin"/>
      </w:r>
      <w:r>
        <w:rPr/>
        <w:instrText xml:space="preserve"> SEQ Таблица \* ARABIC </w:instrText>
      </w:r>
      <w:r>
        <w:rPr/>
        <w:fldChar w:fldCharType="separate"/>
      </w:r>
      <w:r>
        <w:rPr/>
        <w:t>8</w:t>
      </w:r>
      <w:r>
        <w:rPr/>
        <w:fldChar w:fldCharType="end"/>
      </w:r>
      <w:bookmarkEnd w:id="33"/>
      <w:r>
        <w:rPr/>
        <w:t xml:space="preserve"> – Показатели назначения системы</w:t>
      </w:r>
    </w:p>
    <w:tbl>
      <w:tblPr>
        <w:tblW w:w="5000" w:type="pct"/>
        <w:jc w:val="start"/>
        <w:tblInd w:w="0" w:type="dxa"/>
        <w:tblLayout w:type="fixed"/>
        <w:tblCellMar>
          <w:top w:w="0" w:type="dxa"/>
          <w:start w:w="108" w:type="dxa"/>
          <w:bottom w:w="0" w:type="dxa"/>
          <w:end w:w="108" w:type="dxa"/>
        </w:tblCellMar>
        <w:tblLook w:val="04a0" w:noHBand="0" w:noVBand="1" w:firstColumn="1" w:lastRow="0" w:lastColumn="0" w:firstRow="1"/>
      </w:tblPr>
      <w:tblGrid>
        <w:gridCol w:w="844"/>
        <w:gridCol w:w="3418"/>
        <w:gridCol w:w="1280"/>
        <w:gridCol w:w="2015"/>
        <w:gridCol w:w="1798"/>
      </w:tblGrid>
      <w:tr>
        <w:trPr>
          <w:tblHeader w:val="true"/>
        </w:trPr>
        <w:tc>
          <w:tcPr>
            <w:tcW w:w="844"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ko-KR"/>
              </w:rPr>
            </w:pPr>
            <w:r>
              <w:rPr>
                <w:lang w:eastAsia="ko-KR"/>
              </w:rPr>
              <w:t xml:space="preserve">№ </w:t>
            </w:r>
            <w:r>
              <w:rPr>
                <w:lang w:eastAsia="ko-KR"/>
              </w:rPr>
              <w:t>п/п</w:t>
            </w:r>
          </w:p>
        </w:tc>
        <w:tc>
          <w:tcPr>
            <w:tcW w:w="3418"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ko-KR"/>
              </w:rPr>
            </w:pPr>
            <w:r>
              <w:rPr>
                <w:lang w:eastAsia="ko-KR"/>
              </w:rPr>
              <w:t>Наименование показателя</w:t>
            </w:r>
          </w:p>
        </w:tc>
        <w:tc>
          <w:tcPr>
            <w:tcW w:w="1280"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ko-KR"/>
              </w:rPr>
            </w:pPr>
            <w:r>
              <w:rPr>
                <w:lang w:eastAsia="ko-KR"/>
              </w:rPr>
              <w:t>Условие</w:t>
            </w:r>
          </w:p>
        </w:tc>
        <w:tc>
          <w:tcPr>
            <w:tcW w:w="2015"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ko-KR"/>
              </w:rPr>
            </w:pPr>
            <w:r>
              <w:rPr>
                <w:lang w:eastAsia="ko-KR"/>
              </w:rPr>
              <w:t>Эталонное значение</w:t>
            </w:r>
          </w:p>
        </w:tc>
        <w:tc>
          <w:tcPr>
            <w:tcW w:w="1798" w:type="dxa"/>
            <w:tcBorders>
              <w:top w:val="single" w:sz="4" w:space="0" w:color="000000"/>
              <w:start w:val="single" w:sz="4" w:space="0" w:color="000000"/>
              <w:bottom w:val="single" w:sz="4" w:space="0" w:color="000000"/>
              <w:end w:val="single" w:sz="4" w:space="0" w:color="000000"/>
            </w:tcBorders>
            <w:vAlign w:val="center"/>
          </w:tcPr>
          <w:p>
            <w:pPr>
              <w:pStyle w:val="Normal"/>
              <w:ind w:hanging="0"/>
              <w:rPr>
                <w:lang w:eastAsia="ko-KR"/>
              </w:rPr>
            </w:pPr>
            <w:r>
              <w:rPr>
                <w:lang w:eastAsia="ko-KR"/>
              </w:rPr>
              <w:t>Единица измерения</w:t>
            </w:r>
          </w:p>
        </w:tc>
      </w:tr>
      <w:tr>
        <w:trPr/>
        <w:tc>
          <w:tcPr>
            <w:tcW w:w="844" w:type="dxa"/>
            <w:tcBorders>
              <w:top w:val="single" w:sz="4" w:space="0" w:color="000000"/>
              <w:start w:val="single" w:sz="4" w:space="0" w:color="000000"/>
              <w:bottom w:val="single" w:sz="4" w:space="0" w:color="000000"/>
              <w:end w:val="single" w:sz="4" w:space="0" w:color="000000"/>
            </w:tcBorders>
          </w:tcPr>
          <w:p>
            <w:pPr>
              <w:pStyle w:val="ListParagraph"/>
              <w:numPr>
                <w:ilvl w:val="0"/>
                <w:numId w:val="9"/>
              </w:numPr>
              <w:rPr/>
            </w:pPr>
            <w:r>
              <w:rPr/>
            </w:r>
          </w:p>
        </w:tc>
        <w:tc>
          <w:tcPr>
            <w:tcW w:w="3418" w:type="dxa"/>
            <w:tcBorders>
              <w:top w:val="single" w:sz="4" w:space="0" w:color="000000"/>
              <w:start w:val="single" w:sz="4" w:space="0" w:color="000000"/>
              <w:bottom w:val="single" w:sz="4" w:space="0" w:color="000000"/>
              <w:end w:val="single" w:sz="4" w:space="0" w:color="000000"/>
            </w:tcBorders>
          </w:tcPr>
          <w:p>
            <w:pPr>
              <w:pStyle w:val="Normal"/>
              <w:ind w:hanging="0"/>
              <w:rPr/>
            </w:pPr>
            <w:r>
              <w:rPr/>
              <w:t>Максимальное число запросов, одновременно направляемых пользователями к пользовательским интерфейсам Системы, в секунду</w:t>
            </w:r>
          </w:p>
        </w:tc>
        <w:tc>
          <w:tcPr>
            <w:tcW w:w="1280" w:type="dxa"/>
            <w:tcBorders>
              <w:top w:val="single" w:sz="4" w:space="0" w:color="000000"/>
              <w:start w:val="single" w:sz="4" w:space="0" w:color="000000"/>
              <w:bottom w:val="single" w:sz="4" w:space="0" w:color="000000"/>
              <w:end w:val="single" w:sz="4" w:space="0" w:color="000000"/>
            </w:tcBorders>
          </w:tcPr>
          <w:p>
            <w:pPr>
              <w:pStyle w:val="Normal"/>
              <w:ind w:hanging="0"/>
              <w:rPr/>
            </w:pPr>
            <w:r>
              <w:rPr/>
              <w:t>равно</w:t>
            </w:r>
          </w:p>
        </w:tc>
        <w:tc>
          <w:tcPr>
            <w:tcW w:w="2015" w:type="dxa"/>
            <w:tcBorders>
              <w:top w:val="single" w:sz="4" w:space="0" w:color="000000"/>
              <w:start w:val="single" w:sz="4" w:space="0" w:color="000000"/>
              <w:bottom w:val="single" w:sz="4" w:space="0" w:color="000000"/>
              <w:end w:val="single" w:sz="4" w:space="0" w:color="000000"/>
            </w:tcBorders>
          </w:tcPr>
          <w:p>
            <w:pPr>
              <w:pStyle w:val="Normal"/>
              <w:rPr/>
            </w:pPr>
            <w:r>
              <w:rPr/>
              <w:t>1000</w:t>
            </w:r>
          </w:p>
        </w:tc>
        <w:tc>
          <w:tcPr>
            <w:tcW w:w="1798" w:type="dxa"/>
            <w:tcBorders>
              <w:top w:val="single" w:sz="4" w:space="0" w:color="000000"/>
              <w:start w:val="single" w:sz="4" w:space="0" w:color="000000"/>
              <w:bottom w:val="single" w:sz="4" w:space="0" w:color="000000"/>
              <w:end w:val="single" w:sz="4" w:space="0" w:color="000000"/>
            </w:tcBorders>
          </w:tcPr>
          <w:p>
            <w:pPr>
              <w:pStyle w:val="Normal"/>
              <w:ind w:hanging="0"/>
              <w:rPr/>
            </w:pPr>
            <w:r>
              <w:rPr/>
              <w:t>запросов</w:t>
            </w:r>
          </w:p>
        </w:tc>
      </w:tr>
      <w:tr>
        <w:trPr/>
        <w:tc>
          <w:tcPr>
            <w:tcW w:w="844" w:type="dxa"/>
            <w:tcBorders>
              <w:top w:val="single" w:sz="4" w:space="0" w:color="000000"/>
              <w:start w:val="single" w:sz="4" w:space="0" w:color="000000"/>
              <w:bottom w:val="single" w:sz="4" w:space="0" w:color="000000"/>
              <w:end w:val="single" w:sz="4" w:space="0" w:color="000000"/>
            </w:tcBorders>
          </w:tcPr>
          <w:p>
            <w:pPr>
              <w:pStyle w:val="ListParagraph"/>
              <w:numPr>
                <w:ilvl w:val="0"/>
                <w:numId w:val="9"/>
              </w:numPr>
              <w:rPr/>
            </w:pPr>
            <w:r>
              <w:rPr/>
            </w:r>
          </w:p>
        </w:tc>
        <w:tc>
          <w:tcPr>
            <w:tcW w:w="3418" w:type="dxa"/>
            <w:tcBorders>
              <w:top w:val="single" w:sz="4" w:space="0" w:color="000000"/>
              <w:start w:val="single" w:sz="4" w:space="0" w:color="000000"/>
              <w:bottom w:val="single" w:sz="4" w:space="0" w:color="000000"/>
              <w:end w:val="single" w:sz="4" w:space="0" w:color="000000"/>
            </w:tcBorders>
          </w:tcPr>
          <w:p>
            <w:pPr>
              <w:pStyle w:val="Normal"/>
              <w:ind w:hanging="0"/>
              <w:rPr>
                <w:i/>
              </w:rPr>
            </w:pPr>
            <w:r>
              <w:rPr/>
              <w:t>Время отклика пользовательских интерфейсов Системы на запрос пользователя при максимальном числе запросов</w:t>
            </w:r>
          </w:p>
        </w:tc>
        <w:tc>
          <w:tcPr>
            <w:tcW w:w="1280" w:type="dxa"/>
            <w:tcBorders>
              <w:top w:val="single" w:sz="4" w:space="0" w:color="000000"/>
              <w:start w:val="single" w:sz="4" w:space="0" w:color="000000"/>
              <w:bottom w:val="single" w:sz="4" w:space="0" w:color="000000"/>
              <w:end w:val="single" w:sz="4" w:space="0" w:color="000000"/>
            </w:tcBorders>
          </w:tcPr>
          <w:p>
            <w:pPr>
              <w:pStyle w:val="Normal"/>
              <w:ind w:hanging="0"/>
              <w:rPr/>
            </w:pPr>
            <w:r>
              <w:rPr/>
              <w:t>не более</w:t>
            </w:r>
          </w:p>
        </w:tc>
        <w:tc>
          <w:tcPr>
            <w:tcW w:w="2015" w:type="dxa"/>
            <w:tcBorders>
              <w:top w:val="single" w:sz="4" w:space="0" w:color="000000"/>
              <w:start w:val="single" w:sz="4" w:space="0" w:color="000000"/>
              <w:bottom w:val="single" w:sz="4" w:space="0" w:color="000000"/>
              <w:end w:val="single" w:sz="4" w:space="0" w:color="000000"/>
            </w:tcBorders>
          </w:tcPr>
          <w:p>
            <w:pPr>
              <w:pStyle w:val="Normal"/>
              <w:ind w:hanging="0"/>
              <w:rPr/>
            </w:pPr>
            <w:r>
              <w:rPr/>
              <w:t>для страниц, формирующих аналитический отчет – не более 30 секунд;</w:t>
            </w:r>
          </w:p>
          <w:p>
            <w:pPr>
              <w:pStyle w:val="Normal"/>
              <w:ind w:hanging="0"/>
              <w:rPr/>
            </w:pPr>
            <w:r>
              <w:rPr/>
              <w:t>для страниц, использующих поисковый запрос или выборку данных – не более 25 секунд;</w:t>
            </w:r>
          </w:p>
          <w:p>
            <w:pPr>
              <w:pStyle w:val="Normal"/>
              <w:ind w:hanging="0"/>
              <w:rPr/>
            </w:pPr>
            <w:r>
              <w:rPr/>
              <w:t>для прочих страниц – не более 7 секунд</w:t>
            </w:r>
          </w:p>
        </w:tc>
        <w:tc>
          <w:tcPr>
            <w:tcW w:w="1798" w:type="dxa"/>
            <w:tcBorders>
              <w:top w:val="single" w:sz="4" w:space="0" w:color="000000"/>
              <w:start w:val="single" w:sz="4" w:space="0" w:color="000000"/>
              <w:bottom w:val="single" w:sz="4" w:space="0" w:color="000000"/>
              <w:end w:val="single" w:sz="4" w:space="0" w:color="000000"/>
            </w:tcBorders>
          </w:tcPr>
          <w:p>
            <w:pPr>
              <w:pStyle w:val="Normal"/>
              <w:rPr/>
            </w:pPr>
            <w:r>
              <w:rPr/>
              <w:t>Сек.</w:t>
            </w:r>
          </w:p>
        </w:tc>
      </w:tr>
      <w:tr>
        <w:trPr/>
        <w:tc>
          <w:tcPr>
            <w:tcW w:w="844" w:type="dxa"/>
            <w:tcBorders>
              <w:top w:val="single" w:sz="4" w:space="0" w:color="000000"/>
              <w:start w:val="single" w:sz="4" w:space="0" w:color="000000"/>
              <w:bottom w:val="single" w:sz="4" w:space="0" w:color="000000"/>
              <w:end w:val="single" w:sz="4" w:space="0" w:color="000000"/>
            </w:tcBorders>
          </w:tcPr>
          <w:p>
            <w:pPr>
              <w:pStyle w:val="ListParagraph"/>
              <w:numPr>
                <w:ilvl w:val="0"/>
                <w:numId w:val="9"/>
              </w:numPr>
              <w:rPr/>
            </w:pPr>
            <w:r>
              <w:rPr/>
            </w:r>
          </w:p>
        </w:tc>
        <w:tc>
          <w:tcPr>
            <w:tcW w:w="3418" w:type="dxa"/>
            <w:tcBorders>
              <w:top w:val="single" w:sz="4" w:space="0" w:color="000000"/>
              <w:start w:val="single" w:sz="4" w:space="0" w:color="000000"/>
              <w:bottom w:val="single" w:sz="4" w:space="0" w:color="000000"/>
              <w:end w:val="single" w:sz="4" w:space="0" w:color="000000"/>
            </w:tcBorders>
          </w:tcPr>
          <w:p>
            <w:pPr>
              <w:pStyle w:val="Normal"/>
              <w:ind w:hanging="0"/>
              <w:rPr/>
            </w:pPr>
            <w:r>
              <w:rPr/>
              <w:t>Объемы хранимых данных в Системе</w:t>
            </w:r>
          </w:p>
        </w:tc>
        <w:tc>
          <w:tcPr>
            <w:tcW w:w="1280" w:type="dxa"/>
            <w:tcBorders>
              <w:top w:val="single" w:sz="4" w:space="0" w:color="000000"/>
              <w:start w:val="single" w:sz="4" w:space="0" w:color="000000"/>
              <w:bottom w:val="single" w:sz="4" w:space="0" w:color="000000"/>
              <w:end w:val="single" w:sz="4" w:space="0" w:color="000000"/>
            </w:tcBorders>
          </w:tcPr>
          <w:p>
            <w:pPr>
              <w:pStyle w:val="Normal"/>
              <w:ind w:hanging="0"/>
              <w:rPr/>
            </w:pPr>
            <w:r>
              <w:rPr/>
              <w:t>не менее</w:t>
            </w:r>
          </w:p>
        </w:tc>
        <w:tc>
          <w:tcPr>
            <w:tcW w:w="2015" w:type="dxa"/>
            <w:tcBorders>
              <w:top w:val="single" w:sz="4" w:space="0" w:color="000000"/>
              <w:start w:val="single" w:sz="4" w:space="0" w:color="000000"/>
              <w:bottom w:val="single" w:sz="4" w:space="0" w:color="000000"/>
              <w:end w:val="single" w:sz="4" w:space="0" w:color="000000"/>
            </w:tcBorders>
          </w:tcPr>
          <w:p>
            <w:pPr>
              <w:pStyle w:val="Normal"/>
              <w:rPr/>
            </w:pPr>
            <w:r>
              <w:rPr/>
              <w:t>100</w:t>
            </w:r>
          </w:p>
        </w:tc>
        <w:tc>
          <w:tcPr>
            <w:tcW w:w="1798" w:type="dxa"/>
            <w:tcBorders>
              <w:top w:val="single" w:sz="4" w:space="0" w:color="000000"/>
              <w:start w:val="single" w:sz="4" w:space="0" w:color="000000"/>
              <w:bottom w:val="single" w:sz="4" w:space="0" w:color="000000"/>
              <w:end w:val="single" w:sz="4" w:space="0" w:color="000000"/>
            </w:tcBorders>
          </w:tcPr>
          <w:p>
            <w:pPr>
              <w:pStyle w:val="Normal"/>
              <w:rPr/>
            </w:pPr>
            <w:r>
              <w:rPr/>
              <w:t>Тб</w:t>
            </w:r>
          </w:p>
        </w:tc>
      </w:tr>
      <w:tr>
        <w:trPr/>
        <w:tc>
          <w:tcPr>
            <w:tcW w:w="844" w:type="dxa"/>
            <w:tcBorders>
              <w:top w:val="single" w:sz="4" w:space="0" w:color="000000"/>
              <w:start w:val="single" w:sz="4" w:space="0" w:color="000000"/>
              <w:bottom w:val="single" w:sz="4" w:space="0" w:color="000000"/>
              <w:end w:val="single" w:sz="4" w:space="0" w:color="000000"/>
            </w:tcBorders>
          </w:tcPr>
          <w:p>
            <w:pPr>
              <w:pStyle w:val="ListParagraph"/>
              <w:numPr>
                <w:ilvl w:val="0"/>
                <w:numId w:val="9"/>
              </w:numPr>
              <w:rPr/>
            </w:pPr>
            <w:r>
              <w:rPr/>
            </w:r>
          </w:p>
        </w:tc>
        <w:tc>
          <w:tcPr>
            <w:tcW w:w="3418" w:type="dxa"/>
            <w:tcBorders>
              <w:top w:val="single" w:sz="4" w:space="0" w:color="000000"/>
              <w:start w:val="single" w:sz="4" w:space="0" w:color="000000"/>
              <w:bottom w:val="single" w:sz="4" w:space="0" w:color="000000"/>
              <w:end w:val="single" w:sz="4" w:space="0" w:color="000000"/>
            </w:tcBorders>
          </w:tcPr>
          <w:p>
            <w:pPr>
              <w:pStyle w:val="Normal"/>
              <w:ind w:hanging="0"/>
              <w:rPr>
                <w:i/>
              </w:rPr>
            </w:pPr>
            <w:r>
              <w:rPr/>
              <w:t>Число объектов учета в Системе</w:t>
            </w:r>
          </w:p>
        </w:tc>
        <w:tc>
          <w:tcPr>
            <w:tcW w:w="1280" w:type="dxa"/>
            <w:tcBorders>
              <w:top w:val="single" w:sz="4" w:space="0" w:color="000000"/>
              <w:start w:val="single" w:sz="4" w:space="0" w:color="000000"/>
              <w:bottom w:val="single" w:sz="4" w:space="0" w:color="000000"/>
              <w:end w:val="single" w:sz="4" w:space="0" w:color="000000"/>
            </w:tcBorders>
          </w:tcPr>
          <w:p>
            <w:pPr>
              <w:pStyle w:val="Normal"/>
              <w:ind w:hanging="0"/>
              <w:rPr/>
            </w:pPr>
            <w:r>
              <w:rPr/>
              <w:t>не менее</w:t>
            </w:r>
          </w:p>
        </w:tc>
        <w:tc>
          <w:tcPr>
            <w:tcW w:w="2015" w:type="dxa"/>
            <w:tcBorders>
              <w:top w:val="single" w:sz="4" w:space="0" w:color="000000"/>
              <w:start w:val="single" w:sz="4" w:space="0" w:color="000000"/>
              <w:bottom w:val="single" w:sz="4" w:space="0" w:color="000000"/>
              <w:end w:val="single" w:sz="4" w:space="0" w:color="000000"/>
            </w:tcBorders>
          </w:tcPr>
          <w:p>
            <w:pPr>
              <w:pStyle w:val="Normal"/>
              <w:ind w:hanging="0"/>
              <w:rPr/>
            </w:pPr>
            <w:r>
              <w:rPr/>
              <w:t>10 000 000</w:t>
            </w:r>
          </w:p>
        </w:tc>
        <w:tc>
          <w:tcPr>
            <w:tcW w:w="1798" w:type="dxa"/>
            <w:tcBorders>
              <w:top w:val="single" w:sz="4" w:space="0" w:color="000000"/>
              <w:start w:val="single" w:sz="4" w:space="0" w:color="000000"/>
              <w:bottom w:val="single" w:sz="4" w:space="0" w:color="000000"/>
              <w:end w:val="single" w:sz="4" w:space="0" w:color="000000"/>
            </w:tcBorders>
          </w:tcPr>
          <w:p>
            <w:pPr>
              <w:pStyle w:val="Normal"/>
              <w:rPr/>
            </w:pPr>
            <w:r>
              <w:rPr/>
              <w:t>Шт.</w:t>
            </w:r>
          </w:p>
        </w:tc>
      </w:tr>
      <w:tr>
        <w:trPr/>
        <w:tc>
          <w:tcPr>
            <w:tcW w:w="844" w:type="dxa"/>
            <w:tcBorders>
              <w:top w:val="single" w:sz="4" w:space="0" w:color="000000"/>
              <w:start w:val="single" w:sz="4" w:space="0" w:color="000000"/>
              <w:bottom w:val="single" w:sz="4" w:space="0" w:color="000000"/>
              <w:end w:val="single" w:sz="4" w:space="0" w:color="000000"/>
            </w:tcBorders>
          </w:tcPr>
          <w:p>
            <w:pPr>
              <w:pStyle w:val="ListParagraph"/>
              <w:numPr>
                <w:ilvl w:val="0"/>
                <w:numId w:val="9"/>
              </w:numPr>
              <w:rPr/>
            </w:pPr>
            <w:r>
              <w:rPr/>
            </w:r>
          </w:p>
        </w:tc>
        <w:tc>
          <w:tcPr>
            <w:tcW w:w="3418" w:type="dxa"/>
            <w:tcBorders>
              <w:top w:val="single" w:sz="4" w:space="0" w:color="000000"/>
              <w:start w:val="single" w:sz="4" w:space="0" w:color="000000"/>
              <w:bottom w:val="single" w:sz="4" w:space="0" w:color="000000"/>
              <w:end w:val="single" w:sz="4" w:space="0" w:color="000000"/>
            </w:tcBorders>
          </w:tcPr>
          <w:p>
            <w:pPr>
              <w:pStyle w:val="Normal"/>
              <w:ind w:hanging="0"/>
              <w:rPr/>
            </w:pPr>
            <w:r>
              <w:rPr/>
              <w:t xml:space="preserve">Система должна обеспечивать сохранение производительности при ежемесячном приросте данных в хранилище </w:t>
            </w:r>
          </w:p>
        </w:tc>
        <w:tc>
          <w:tcPr>
            <w:tcW w:w="1280" w:type="dxa"/>
            <w:tcBorders>
              <w:top w:val="single" w:sz="4" w:space="0" w:color="000000"/>
              <w:start w:val="single" w:sz="4" w:space="0" w:color="000000"/>
              <w:bottom w:val="single" w:sz="4" w:space="0" w:color="000000"/>
              <w:end w:val="single" w:sz="4" w:space="0" w:color="000000"/>
            </w:tcBorders>
          </w:tcPr>
          <w:p>
            <w:pPr>
              <w:pStyle w:val="Normal"/>
              <w:ind w:hanging="0"/>
              <w:rPr/>
            </w:pPr>
            <w:r>
              <w:rPr/>
              <w:t>не менее</w:t>
            </w:r>
          </w:p>
        </w:tc>
        <w:tc>
          <w:tcPr>
            <w:tcW w:w="2015" w:type="dxa"/>
            <w:tcBorders>
              <w:top w:val="single" w:sz="4" w:space="0" w:color="000000"/>
              <w:start w:val="single" w:sz="4" w:space="0" w:color="000000"/>
              <w:bottom w:val="single" w:sz="4" w:space="0" w:color="000000"/>
              <w:end w:val="single" w:sz="4" w:space="0" w:color="000000"/>
            </w:tcBorders>
          </w:tcPr>
          <w:p>
            <w:pPr>
              <w:pStyle w:val="Normal"/>
              <w:rPr/>
            </w:pPr>
            <w:r>
              <w:rPr/>
              <w:t>20</w:t>
            </w:r>
          </w:p>
        </w:tc>
        <w:tc>
          <w:tcPr>
            <w:tcW w:w="1798" w:type="dxa"/>
            <w:tcBorders>
              <w:top w:val="single" w:sz="4" w:space="0" w:color="000000"/>
              <w:start w:val="single" w:sz="4" w:space="0" w:color="000000"/>
              <w:bottom w:val="single" w:sz="4" w:space="0" w:color="000000"/>
              <w:end w:val="single" w:sz="4" w:space="0" w:color="000000"/>
            </w:tcBorders>
          </w:tcPr>
          <w:p>
            <w:pPr>
              <w:pStyle w:val="Normal"/>
              <w:rPr/>
            </w:pPr>
            <w:r>
              <w:rPr/>
              <w:t>Гб</w:t>
            </w:r>
          </w:p>
        </w:tc>
      </w:tr>
    </w:tbl>
    <w:p>
      <w:pPr>
        <w:pStyle w:val="NormalWeb"/>
        <w:spacing w:before="280" w:after="280"/>
        <w:rPr/>
      </w:pPr>
      <w:r>
        <w:rPr/>
      </w:r>
    </w:p>
    <w:p>
      <w:pPr>
        <w:pStyle w:val="Heading4"/>
        <w:numPr>
          <w:ilvl w:val="2"/>
          <w:numId w:val="18"/>
        </w:numPr>
        <w:ind w:firstLine="709" w:start="0"/>
        <w:rPr>
          <w:i/>
          <w:iCs/>
        </w:rPr>
      </w:pPr>
      <w:r>
        <w:rPr/>
        <w:t>Требования к надежности</w:t>
      </w:r>
    </w:p>
    <w:p>
      <w:pPr>
        <w:pStyle w:val="Normal"/>
        <w:rPr/>
      </w:pPr>
      <w:r>
        <w:rPr/>
        <w:t>Требования к техническим средствам не предъявляются.</w:t>
      </w:r>
    </w:p>
    <w:p>
      <w:pPr>
        <w:pStyle w:val="Heading4"/>
        <w:numPr>
          <w:ilvl w:val="2"/>
          <w:numId w:val="18"/>
        </w:numPr>
        <w:ind w:firstLine="709" w:start="0"/>
        <w:rPr>
          <w:i/>
          <w:iCs/>
        </w:rPr>
      </w:pPr>
      <w:r>
        <w:rPr/>
        <w:t>Требования по безопасности</w:t>
      </w:r>
    </w:p>
    <w:p>
      <w:pPr>
        <w:pStyle w:val="Normal"/>
        <w:rPr/>
      </w:pPr>
      <w:r>
        <w:rPr/>
        <w:t>Требования не предъявляются.</w:t>
      </w:r>
    </w:p>
    <w:p>
      <w:pPr>
        <w:pStyle w:val="Heading4"/>
        <w:numPr>
          <w:ilvl w:val="2"/>
          <w:numId w:val="18"/>
        </w:numPr>
        <w:ind w:firstLine="709" w:start="0"/>
        <w:rPr>
          <w:i/>
          <w:iCs/>
        </w:rPr>
      </w:pPr>
      <w:r>
        <w:rPr/>
        <w:t>Требования к эргономике и технической эстетике</w:t>
      </w:r>
    </w:p>
    <w:p>
      <w:pPr>
        <w:pStyle w:val="Normal"/>
        <w:rPr/>
      </w:pPr>
      <w:r>
        <w:rPr/>
        <w:t>При развитии Системы должны быть выполнены следующие требования:</w:t>
      </w:r>
    </w:p>
    <w:p>
      <w:pPr>
        <w:pStyle w:val="ListBullet"/>
        <w:numPr>
          <w:ilvl w:val="0"/>
          <w:numId w:val="10"/>
        </w:numPr>
        <w:rPr/>
      </w:pPr>
      <w:r>
        <w:rPr/>
        <w:t>в интерфейсе пользователя необходимо обеспечить использование единообразных элементов управления на всех формах и их единообразное размещение в пределах формы и относительно друг друга, чтобы упростить ориентирование пользователя;</w:t>
      </w:r>
    </w:p>
    <w:p>
      <w:pPr>
        <w:pStyle w:val="ListBullet"/>
        <w:numPr>
          <w:ilvl w:val="0"/>
          <w:numId w:val="10"/>
        </w:numPr>
        <w:rPr/>
      </w:pPr>
      <w:r>
        <w:rPr/>
        <w:t>в интерфейсе пользователя необходимо обеспечить единообразное расположение одинаковых информационных полей относительно друг друга (порядок размещения на странице), за исключением случаев, где изменение этого порядка обосновано для повышения комфорта работы;</w:t>
      </w:r>
    </w:p>
    <w:p>
      <w:pPr>
        <w:pStyle w:val="ListBullet"/>
        <w:numPr>
          <w:ilvl w:val="0"/>
          <w:numId w:val="10"/>
        </w:numPr>
        <w:rPr/>
      </w:pPr>
      <w:r>
        <w:rPr/>
        <w:t>взаимодействие пользователя с Системой должно осуществляться на русском языке, исключения могут составлять только системные сообщения, не подлежащие русификации;</w:t>
      </w:r>
    </w:p>
    <w:p>
      <w:pPr>
        <w:pStyle w:val="ListBullet"/>
        <w:numPr>
          <w:ilvl w:val="0"/>
          <w:numId w:val="10"/>
        </w:numPr>
        <w:rPr/>
      </w:pPr>
      <w:r>
        <w:rPr/>
        <w:t>исключить необходимость двойного ввода уже введенных данных; предусматривать заполнение по умолчанию полей на основании логики наиболее часто используемых сценариев заполнения форм.</w:t>
      </w:r>
    </w:p>
    <w:p>
      <w:pPr>
        <w:pStyle w:val="ListBullet"/>
        <w:numPr>
          <w:ilvl w:val="0"/>
          <w:numId w:val="10"/>
        </w:numPr>
        <w:rPr/>
      </w:pPr>
      <w:r>
        <w:rPr/>
        <w:t>дизайн интерфейса и его элементы должны быть представлены в проектной документации с учетом следующих требований:</w:t>
      </w:r>
    </w:p>
    <w:p>
      <w:pPr>
        <w:pStyle w:val="ListBullet"/>
        <w:numPr>
          <w:ilvl w:val="0"/>
          <w:numId w:val="10"/>
        </w:numPr>
        <w:rPr/>
      </w:pPr>
      <w:r>
        <w:rPr/>
        <w:t>интерфейс должен быть рассчитан на преимущественное использование манипулятора типа «мышь», то есть управление системой должно осуществляться с помощью набора экранных меню, кнопок, значков и т. п. элементов. Клавиатурный режим ввода должен используется главным образом при заполнении и/или редактировании текстовых и числовых полей экранных форм.</w:t>
      </w:r>
    </w:p>
    <w:p>
      <w:pPr>
        <w:pStyle w:val="ListBullet"/>
        <w:numPr>
          <w:ilvl w:val="0"/>
          <w:numId w:val="10"/>
        </w:numPr>
        <w:rPr/>
      </w:pPr>
      <w:r>
        <w:rPr/>
        <w:t>экранные формы должны проектироваться с учетом требований унификации:</w:t>
      </w:r>
    </w:p>
    <w:p>
      <w:pPr>
        <w:pStyle w:val="ListBullet"/>
        <w:numPr>
          <w:ilvl w:val="0"/>
          <w:numId w:val="10"/>
        </w:numPr>
        <w:rPr/>
      </w:pPr>
      <w:r>
        <w:rPr/>
        <w:t>- 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pPr>
        <w:pStyle w:val="ListBullet"/>
        <w:numPr>
          <w:ilvl w:val="0"/>
          <w:numId w:val="10"/>
        </w:numPr>
        <w:rPr/>
      </w:pPr>
      <w:r>
        <w:rPr/>
        <w:t>- 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pPr>
        <w:pStyle w:val="Heading4"/>
        <w:numPr>
          <w:ilvl w:val="2"/>
          <w:numId w:val="18"/>
        </w:numPr>
        <w:ind w:firstLine="709" w:start="0"/>
        <w:rPr>
          <w:i/>
          <w:iCs/>
        </w:rPr>
      </w:pPr>
      <w:r>
        <w:rPr/>
        <w:t>Требования к транспортабельности для подвижных Систем</w:t>
      </w:r>
    </w:p>
    <w:p>
      <w:pPr>
        <w:pStyle w:val="Normal"/>
        <w:rPr/>
      </w:pPr>
      <w:r>
        <w:rPr/>
        <w:t>Компоненты системы являются стационарными и после монтажа и проведения пуско-наладочных работ транспортировке не подлежат. Требования не предъявляются.</w:t>
      </w:r>
    </w:p>
    <w:p>
      <w:pPr>
        <w:pStyle w:val="Heading4"/>
        <w:numPr>
          <w:ilvl w:val="2"/>
          <w:numId w:val="18"/>
        </w:numPr>
        <w:ind w:firstLine="709" w:start="0"/>
        <w:rPr>
          <w:i/>
          <w:iCs/>
        </w:rPr>
      </w:pPr>
      <w:r>
        <w:rPr/>
        <w:t>Требования к эксплуатации, техническому обслуживанию, ремонту и хранению компонентов Системы</w:t>
      </w:r>
    </w:p>
    <w:p>
      <w:pPr>
        <w:pStyle w:val="Normal"/>
        <w:rPr/>
      </w:pPr>
      <w:r>
        <w:rPr/>
        <w:t>Структура и конфигурация системы должны быть спроектированы и реализованы с целью минимизации количественного состава обслуживающего персонала. Структура должна предоставлять возможность управления всем доступным функционалом Системы как одному системному администратору, так и нескольким, с целью разделения ответственности по администрированию между несколькими администраторами. Обслуживание Системы в части расширенного функционала не требует круглосуточного присутствия системного администратора.</w:t>
      </w:r>
    </w:p>
    <w:p>
      <w:pPr>
        <w:pStyle w:val="Normal"/>
        <w:rPr/>
      </w:pPr>
      <w:r>
        <w:rPr/>
        <w:t xml:space="preserve">Структура и конфигурация должны быть представлены в проектной документации с обоснованием предложенных решений. </w:t>
      </w:r>
    </w:p>
    <w:p>
      <w:pPr>
        <w:pStyle w:val="Normal"/>
        <w:rPr/>
      </w:pPr>
      <w:r>
        <w:rPr/>
        <w:t>Условия эксплуатации, а также виды и периодичность обслуживания технических средств должны соответствовать требованиям по эксплуатации, техническому обслуживанию, ремонту и хранению, изложенным в документации производителя.</w:t>
      </w:r>
    </w:p>
    <w:p>
      <w:pPr>
        <w:pStyle w:val="Heading4"/>
        <w:numPr>
          <w:ilvl w:val="2"/>
          <w:numId w:val="18"/>
        </w:numPr>
        <w:ind w:firstLine="709" w:start="0"/>
        <w:rPr>
          <w:i/>
          <w:iCs/>
        </w:rPr>
      </w:pPr>
      <w:r>
        <w:rPr/>
        <w:t>Требования к защите информации от несанкционированного доступа</w:t>
      </w:r>
    </w:p>
    <w:p>
      <w:pPr>
        <w:pStyle w:val="Normal"/>
        <w:rPr/>
      </w:pPr>
      <w:r>
        <w:rPr/>
        <w:t>Мероприятия по защите информации и аттестации Системы проводятся в рамках отдельных работ и не являются предметом настоящего договора.</w:t>
      </w:r>
    </w:p>
    <w:p>
      <w:pPr>
        <w:pStyle w:val="Heading4"/>
        <w:numPr>
          <w:ilvl w:val="2"/>
          <w:numId w:val="18"/>
        </w:numPr>
        <w:ind w:firstLine="709" w:start="0"/>
        <w:rPr>
          <w:i/>
          <w:iCs/>
        </w:rPr>
      </w:pPr>
      <w:r>
        <w:rPr/>
        <w:t>Требования по сохранности информации при авариях</w:t>
      </w:r>
    </w:p>
    <w:p>
      <w:pPr>
        <w:pStyle w:val="Normal"/>
        <w:rPr/>
      </w:pPr>
      <w:r>
        <w:rPr/>
        <w:t>В случаях потери электропитания и перезапуска системы должна обеспечиваться сохранность информации, введенной пользователем. В качестве мер по обеспечению сохранности информации при авариях необходимо обеспечить:</w:t>
      </w:r>
    </w:p>
    <w:p>
      <w:pPr>
        <w:pStyle w:val="ListParagraph"/>
        <w:numPr>
          <w:ilvl w:val="0"/>
          <w:numId w:val="11"/>
        </w:numPr>
        <w:rPr/>
      </w:pPr>
      <w:bookmarkStart w:id="34" w:name="_Hlk152664305"/>
      <w:r>
        <w:rPr/>
        <w:t>осуществление автоматического и (или) ручного резервного копирования данных средствами системного и базового программного обеспечения в соответствии с установленным порядком</w:t>
      </w:r>
      <w:bookmarkEnd w:id="34"/>
      <w:r>
        <w:rPr/>
        <w:t>;</w:t>
      </w:r>
    </w:p>
    <w:p>
      <w:pPr>
        <w:pStyle w:val="ListParagraph"/>
        <w:numPr>
          <w:ilvl w:val="0"/>
          <w:numId w:val="11"/>
        </w:numPr>
        <w:rPr/>
      </w:pPr>
      <w:bookmarkStart w:id="35" w:name="_Hlk152664328"/>
      <w:r>
        <w:rPr/>
        <w:t>проведение регламентных процедур периодического резервного копирования информационных ресурсов и областей дискового пространства, содержащих информацию, необходимую для нормального функционирования Системы</w:t>
      </w:r>
      <w:bookmarkEnd w:id="35"/>
      <w:r>
        <w:rPr/>
        <w:t>.</w:t>
      </w:r>
    </w:p>
    <w:p>
      <w:pPr>
        <w:pStyle w:val="Normal"/>
        <w:rPr/>
      </w:pPr>
      <w:r>
        <w:rPr/>
        <w:t>Резервное копирование ОПО и СПО на АРМ пользователей не выполняется.</w:t>
      </w:r>
    </w:p>
    <w:p>
      <w:pPr>
        <w:pStyle w:val="Heading4"/>
        <w:numPr>
          <w:ilvl w:val="2"/>
          <w:numId w:val="18"/>
        </w:numPr>
        <w:ind w:firstLine="709" w:start="0"/>
        <w:rPr>
          <w:i/>
          <w:iCs/>
        </w:rPr>
      </w:pPr>
      <w:r>
        <w:rPr/>
        <w:t>Требования к защите от влияния внешних воздействий</w:t>
      </w:r>
    </w:p>
    <w:p>
      <w:pPr>
        <w:pStyle w:val="Normal"/>
        <w:rPr/>
      </w:pPr>
      <w:r>
        <w:rPr/>
        <w:t>Требования не предъявляются.</w:t>
      </w:r>
    </w:p>
    <w:p>
      <w:pPr>
        <w:pStyle w:val="Heading4"/>
        <w:numPr>
          <w:ilvl w:val="2"/>
          <w:numId w:val="18"/>
        </w:numPr>
        <w:ind w:firstLine="709" w:start="0"/>
        <w:rPr>
          <w:i/>
          <w:iCs/>
        </w:rPr>
      </w:pPr>
      <w:r>
        <w:rPr/>
        <w:t xml:space="preserve">Требования к патентной чистоте и патентоспособности </w:t>
      </w:r>
    </w:p>
    <w:p>
      <w:pPr>
        <w:pStyle w:val="Normal"/>
        <w:rPr/>
      </w:pPr>
      <w:r>
        <w:rPr/>
        <w:t>В соответствии с пунктом 2.7 типовых условий контрактов на выполнение работ по созданию и (или) развитию (модернизации) государственных (муниципальных) и (или) иных информационных систем, утвержденных приказом Минцифры России от 17.12.2020 №715 Подрядчик (Исполнитель) передает Заказчику комплект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Заказчика,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Договора, осуществляется подрядчиком (исполнителем) в составе отчетной документации, предусмотренной условиями Договора.</w:t>
      </w:r>
    </w:p>
    <w:p>
      <w:pPr>
        <w:pStyle w:val="Normal"/>
        <w:rPr/>
      </w:pPr>
      <w:r>
        <w:rPr/>
        <w:t>Условия об обязанностях подрядчика(исполнителя):</w:t>
      </w:r>
    </w:p>
    <w:p>
      <w:pPr>
        <w:pStyle w:val="Normal"/>
        <w:rPr/>
      </w:pPr>
      <w:r>
        <w:rPr/>
        <w:t xml:space="preserve">Исключительное право на разработанные в ходе выполнения работ по Договору результаты в полном объеме, в том числе, но не исключая: изобретения, полезные модели, промышленные образцы, программы для ЭВМ, включая исходные коды, библиотеки зависимостей, базы данных, топологии интегральных микросхем, а также проектную, техническую, рабочую, сопроводительную и методическую документацию к Системе или ее частям возникает в момент ее создания и принадлежит в лице Заказчика Московской области. </w:t>
      </w:r>
    </w:p>
    <w:p>
      <w:pPr>
        <w:pStyle w:val="Normal"/>
        <w:rPr/>
      </w:pPr>
      <w:r>
        <w:rPr/>
        <w:t>Без увеличения цены Договора передать заказчику права на использование охраняемых результатов интеллектуальной деятельности, права на которые принадлежат подрядчику (исполнителю) и (или) третьим лицам и которые использовались при выполнении работ по Договору, в объеме, необходимом для использования заказчиком результатов работ по Договору по их целевому назначению и в соответствии с условиями настоящего Договора на весь срок действия использованных исключительных прав или на иной срок, установленный заказчиком. Подрядчик (исполнитель) передает заказчику указанные права посредством заключения лицензионного договора</w:t>
      </w:r>
      <w:r>
        <w:rPr>
          <w:rStyle w:val="FootnoteReference"/>
          <w:position w:val="0"/>
          <w:sz w:val="28"/>
          <w:vertAlign w:val="baseline"/>
        </w:rPr>
        <w:footnoteReference w:id="2"/>
      </w:r>
      <w:r>
        <w:rPr/>
        <w:t>.</w:t>
      </w:r>
    </w:p>
    <w:p>
      <w:pPr>
        <w:pStyle w:val="Normal"/>
        <w:rPr/>
      </w:pPr>
      <w:r>
        <w:rPr/>
        <w:t>Согласовать с Заказчиком необходимость использования при выполнении работ охраняемых результатов интеллектуальной деятельности, прав на которые принадлежат третьим лицам. Предел прав и их объем, на такие результаты деятельности должен обеспечить эксплуатацию Системы и ее развитие на протяжение всего срока ее эксплуатации.</w:t>
      </w:r>
    </w:p>
    <w:p>
      <w:pPr>
        <w:pStyle w:val="Normal"/>
        <w:rPr/>
      </w:pPr>
      <w:r>
        <w:rPr/>
        <w:t>Права, полученные заказчиком, должны позволять ему передавать, дорабатывать, развивать результаты работ, созданные в процессе исполнения договора.</w:t>
      </w:r>
    </w:p>
    <w:p>
      <w:pPr>
        <w:pStyle w:val="Normal"/>
        <w:rPr/>
      </w:pPr>
      <w:r>
        <w:rPr/>
        <w:t>Подрядчик (исполнитель) при передаче прав Заказчику должен обеспечить соблюдение законных прав (исключительных, авторских, смежных) других лиц. Должен за свой счет осуществить проверку результатов интеллектуальной деятельности, на которые передаются права на предмет отсутствия какого-либо обременения (в том числе залога, ареста).</w:t>
      </w:r>
    </w:p>
    <w:p>
      <w:pPr>
        <w:pStyle w:val="Heading4"/>
        <w:numPr>
          <w:ilvl w:val="2"/>
          <w:numId w:val="18"/>
        </w:numPr>
        <w:ind w:firstLine="709" w:start="0"/>
        <w:rPr>
          <w:i/>
          <w:iCs/>
        </w:rPr>
      </w:pPr>
      <w:r>
        <w:rPr/>
        <w:t xml:space="preserve">Требования по стандартизации и унификации </w:t>
      </w:r>
    </w:p>
    <w:p>
      <w:pPr>
        <w:pStyle w:val="Normal"/>
        <w:rPr/>
      </w:pPr>
      <w:r>
        <w:rPr/>
        <w:t>Результаты работ, включающие в себя технические (форматы данных, протоколы передачи, прикладное ПО) и организационные (регламенты, требования, инструкции) решения должны быть доступны и документированы в виде, достаточном для независимой реализации (сопровождения) третьими лицами. Применение недокументированных и/или непроверяемых решений не допускается. При выборе применяемых решений преимущество должно отдаваться решениям, основанным на стандартизированных технологиях, т.е. прошедшим процедуру стандартизации и/или утвержденными в качестве стандарта либо рекомендованными федеральным, отраслевым, промышленным органом по стандартизации.</w:t>
      </w:r>
    </w:p>
    <w:p>
      <w:pPr>
        <w:pStyle w:val="Normal"/>
        <w:rPr/>
      </w:pPr>
      <w:r>
        <w:rPr/>
        <w:t>При проектировании решений, предусмотренных настоящим техническим заданием, должны быть использованы существующие классификаторы и словари, технические регламенты, принятые в соответствии с законодательством Российской Федерации о техническом регулировании и применяемыми в национальной системе стандартизации, принятыми в соответствии с законодательством Российской Федерации о стандартизации, в том числе отраслевыми нормативными правовыми актами и согласованными с Заказчиком.</w:t>
      </w:r>
    </w:p>
    <w:p>
      <w:pPr>
        <w:pStyle w:val="Heading4"/>
        <w:numPr>
          <w:ilvl w:val="2"/>
          <w:numId w:val="18"/>
        </w:numPr>
        <w:ind w:firstLine="709" w:start="0"/>
        <w:rPr>
          <w:i/>
          <w:iCs/>
        </w:rPr>
      </w:pPr>
      <w:r>
        <w:rPr/>
        <w:t>Дополнительные требования</w:t>
      </w:r>
    </w:p>
    <w:p>
      <w:pPr>
        <w:pStyle w:val="Normal"/>
        <w:rPr/>
      </w:pPr>
      <w:r>
        <w:rPr/>
        <w:t>В целях обеспечения информационной безопасности государственных информационных систем заказчика при организации взаимодействия с подрядной организацией стороны настоящего договора должны руководствоваться рекомендациями ФСТЭК России от 30.07.2025 № 9/41 «О мерах по повышению защищенности информационной инфраструктуры Российской Федерации». На подрядчика (исполнителя) возлагается:</w:t>
      </w:r>
    </w:p>
    <w:p>
      <w:pPr>
        <w:pStyle w:val="Normal"/>
        <w:rPr/>
      </w:pPr>
      <w:r>
        <w:rPr/>
        <w:t>В рамках исполнения своих обязательств подрядчик (исполнитель) получает доступ ко всей информации, находящейся в системе и несет гражданско-правовую, административную или уголовную ответственность в соответствии с законодательством Российской Федерации (в т.ч. предусмотренную статьями 13.11, 13.12, 13.12.1, 13.14, 13.14.1  КоАП РФ) за нарушение требований к защите информации в рамках предоставленного удаленного доступа  своим работникам, работникам субподрядчика (соисполнителя) к информационной системе, к информационно-телекоммуникационной сети и к информации заказчика.</w:t>
      </w:r>
    </w:p>
    <w:p>
      <w:pPr>
        <w:pStyle w:val="Normal"/>
        <w:rPr/>
      </w:pPr>
      <w:r>
        <w:rPr/>
        <w:t>Заказчик, в случае нарушения его прав и законных интересов в связи с разглашением информации или иного неправомерного использования информации, полученной подрядчиком (исполнителем) в рамках исполнения настоящего договора, будет требовать, в том числе в установленном порядке судебной защиты своих прав, а равно и возмещения материального ущерба.</w:t>
      </w:r>
    </w:p>
    <w:p>
      <w:pPr>
        <w:pStyle w:val="ListBullet"/>
        <w:numPr>
          <w:ilvl w:val="0"/>
          <w:numId w:val="0"/>
        </w:numPr>
        <w:ind w:hanging="0" w:start="709"/>
        <w:rPr/>
        <w:sectPr>
          <w:footnotePr>
            <w:numFmt w:val="decimal"/>
          </w:footnotePr>
          <w:type w:val="nextPage"/>
          <w:pgSz w:w="11906" w:h="16838"/>
          <w:pgMar w:left="1701" w:right="850" w:gutter="0" w:header="0" w:top="1134" w:footer="0" w:bottom="1134"/>
          <w:pgNumType w:fmt="decimal"/>
          <w:formProt w:val="false"/>
          <w:textDirection w:val="lrTb"/>
          <w:docGrid w:type="default" w:linePitch="360" w:charSpace="0"/>
        </w:sectPr>
      </w:pPr>
      <w:r>
        <w:rPr/>
        <w:t>.</w:t>
      </w:r>
    </w:p>
    <w:p>
      <w:pPr>
        <w:pStyle w:val="Heading1"/>
        <w:numPr>
          <w:ilvl w:val="0"/>
          <w:numId w:val="18"/>
        </w:numPr>
        <w:ind w:firstLine="709" w:start="0" w:end="-1"/>
        <w:rPr/>
      </w:pPr>
      <w:bookmarkStart w:id="36" w:name="_Toc239425664"/>
      <w:r>
        <w:rPr/>
        <w:t>СОСТАВ И СОДЕРЖАНИЕ РАБОТ ПО СОЗДАНИЮ СИСТЕМЫ</w:t>
      </w:r>
      <w:bookmarkEnd w:id="36"/>
    </w:p>
    <w:p>
      <w:pPr>
        <w:pStyle w:val="Heading3"/>
        <w:numPr>
          <w:ilvl w:val="1"/>
          <w:numId w:val="18"/>
        </w:numPr>
        <w:ind w:firstLine="709" w:start="0"/>
        <w:rPr/>
      </w:pPr>
      <w:bookmarkStart w:id="37" w:name="_Toc239425665"/>
      <w:r>
        <w:rPr/>
        <w:t>Календарный план</w:t>
      </w:r>
      <w:bookmarkEnd w:id="37"/>
    </w:p>
    <w:p>
      <w:pPr>
        <w:pStyle w:val="Normal"/>
        <w:rPr>
          <w:sz w:val="24"/>
          <w:szCs w:val="24"/>
          <w:lang w:eastAsia="ru-RU"/>
        </w:rPr>
        <w:sectPr>
          <w:footnotePr>
            <w:numFmt w:val="decimal"/>
          </w:footnotePr>
          <w:type w:val="nextPage"/>
          <w:pgSz w:w="11906" w:h="16838"/>
          <w:pgMar w:left="1701" w:right="850" w:gutter="0" w:header="0" w:top="1134" w:footer="0" w:bottom="1134"/>
          <w:pgNumType w:fmt="decimal"/>
          <w:formProt w:val="false"/>
          <w:textDirection w:val="lrTb"/>
          <w:docGrid w:type="default" w:linePitch="360" w:charSpace="0"/>
        </w:sectPr>
      </w:pPr>
      <w:bookmarkStart w:id="38" w:name="_Hlk177030938"/>
      <w:bookmarkEnd w:id="38"/>
      <w:r>
        <w:rPr>
          <w:lang w:eastAsia="ru-RU"/>
        </w:rPr>
        <w:t>Развитие Системы осуществляется посредством последовательной реализации</w:t>
      </w:r>
      <w:r>
        <w:rPr>
          <w:sz w:val="24"/>
          <w:szCs w:val="24"/>
          <w:lang w:eastAsia="ru-RU"/>
        </w:rPr>
        <w:t xml:space="preserve"> </w:t>
      </w:r>
      <w:r>
        <w:rPr>
          <w:lang w:eastAsia="ru-RU"/>
        </w:rPr>
        <w:t>упорядоченных во времени взаимосвязанных этапов работ по созданию Системы, предусмотренных настоящим пунктом</w:t>
      </w:r>
      <w:r>
        <w:rPr>
          <w:sz w:val="24"/>
          <w:szCs w:val="24"/>
          <w:lang w:eastAsia="ru-RU"/>
        </w:rPr>
        <w:t>.</w:t>
      </w:r>
    </w:p>
    <w:tbl>
      <w:tblPr>
        <w:tblStyle w:val="aa"/>
        <w:tblW w:w="14955"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897"/>
        <w:gridCol w:w="3214"/>
        <w:gridCol w:w="6378"/>
        <w:gridCol w:w="2411"/>
        <w:gridCol w:w="2055"/>
      </w:tblGrid>
      <w:tr>
        <w:trPr/>
        <w:tc>
          <w:tcPr>
            <w:tcW w:w="897" w:type="dxa"/>
            <w:tcBorders/>
          </w:tcPr>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 xml:space="preserve">№№ </w:t>
            </w:r>
            <w:r>
              <w:rPr>
                <w:rFonts w:eastAsia="Times New Roman" w:cs="Times New Roman"/>
                <w:kern w:val="0"/>
                <w:sz w:val="20"/>
                <w:szCs w:val="20"/>
                <w:lang w:val="ru-RU" w:eastAsia="ru-RU" w:bidi="ar-SA"/>
              </w:rPr>
              <w:t>Этапа</w:t>
            </w:r>
          </w:p>
        </w:tc>
        <w:tc>
          <w:tcPr>
            <w:tcW w:w="3214" w:type="dxa"/>
            <w:tcBorders/>
          </w:tcPr>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Наименование работ</w:t>
            </w:r>
          </w:p>
        </w:tc>
        <w:tc>
          <w:tcPr>
            <w:tcW w:w="6378" w:type="dxa"/>
            <w:tcBorders/>
          </w:tcPr>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Результаты работ</w:t>
            </w:r>
          </w:p>
        </w:tc>
        <w:tc>
          <w:tcPr>
            <w:tcW w:w="2411" w:type="dxa"/>
            <w:tcBorders/>
          </w:tcPr>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Срок начала проведения работ</w:t>
            </w:r>
          </w:p>
        </w:tc>
        <w:tc>
          <w:tcPr>
            <w:tcW w:w="2055" w:type="dxa"/>
            <w:tcBorders/>
          </w:tcPr>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Срок окончания работ</w:t>
            </w:r>
            <w:bookmarkStart w:id="39" w:name="_Hlk179372406"/>
            <w:bookmarkEnd w:id="39"/>
          </w:p>
        </w:tc>
      </w:tr>
      <w:tr>
        <w:trPr/>
        <w:tc>
          <w:tcPr>
            <w:tcW w:w="897" w:type="dxa"/>
            <w:tcBorders/>
          </w:tcPr>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2</w:t>
            </w:r>
          </w:p>
        </w:tc>
        <w:tc>
          <w:tcPr>
            <w:tcW w:w="3214" w:type="dxa"/>
            <w:tcBorders/>
          </w:tcPr>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Разработка программного обеспечения;</w:t>
            </w:r>
          </w:p>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 xml:space="preserve">Разработка рабочей документации </w:t>
            </w:r>
          </w:p>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Пусконаладочные работы (Предварительные испытания)</w:t>
            </w:r>
          </w:p>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Системы/составной части</w:t>
            </w:r>
          </w:p>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6378" w:type="dxa"/>
            <w:tcBorders/>
          </w:tcPr>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СПО Системы и исходный код СПО Системы на электронном носителе с однократной записью;</w:t>
            </w:r>
          </w:p>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Рабочая и эксплуатационная документация на Систему, включая:</w:t>
            </w:r>
          </w:p>
          <w:p>
            <w:pPr>
              <w:pStyle w:val="ListParagraph"/>
              <w:widowControl/>
              <w:numPr>
                <w:ilvl w:val="0"/>
                <w:numId w:val="12"/>
              </w:numPr>
              <w:suppressAutoHyphens w:val="true"/>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общее описание Системы;</w:t>
            </w:r>
          </w:p>
          <w:p>
            <w:pPr>
              <w:pStyle w:val="ListParagraph"/>
              <w:widowControl/>
              <w:numPr>
                <w:ilvl w:val="0"/>
                <w:numId w:val="12"/>
              </w:numPr>
              <w:suppressAutoHyphens w:val="true"/>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руководство администратора;</w:t>
            </w:r>
          </w:p>
          <w:p>
            <w:pPr>
              <w:pStyle w:val="ListParagraph"/>
              <w:widowControl/>
              <w:numPr>
                <w:ilvl w:val="0"/>
                <w:numId w:val="12"/>
              </w:numPr>
              <w:suppressAutoHyphens w:val="true"/>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руководство пользователя;</w:t>
            </w:r>
          </w:p>
          <w:p>
            <w:pPr>
              <w:pStyle w:val="ListParagraph"/>
              <w:widowControl/>
              <w:numPr>
                <w:ilvl w:val="0"/>
                <w:numId w:val="12"/>
              </w:numPr>
              <w:suppressAutoHyphens w:val="true"/>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программу и методические материалы для подготовки пользователей по вопросам работы с Системой (в рамках работ по развитию Системы);</w:t>
            </w:r>
          </w:p>
          <w:p>
            <w:pPr>
              <w:pStyle w:val="ListParagraph"/>
              <w:widowControl/>
              <w:numPr>
                <w:ilvl w:val="0"/>
                <w:numId w:val="12"/>
              </w:numPr>
              <w:suppressAutoHyphens w:val="true"/>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 xml:space="preserve">программу и методику предварительных испытаний Системы; </w:t>
            </w:r>
          </w:p>
          <w:p>
            <w:pPr>
              <w:pStyle w:val="Normal"/>
              <w:widowControl/>
              <w:suppressAutoHyphens w:val="true"/>
              <w:ind w:hanging="0"/>
              <w:jc w:val="star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программу опытной эксплуатации Системы;</w:t>
            </w:r>
          </w:p>
        </w:tc>
        <w:tc>
          <w:tcPr>
            <w:tcW w:w="2411" w:type="dxa"/>
            <w:tcBorders/>
            <w:vAlign w:val="center"/>
          </w:tcPr>
          <w:p>
            <w:pPr>
              <w:pStyle w:val="Normal"/>
              <w:widowControl/>
              <w:suppressAutoHyphens w:val="true"/>
              <w:ind w:hanging="0"/>
              <w:jc w:val="center"/>
              <w:rPr>
                <w:highlight w:val="none"/>
                <w:shd w:fill="FFFF00" w:val="clear"/>
              </w:rPr>
            </w:pPr>
            <w:r>
              <w:rPr>
                <w:rFonts w:eastAsia="Times New Roman" w:cs="Times New Roman"/>
                <w:kern w:val="0"/>
                <w:sz w:val="20"/>
                <w:szCs w:val="20"/>
                <w:shd w:fill="FFFF00" w:val="clear"/>
                <w:lang w:val="ru-RU" w:eastAsia="ru-RU" w:bidi="ar-SA"/>
              </w:rPr>
              <w:t>С даты заключения Договора</w:t>
            </w:r>
          </w:p>
        </w:tc>
        <w:tc>
          <w:tcPr>
            <w:tcW w:w="2055" w:type="dxa"/>
            <w:tcBorders/>
            <w:vAlign w:val="center"/>
          </w:tcPr>
          <w:p>
            <w:pPr>
              <w:pStyle w:val="Normal"/>
              <w:widowControl/>
              <w:suppressAutoHyphens w:val="true"/>
              <w:ind w:hanging="0"/>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t>27.11.2026</w:t>
            </w:r>
          </w:p>
        </w:tc>
      </w:tr>
    </w:tbl>
    <w:p>
      <w:pPr>
        <w:sectPr>
          <w:footnotePr>
            <w:numFmt w:val="decimal"/>
          </w:footnotePr>
          <w:type w:val="nextPage"/>
          <w:pgSz w:orient="landscape" w:w="16838" w:h="11906"/>
          <w:pgMar w:left="1134" w:right="1134" w:gutter="0" w:header="0" w:top="1701" w:footer="0" w:bottom="850"/>
          <w:pgNumType w:fmt="decimal"/>
          <w:formProt w:val="false"/>
          <w:textDirection w:val="lrTb"/>
          <w:docGrid w:type="default" w:linePitch="381" w:charSpace="0"/>
        </w:sectPr>
      </w:pPr>
    </w:p>
    <w:p>
      <w:pPr>
        <w:pStyle w:val="Heading1"/>
        <w:numPr>
          <w:ilvl w:val="0"/>
          <w:numId w:val="18"/>
        </w:numPr>
        <w:ind w:firstLine="709" w:start="0" w:end="-1"/>
        <w:rPr/>
      </w:pPr>
      <w:bookmarkStart w:id="40" w:name="_Toc239425666"/>
      <w:bookmarkStart w:id="41" w:name="_Hlk177030938_Копия_1"/>
      <w:bookmarkEnd w:id="41"/>
      <w:r>
        <w:rPr/>
        <w:t>ПОРЯДОК РАЗРАБОТКИ АВТОМАТИЗИРОВАННОЙ СИСТЕМЫ</w:t>
      </w:r>
      <w:bookmarkEnd w:id="40"/>
    </w:p>
    <w:p>
      <w:pPr>
        <w:pStyle w:val="Heading3"/>
        <w:numPr>
          <w:ilvl w:val="1"/>
          <w:numId w:val="18"/>
        </w:numPr>
        <w:ind w:firstLine="709" w:start="0"/>
        <w:rPr/>
      </w:pPr>
      <w:bookmarkStart w:id="42" w:name="_Toc460621391"/>
      <w:bookmarkStart w:id="43" w:name="_Toc9525920"/>
      <w:bookmarkStart w:id="44" w:name="_Toc192087650"/>
      <w:bookmarkStart w:id="45" w:name="_Toc239425667"/>
      <w:r>
        <w:rPr/>
        <w:t>Порядок организации разработки Системы</w:t>
      </w:r>
      <w:bookmarkEnd w:id="42"/>
      <w:bookmarkEnd w:id="43"/>
      <w:bookmarkEnd w:id="44"/>
      <w:bookmarkEnd w:id="45"/>
    </w:p>
    <w:p>
      <w:pPr>
        <w:pStyle w:val="Normal"/>
        <w:rPr>
          <w:rFonts w:eastAsia="Times New Roman" w:cs="Times New Roman"/>
          <w:lang w:eastAsia="ru-RU"/>
        </w:rPr>
      </w:pPr>
      <w:r>
        <w:rPr>
          <w:lang w:eastAsia="ru-RU"/>
        </w:rPr>
        <w:t>Подрядчик</w:t>
      </w:r>
      <w:bookmarkStart w:id="46" w:name="_Toc460621392"/>
      <w:bookmarkStart w:id="47" w:name="_Toc9525921"/>
      <w:r>
        <w:rPr>
          <w:lang w:eastAsia="ru-RU"/>
        </w:rPr>
        <w:t xml:space="preserve"> самостоятельно планирует, организовывает работу для обеспечения достижения результатов работ, полностью соответствующих требованиям настоящего технического задания с учетом сроков, установленных в календарном плане.</w:t>
      </w:r>
    </w:p>
    <w:p>
      <w:pPr>
        <w:pStyle w:val="Heading3"/>
        <w:numPr>
          <w:ilvl w:val="1"/>
          <w:numId w:val="18"/>
        </w:numPr>
        <w:ind w:firstLine="709" w:start="0"/>
        <w:rPr/>
      </w:pPr>
      <w:bookmarkStart w:id="48" w:name="_Toc192087651"/>
      <w:bookmarkStart w:id="49" w:name="_Toc239425668"/>
      <w:r>
        <w:rPr/>
        <w:t>Порядок проведения экспертиз технической документации</w:t>
      </w:r>
      <w:bookmarkEnd w:id="46"/>
      <w:bookmarkEnd w:id="47"/>
      <w:bookmarkEnd w:id="48"/>
      <w:bookmarkEnd w:id="49"/>
    </w:p>
    <w:p>
      <w:pPr>
        <w:pStyle w:val="Normal"/>
        <w:rPr/>
      </w:pPr>
      <w:r>
        <w:rPr/>
        <w:t>Подрядчик обязан обеспечить результаты работ на соответствующем этапе (документацию, программное обеспечение и другие результаты работ) в сроки, не позднее срока, установленного календарным планом для соответствующих этапов работ.</w:t>
      </w:r>
    </w:p>
    <w:p>
      <w:pPr>
        <w:pStyle w:val="Normal"/>
        <w:rPr/>
      </w:pPr>
      <w:r>
        <w:rPr/>
        <w:t>Подрядчик уведомляет заказчика о предоставлении результатов работ не позднее, чем за 3 (три) рабочих дня до окончания срока выполнения соответствующих этапов работ.</w:t>
      </w:r>
    </w:p>
    <w:p>
      <w:pPr>
        <w:pStyle w:val="Normal"/>
        <w:rPr/>
      </w:pPr>
      <w:r>
        <w:rPr/>
        <w:t>Экспертиза (проверка и приемка) технической документации и иных результатов работ, выполняемых Заказчиком в порядке, установленном разделом 7 «Порядок контроля и приемки систем» настоящего Технического задания.</w:t>
      </w:r>
    </w:p>
    <w:p>
      <w:pPr>
        <w:pStyle w:val="Heading3"/>
        <w:numPr>
          <w:ilvl w:val="1"/>
          <w:numId w:val="18"/>
        </w:numPr>
        <w:ind w:firstLine="709" w:start="0"/>
        <w:rPr/>
      </w:pPr>
      <w:bookmarkStart w:id="50" w:name="_Toc239425669"/>
      <w:bookmarkStart w:id="51" w:name="_Toc460621393"/>
      <w:bookmarkStart w:id="52" w:name="_Toc9525923"/>
      <w:bookmarkStart w:id="53" w:name="_Toc192087652"/>
      <w:r>
        <w:rPr/>
        <w:t xml:space="preserve">Требования к гарантийным обязательствам Подрядчика </w:t>
      </w:r>
      <w:bookmarkEnd w:id="50"/>
      <w:bookmarkEnd w:id="51"/>
      <w:bookmarkEnd w:id="52"/>
      <w:bookmarkEnd w:id="53"/>
    </w:p>
    <w:p>
      <w:pPr>
        <w:pStyle w:val="Normal"/>
        <w:rPr>
          <w:rFonts w:eastAsia="Times New Roman"/>
          <w:lang w:eastAsia="ru-RU"/>
        </w:rPr>
      </w:pPr>
      <w:r>
        <w:rPr/>
        <w:t>Требования к гарантийным догорам подрядчика Подрядчика приведены в разделе 10 «Гарантийные обязательства» настоящего Технического задания</w:t>
      </w:r>
      <w:r>
        <w:rPr>
          <w:rFonts w:eastAsia="Times New Roman"/>
          <w:lang w:eastAsia="ru-RU"/>
        </w:rPr>
        <w:t>.</w:t>
      </w:r>
    </w:p>
    <w:p>
      <w:pPr>
        <w:pStyle w:val="Heading3"/>
        <w:numPr>
          <w:ilvl w:val="1"/>
          <w:numId w:val="18"/>
        </w:numPr>
        <w:ind w:firstLine="709" w:start="0"/>
        <w:rPr/>
      </w:pPr>
      <w:bookmarkStart w:id="54" w:name="_Toc239425670"/>
      <w:r>
        <w:rPr/>
        <w:t>Требования к развитию СПО</w:t>
      </w:r>
      <w:bookmarkEnd w:id="54"/>
    </w:p>
    <w:p>
      <w:pPr>
        <w:pStyle w:val="Normal"/>
        <w:rPr/>
      </w:pPr>
      <w:r>
        <w:rPr/>
        <w:t>Подрядчик должен выполнить работы по развитию СПО ЕИАС ЖКХ МО, обеспечив его соответствие настоящим Техническим заданием.</w:t>
      </w:r>
    </w:p>
    <w:p>
      <w:pPr>
        <w:pStyle w:val="Normal"/>
        <w:rPr/>
      </w:pPr>
      <w:r>
        <w:rPr/>
        <w:t>Для выполнения работ по развитию СПО ЕИАС ЖКХ МО Заказчик предоставляет Подрядчику:</w:t>
      </w:r>
    </w:p>
    <w:p>
      <w:pPr>
        <w:pStyle w:val="ListParagraph"/>
        <w:numPr>
          <w:ilvl w:val="0"/>
          <w:numId w:val="14"/>
        </w:numPr>
        <w:rPr/>
      </w:pPr>
      <w:r>
        <w:rPr/>
        <w:t>доступ к исходным кодам СПО ЕИАС ЖКХ МО (развиваемой);</w:t>
      </w:r>
    </w:p>
    <w:p>
      <w:pPr>
        <w:pStyle w:val="ListParagraph"/>
        <w:numPr>
          <w:ilvl w:val="0"/>
          <w:numId w:val="14"/>
        </w:numPr>
        <w:rPr/>
      </w:pPr>
      <w:r>
        <w:rPr/>
        <w:t>доступ к СПО ЕИАС ЖКХ МО (развиваемой), либо данное СПО на машинных носителях, руководство администратора;</w:t>
      </w:r>
    </w:p>
    <w:p>
      <w:pPr>
        <w:pStyle w:val="ListParagraph"/>
        <w:numPr>
          <w:ilvl w:val="0"/>
          <w:numId w:val="14"/>
        </w:numPr>
        <w:rPr/>
      </w:pPr>
      <w:r>
        <w:rPr/>
        <w:t>иную техническую и рабочую документацию на СПО ЕИАС ЖКХ МО (развиваемой).</w:t>
      </w:r>
    </w:p>
    <w:p>
      <w:pPr>
        <w:pStyle w:val="Normal"/>
        <w:rPr/>
      </w:pPr>
      <w:r>
        <w:rPr/>
        <w:t>В ходе выполнения работ по развитию СПО ЕИАС ЖКХ МО Подрядчик должен выполнить все настройки и доработки СПО ЕИАС ЖКХ МО, необходимые для непосредственного взаимодействия ЕИАС ЖКХ МО в части разрабатываемых и модернизируемых функций с внешними информационными системами по обмену реальными данными.</w:t>
      </w:r>
    </w:p>
    <w:p>
      <w:pPr>
        <w:pStyle w:val="Heading3"/>
        <w:numPr>
          <w:ilvl w:val="1"/>
          <w:numId w:val="18"/>
        </w:numPr>
        <w:ind w:firstLine="709" w:start="0"/>
        <w:rPr/>
      </w:pPr>
      <w:bookmarkStart w:id="55" w:name="_Toc239425671"/>
      <w:r>
        <w:rPr/>
        <w:t>Требования к развитию СПО</w:t>
      </w:r>
      <w:bookmarkEnd w:id="55"/>
    </w:p>
    <w:p>
      <w:pPr>
        <w:pStyle w:val="Normal"/>
        <w:rPr/>
      </w:pPr>
      <w:r>
        <w:rPr/>
        <w:t>Подрядчик должен разработать пакет рабочей документации на новые и развиваемые функции ЕИАС ЖКХ МО.</w:t>
      </w:r>
    </w:p>
    <w:p>
      <w:pPr>
        <w:pStyle w:val="Normal"/>
        <w:rPr/>
      </w:pPr>
      <w:r>
        <w:rPr/>
        <w:t>Рабочая документация должна содержать сведения, необходимые для выполнения работ по поддержанию уровня эксплуатационных характеристик Системы в части защиты информации, установленных в проектных решениях, контролю работоспособности подсистемы защиты информации и ее компонентов и средств.</w:t>
      </w:r>
    </w:p>
    <w:p>
      <w:pPr>
        <w:pStyle w:val="Normal"/>
        <w:rPr>
          <w:lang w:eastAsia="ru-RU"/>
        </w:rPr>
      </w:pPr>
      <w:r>
        <w:rPr>
          <w:lang w:eastAsia="ru-RU"/>
        </w:rPr>
        <w:t>Заказчик предоставляет рабочую документацию, подлежащую доработке, в течение 2 (двух) календарных дней после заключения Договора.</w:t>
      </w:r>
    </w:p>
    <w:p>
      <w:pPr>
        <w:pStyle w:val="Heading3"/>
        <w:numPr>
          <w:ilvl w:val="1"/>
          <w:numId w:val="18"/>
        </w:numPr>
        <w:ind w:firstLine="709" w:start="0"/>
        <w:rPr/>
      </w:pPr>
      <w:bookmarkStart w:id="56" w:name="_Toc239425672"/>
      <w:r>
        <w:rPr/>
        <w:t>Требования к развитию СПО</w:t>
      </w:r>
      <w:bookmarkEnd w:id="56"/>
    </w:p>
    <w:p>
      <w:pPr>
        <w:pStyle w:val="Normal"/>
        <w:rPr>
          <w:lang w:eastAsia="ru-RU"/>
        </w:rPr>
      </w:pPr>
      <w:r>
        <w:rPr>
          <w:lang w:eastAsia="ru-RU"/>
        </w:rPr>
        <w:t>До начала опытной эксплуатации Системы Подрядчик должен провести мероприятия по подготовке пользователей, участвующих в опытной эксплуатации, по следующим вопросам:</w:t>
      </w:r>
    </w:p>
    <w:p>
      <w:pPr>
        <w:pStyle w:val="ListParagraph"/>
        <w:numPr>
          <w:ilvl w:val="0"/>
          <w:numId w:val="13"/>
        </w:numPr>
        <w:rPr/>
      </w:pPr>
      <w:r>
        <w:rPr/>
        <w:t>работа с Системой;</w:t>
      </w:r>
    </w:p>
    <w:p>
      <w:pPr>
        <w:pStyle w:val="ListParagraph"/>
        <w:numPr>
          <w:ilvl w:val="0"/>
          <w:numId w:val="13"/>
        </w:numPr>
        <w:rPr/>
      </w:pPr>
      <w:r>
        <w:rPr/>
        <w:t>порядок обращения в Службу поддержки пользователей;</w:t>
      </w:r>
    </w:p>
    <w:p>
      <w:pPr>
        <w:pStyle w:val="ListParagraph"/>
        <w:numPr>
          <w:ilvl w:val="0"/>
          <w:numId w:val="13"/>
        </w:numPr>
        <w:rPr/>
      </w:pPr>
      <w:r>
        <w:rPr/>
        <w:t>работа с ПО Службы поддержки.</w:t>
      </w:r>
    </w:p>
    <w:p>
      <w:pPr>
        <w:pStyle w:val="Normal"/>
        <w:rPr>
          <w:lang w:eastAsia="ru-RU"/>
        </w:rPr>
      </w:pPr>
      <w:r>
        <w:rPr>
          <w:lang w:eastAsia="ru-RU"/>
        </w:rPr>
        <w:t xml:space="preserve">Подготовка пользователей должна производится в соответствии с Программой подготовки пользователей по вопросам работы с Системой. </w:t>
      </w:r>
    </w:p>
    <w:p>
      <w:pPr>
        <w:pStyle w:val="Normal"/>
        <w:rPr>
          <w:rFonts w:eastAsia="Arial Unicode MS"/>
        </w:rPr>
      </w:pPr>
      <w:r>
        <w:rPr>
          <w:lang w:eastAsia="ru-RU"/>
        </w:rPr>
        <w:t>Для каждого из проводимых мероприятий Подрядчик заполняет ведомости пользователей, прошедших подготовку по вопросам работы с Системой, в которые заносит фамилии, имена, отчества и должности всех участников мероприятия с указанием его темы, длительности, места и даты проведения. Для дистанционных мероприятий допускается, что не вся указанная информация может быть представлена.</w:t>
      </w:r>
    </w:p>
    <w:p>
      <w:pPr>
        <w:pStyle w:val="Heading1"/>
        <w:numPr>
          <w:ilvl w:val="0"/>
          <w:numId w:val="18"/>
        </w:numPr>
        <w:ind w:firstLine="709" w:start="0" w:end="-1"/>
        <w:rPr/>
      </w:pPr>
      <w:bookmarkStart w:id="57" w:name="_Toc239425673"/>
      <w:r>
        <w:rPr/>
        <w:t>ПОРЯДОК КОНТРОЛЯ И ПРИЕМКИ СИСТЕМЫ</w:t>
      </w:r>
      <w:bookmarkEnd w:id="57"/>
    </w:p>
    <w:p>
      <w:pPr>
        <w:pStyle w:val="Normal"/>
        <w:rPr>
          <w:lang w:eastAsia="ru-RU"/>
        </w:rPr>
      </w:pPr>
      <w:r>
        <w:rPr>
          <w:lang w:eastAsia="ru-RU"/>
        </w:rPr>
        <w:t xml:space="preserve">В рамках работ, предусмотренных настоящим техническим заданием, проводятся автономные испытания модернизированной Системы на основании «Программы и методики автономных испытаний», разработанной Подрядчиком и утвержденной заказчиком. </w:t>
      </w:r>
    </w:p>
    <w:p>
      <w:pPr>
        <w:pStyle w:val="Normal"/>
        <w:rPr>
          <w:lang w:eastAsia="ru-RU"/>
        </w:rPr>
      </w:pPr>
      <w:r>
        <w:rPr>
          <w:lang w:eastAsia="ru-RU"/>
        </w:rPr>
        <w:t xml:space="preserve">Программа и методика автономных испытаний и программа опытной эксплуатации должна содержать информацию, предусмотренную Национальным стандартом Российской Федерации «Комплекс стандартов на автоматизированные системы. Виды испытаний автоматизированных систем», утвержденного и введенного в действие Приказом Росстандарта от 25.10.2021 N 1284-ст (ГОСТ Р 59792-2021). </w:t>
      </w:r>
    </w:p>
    <w:p>
      <w:pPr>
        <w:pStyle w:val="Heading3"/>
        <w:numPr>
          <w:ilvl w:val="1"/>
          <w:numId w:val="18"/>
        </w:numPr>
        <w:ind w:firstLine="709" w:start="0"/>
        <w:rPr/>
      </w:pPr>
      <w:bookmarkStart w:id="58" w:name="_Toc239425674"/>
      <w:r>
        <w:rPr/>
        <w:t>Требования к подготовке Системы к передаче в опытную эксплуатацию, включая установку и настройку СПО, заведение учетных записей и загрузку данных, а также к проведению предварительных испытаний Системы</w:t>
      </w:r>
      <w:bookmarkEnd w:id="58"/>
    </w:p>
    <w:p>
      <w:pPr>
        <w:pStyle w:val="Normal"/>
        <w:rPr>
          <w:lang w:eastAsia="ru-RU"/>
        </w:rPr>
      </w:pPr>
      <w:r>
        <w:rPr>
          <w:lang w:eastAsia="ru-RU"/>
        </w:rPr>
        <w:t>В рамках подготовки Системы к передаче в опытную эксплуатацию Подрядчик должен выполнить следующие работы:</w:t>
      </w:r>
    </w:p>
    <w:p>
      <w:pPr>
        <w:pStyle w:val="ListParagraph"/>
        <w:numPr>
          <w:ilvl w:val="0"/>
          <w:numId w:val="13"/>
        </w:numPr>
        <w:rPr/>
      </w:pPr>
      <w:r>
        <w:rPr/>
        <w:t>установку и настройку СПО Системы;</w:t>
      </w:r>
    </w:p>
    <w:p>
      <w:pPr>
        <w:pStyle w:val="ListParagraph"/>
        <w:numPr>
          <w:ilvl w:val="0"/>
          <w:numId w:val="13"/>
        </w:numPr>
        <w:rPr/>
      </w:pPr>
      <w:r>
        <w:rPr/>
        <w:t>заведение учетных записей всех пользователей, участвующих в рамках опытной эксплуатации на данном этапе, согласно спискам пользователей, представленных Заказчиком, настройку ролей, правил доступа и проч.;</w:t>
      </w:r>
    </w:p>
    <w:p>
      <w:pPr>
        <w:pStyle w:val="ListParagraph"/>
        <w:numPr>
          <w:ilvl w:val="0"/>
          <w:numId w:val="13"/>
        </w:numPr>
        <w:rPr/>
      </w:pPr>
      <w:r>
        <w:rPr/>
        <w:t>Подрядчик должен осуществить установку и настройку всего СПО Системы, включая подсистемы, непосредственно не развиваемые Подрядчиком;</w:t>
      </w:r>
    </w:p>
    <w:p>
      <w:pPr>
        <w:pStyle w:val="Normal"/>
        <w:rPr>
          <w:lang w:eastAsia="ru-RU"/>
        </w:rPr>
      </w:pPr>
      <w:r>
        <w:rPr>
          <w:lang w:eastAsia="ru-RU"/>
        </w:rPr>
        <w:t>В результате выполнения вышеуказанных работ СПО Системы должно функционировать в объеме всех функций, предусмотренных настоящими Техническим заданием, с возможностью работы всех пользователей, участвующих в опытной эксплуатации Системы.</w:t>
      </w:r>
    </w:p>
    <w:p>
      <w:pPr>
        <w:pStyle w:val="Normal"/>
        <w:rPr>
          <w:lang w:eastAsia="ru-RU"/>
        </w:rPr>
      </w:pPr>
      <w:r>
        <w:rPr>
          <w:lang w:eastAsia="ru-RU"/>
        </w:rPr>
        <w:t xml:space="preserve">В течении 14 календарных дней Подрядчик должен провести предварительные автономные испытания Системы в соответствии с Программой и методикой предварительных автономных испытаний Системы путем выполнения предусмотренных в них тестов. </w:t>
      </w:r>
    </w:p>
    <w:p>
      <w:pPr>
        <w:pStyle w:val="Normal"/>
        <w:rPr>
          <w:lang w:eastAsia="ru-RU"/>
        </w:rPr>
      </w:pPr>
      <w:r>
        <w:rPr>
          <w:lang w:eastAsia="ru-RU"/>
        </w:rPr>
        <w:t>Испытания должны проводиться с участием представителей Заказчика. Заказчик имеет право привлекать к участию в испытаниях внешних экспертов.</w:t>
      </w:r>
    </w:p>
    <w:p>
      <w:pPr>
        <w:pStyle w:val="Normal"/>
        <w:rPr/>
      </w:pPr>
      <w:r>
        <w:rPr/>
        <w:t>Результаты предварительных автономных испытаний фиксируются в Протоколе предварительных автономных испытаний, который подписывается всеми участниками испытаний.</w:t>
      </w:r>
    </w:p>
    <w:p>
      <w:pPr>
        <w:pStyle w:val="Normal"/>
        <w:rPr/>
      </w:pPr>
      <w:r>
        <w:rPr/>
        <w:t>Недостатки и ошибки в работе ЕИАС ЖКХ МО, выявленные в ходе проведения предварительных автономных испытаний, должны быть устранены Подрядчиком в рамках выполнения работ по Договору. Порядок устранения замечаний и реализации рекомендаций комиссии должен быть определен в Программе и методике предварительных автономных испытаний Системы. Сроки устранения замечаний и выполнения рекомендаций, данных приемочной комиссией в ходе испытаний, определяются в Протоколе предварительных испытаний Системы.</w:t>
      </w:r>
    </w:p>
    <w:p>
      <w:pPr>
        <w:pStyle w:val="Normal"/>
        <w:rPr>
          <w:lang w:eastAsia="ru-RU"/>
        </w:rPr>
      </w:pPr>
      <w:r>
        <w:rPr>
          <w:lang w:eastAsia="ru-RU"/>
        </w:rPr>
        <w:t xml:space="preserve">Подрядчик самостоятельно планирует, организовывает работу для обеспечения достижения результатов работ, полностью соответствующих требованиям настоящего технического задания с учетом сроков, установленных в календарном плане. </w:t>
      </w:r>
    </w:p>
    <w:p>
      <w:pPr>
        <w:pStyle w:val="Heading1"/>
        <w:numPr>
          <w:ilvl w:val="0"/>
          <w:numId w:val="18"/>
        </w:numPr>
        <w:ind w:firstLine="709" w:start="0" w:end="-1"/>
        <w:rPr/>
      </w:pPr>
      <w:bookmarkStart w:id="59" w:name="_Toc239425675"/>
      <w:r>
        <w:rPr/>
        <w:t>ТРЕБОВАНИЯ К СОСТАВУ И СОДЕРЖАНИЮ РАБОТ ПО ПОДГОТОВКЕ ОБЪЕКТА АВТОМАТИЗАЦИИ К ВВОДУ СИСТЕМЫ В ДЕЙСТВИЕ</w:t>
      </w:r>
      <w:bookmarkEnd w:id="59"/>
    </w:p>
    <w:p>
      <w:pPr>
        <w:pStyle w:val="Normal"/>
        <w:rPr>
          <w:lang w:eastAsia="ru-RU"/>
        </w:rPr>
      </w:pPr>
      <w:r>
        <w:rPr>
          <w:lang w:eastAsia="ru-RU"/>
        </w:rPr>
        <w:t>Требования не предъявляются.</w:t>
      </w:r>
    </w:p>
    <w:p>
      <w:pPr>
        <w:pStyle w:val="Heading1"/>
        <w:numPr>
          <w:ilvl w:val="0"/>
          <w:numId w:val="18"/>
        </w:numPr>
        <w:ind w:firstLine="709" w:start="0" w:end="-1"/>
        <w:rPr/>
      </w:pPr>
      <w:bookmarkStart w:id="60" w:name="_Toc239425676"/>
      <w:r>
        <w:rPr/>
        <w:t>ТРЕБОВАНИЯ К ДОКУМЕНТИРОВАНИЮ</w:t>
      </w:r>
      <w:bookmarkEnd w:id="60"/>
    </w:p>
    <w:p>
      <w:pPr>
        <w:pStyle w:val="Normal"/>
        <w:rPr>
          <w:lang w:eastAsia="ru-RU"/>
        </w:rPr>
      </w:pPr>
      <w:r>
        <w:rPr>
          <w:lang w:eastAsia="ru-RU"/>
        </w:rPr>
        <w:t>В рамках работ, предусмотренных настоящим техническим заданием, проводятся автономные испытания вновь созданных/модернизированных составных частей Системы на основании «Программы и методики автономных испытаний ЕИАС ЖКХ МО», разработанной Подрядчиком и утвержденной Заказчиком.</w:t>
      </w:r>
    </w:p>
    <w:p>
      <w:pPr>
        <w:pStyle w:val="Normal"/>
        <w:rPr>
          <w:lang w:eastAsia="ru-RU"/>
        </w:rPr>
      </w:pPr>
      <w:r>
        <w:rPr>
          <w:lang w:eastAsia="ru-RU"/>
        </w:rPr>
        <w:t>Программа и методика автономных испытаний, а также программа опытной эксплуатации должны содержать информацию, предусмотренную Национальным стандартом Российской Федерации «Комплекс стандартов на автоматизированные системы. Виды испытаний автоматизированных систем», утвержденным и введенным в действие Приказом Росстандарта от 25.10.2021 № 1284-ст (ГОСТ Р 59792-2021).</w:t>
      </w:r>
    </w:p>
    <w:p>
      <w:pPr>
        <w:pStyle w:val="Normal"/>
        <w:rPr>
          <w:lang w:eastAsia="ru-RU"/>
        </w:rPr>
      </w:pPr>
      <w:r>
        <w:rPr>
          <w:lang w:eastAsia="ru-RU"/>
        </w:rPr>
        <w:t>Заказчик проверяет представленные отчетные материалы в порядке, предусмотренном Договором и настоящими Техническим заданием.</w:t>
      </w:r>
    </w:p>
    <w:p>
      <w:pPr>
        <w:pStyle w:val="Normal"/>
        <w:rPr>
          <w:lang w:eastAsia="ru-RU"/>
        </w:rPr>
      </w:pPr>
      <w:r>
        <w:rPr>
          <w:lang w:eastAsia="ru-RU"/>
        </w:rPr>
        <w:t>При приемке документации на Систему проверяется ее соответствие требованиям к документированию настоящего Технического задания. Если в ходе проверки выявляются несоответствия требованиям к документации, а также неактуальность, противоречивость или неполнота сведений в отчетных материалах, Заказчик в порядке, установленном Договором, возвращает материалы Подрядчику на доработку с указанием причин отказа в приемке. В этом случае приемка работ откладывается до полного устранения замечаний Заказчика в соответствии с условиями Договора.</w:t>
      </w:r>
    </w:p>
    <w:p>
      <w:pPr>
        <w:pStyle w:val="Normal"/>
        <w:rPr>
          <w:lang w:eastAsia="ru-RU"/>
        </w:rPr>
      </w:pPr>
      <w:r>
        <w:rPr>
          <w:lang w:eastAsia="ru-RU"/>
        </w:rPr>
        <w:t>При нарушении сроков выполнения этапов работ или предоставления отчетных документов Подрядчик несет ответственность в соответствии с условиями Договора.</w:t>
      </w:r>
    </w:p>
    <w:p>
      <w:pPr>
        <w:pStyle w:val="Normal"/>
        <w:rPr>
          <w:lang w:eastAsia="ru-RU"/>
        </w:rPr>
      </w:pPr>
      <w:r>
        <w:rPr>
          <w:lang w:eastAsia="ru-RU"/>
        </w:rPr>
      </w:r>
    </w:p>
    <w:p>
      <w:pPr>
        <w:pStyle w:val="Heading1"/>
        <w:numPr>
          <w:ilvl w:val="0"/>
          <w:numId w:val="18"/>
        </w:numPr>
        <w:ind w:firstLine="709" w:start="0" w:end="-1"/>
        <w:rPr/>
      </w:pPr>
      <w:bookmarkStart w:id="61" w:name="_Toc239425677"/>
      <w:r>
        <w:rPr/>
        <w:t>ГАРАНТИЙНЫЕ ОБЯЗАТЕЛЬСТВА</w:t>
      </w:r>
      <w:bookmarkEnd w:id="61"/>
    </w:p>
    <w:p>
      <w:pPr>
        <w:pStyle w:val="Normal"/>
        <w:rPr>
          <w:lang w:eastAsia="ru-RU"/>
        </w:rPr>
      </w:pPr>
      <w:r>
        <w:rPr>
          <w:lang w:eastAsia="ru-RU"/>
        </w:rPr>
        <w:t>Подрядчик должен обеспечить гарантийную поддержку. Гарантийные обязательства распространяются на дефекты/недостатки результатов работ по государственному Договору, выявленные в период срока действия гарантийных обязательств. Срок действия гарантийного обязательства 12 месяцев с даты подписания акта сдачи-приемки по последнему этапу Договора.</w:t>
      </w:r>
    </w:p>
    <w:p>
      <w:pPr>
        <w:pStyle w:val="Normal"/>
        <w:rPr>
          <w:lang w:eastAsia="ru-RU"/>
        </w:rPr>
      </w:pPr>
      <w:r>
        <w:rPr>
          <w:lang w:eastAsia="ru-RU"/>
        </w:rPr>
        <w:t>В рамках гарантийной поддержки Системы Подрядчик должен:</w:t>
      </w:r>
    </w:p>
    <w:p>
      <w:pPr>
        <w:pStyle w:val="Normal"/>
        <w:rPr>
          <w:lang w:eastAsia="ru-RU"/>
        </w:rPr>
      </w:pPr>
      <w:r>
        <w:rPr>
          <w:lang w:eastAsia="ru-RU"/>
        </w:rPr>
        <w:t xml:space="preserve">- устранять обнаруженные в процессе эксплуатации дефекты/недостатки в результатах работ по государственному Договору в срок не более </w:t>
      </w:r>
      <w:bookmarkStart w:id="62" w:name="_Hlk198880070"/>
      <w:r>
        <w:rPr>
          <w:lang w:eastAsia="ru-RU"/>
        </w:rPr>
        <w:t>30</w:t>
      </w:r>
      <w:bookmarkEnd w:id="62"/>
      <w:r>
        <w:rPr>
          <w:lang w:eastAsia="ru-RU"/>
        </w:rPr>
        <w:t xml:space="preserve"> рабочих дней;</w:t>
      </w:r>
    </w:p>
    <w:p>
      <w:pPr>
        <w:pStyle w:val="Normal"/>
        <w:rPr>
          <w:lang w:eastAsia="ru-RU"/>
        </w:rPr>
      </w:pPr>
      <w:r>
        <w:rPr>
          <w:lang w:eastAsia="ru-RU"/>
        </w:rPr>
        <w:t>- принимать участие в восстановлении работоспособности Системы после сбоев и аварий, вызванных дефектами/недостатками в результатах работ по государственному Договору, выполняя при этом работы, связанные с восстановлением целостности данных, в срок не более 30 календарных дней;</w:t>
      </w:r>
    </w:p>
    <w:p>
      <w:pPr>
        <w:pStyle w:val="Normal"/>
        <w:rPr>
          <w:lang w:eastAsia="ru-RU"/>
        </w:rPr>
      </w:pPr>
      <w:r>
        <w:rPr>
          <w:lang w:eastAsia="ru-RU"/>
        </w:rPr>
        <w:t>- вносить изменения в техническую и рабочую документацию на Систему по результатам устранения выявленных дефектов/недостатков в результатах работ по государственному Договору;</w:t>
      </w:r>
    </w:p>
    <w:p>
      <w:pPr>
        <w:pStyle w:val="Normal"/>
        <w:rPr>
          <w:lang w:eastAsia="ru-RU"/>
        </w:rPr>
      </w:pPr>
      <w:r>
        <w:rPr>
          <w:lang w:eastAsia="ru-RU"/>
        </w:rPr>
        <w:t>Все расходы, связанные с гарантийными обязательствами, в том числе собственные технические средства Подрядчика, используемые для гарантийной поддержки, а также для устранения недостатков результата оказанных услуг/проведения работ, производятся за счет Подрядчика.</w:t>
      </w:r>
    </w:p>
    <w:p>
      <w:pPr>
        <w:pStyle w:val="Heading1"/>
        <w:numPr>
          <w:ilvl w:val="0"/>
          <w:numId w:val="18"/>
        </w:numPr>
        <w:ind w:firstLine="709" w:start="0" w:end="-1"/>
        <w:rPr/>
      </w:pPr>
      <w:bookmarkStart w:id="63" w:name="_Toc239425678"/>
      <w:r>
        <w:rPr/>
        <w:t>ИСТОЧНИК РАЗРАБОТКИ</w:t>
      </w:r>
      <w:bookmarkEnd w:id="63"/>
    </w:p>
    <w:p>
      <w:pPr>
        <w:pStyle w:val="Normal"/>
        <w:spacing w:before="0" w:after="0"/>
        <w:rPr>
          <w:lang w:eastAsia="ru-RU"/>
        </w:rPr>
        <w:sectPr>
          <w:footnotePr>
            <w:numFmt w:val="decimal"/>
          </w:footnotePr>
          <w:type w:val="nextPage"/>
          <w:pgSz w:w="11906" w:h="16838"/>
          <w:pgMar w:left="1701" w:right="850" w:gutter="0" w:header="0" w:top="1134" w:footer="0" w:bottom="1134"/>
          <w:pgNumType w:fmt="decimal"/>
          <w:formProt w:val="false"/>
          <w:textDirection w:val="lrTb"/>
          <w:docGrid w:type="default" w:linePitch="360" w:charSpace="0"/>
        </w:sectPr>
      </w:pPr>
      <w:r>
        <w:rPr>
          <w:lang w:eastAsia="ru-RU"/>
        </w:rPr>
        <w:t>Источники разработки отсутствуют.</w:t>
      </w:r>
    </w:p>
    <w:p>
      <w:pPr>
        <w:pStyle w:val="Heading1"/>
        <w:numPr>
          <w:ilvl w:val="0"/>
          <w:numId w:val="0"/>
        </w:numPr>
        <w:ind w:hanging="0" w:start="0" w:end="-1"/>
        <w:rPr/>
      </w:pPr>
      <w:r>
        <w:rPr/>
      </w:r>
    </w:p>
    <w:sectPr>
      <w:footnotePr>
        <w:numFmt w:val="decimal"/>
      </w:footnotePr>
      <w:type w:val="nextPage"/>
      <w:pgSz w:orient="landscape" w:w="16838" w:h="11906"/>
      <w:pgMar w:left="1134" w:right="1134" w:gutter="0" w:header="0" w:top="1701" w:footer="0" w:bottom="850"/>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Calibri Light">
    <w:charset w:val="01" w:characterSet="utf-8"/>
    <w:family w:val="roman"/>
    <w:pitch w:val="variable"/>
  </w:font>
  <w:font w:name="Calibri">
    <w:charset w:val="01" w:characterSet="utf-8"/>
    <w:family w:val="swiss"/>
    <w:pitch w:val="variable"/>
  </w:font>
  <w:font w:name="Segoe UI">
    <w:charset w:val="01" w:characterSet="utf-8"/>
    <w:family w:val="swiss"/>
    <w:pitch w:val="variable"/>
  </w:font>
  <w:font w:name="Liberation Sans">
    <w:altName w:val="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Style11"/>
        </w:rPr>
        <w:footnoteRef/>
      </w:r>
      <w:r>
        <w:rPr/>
        <w:t xml:space="preserve"> </w:t>
      </w:r>
      <w:r>
        <w:rPr/>
        <w:t xml:space="preserve">Данное требование применяется при использовании в ходе исполнения Договора ранее созданных подрядчиком (исполнителем) результатов интеллектуальной деятельности, права на которое зарегистрировано в Роспатенте и внесено в реестр российского ПО.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143" w:hanging="360"/>
      </w:pPr>
      <w:rPr/>
    </w:lvl>
    <w:lvl w:ilvl="1">
      <w:start w:val="1"/>
      <w:numFmt w:val="decimal"/>
      <w:isLgl/>
      <w:lvlText w:val="%1.%2"/>
      <w:lvlJc w:val="start"/>
      <w:pPr>
        <w:tabs>
          <w:tab w:val="num" w:pos="0"/>
        </w:tabs>
        <w:ind w:start="1143" w:hanging="360"/>
      </w:pPr>
      <w:rPr/>
    </w:lvl>
    <w:lvl w:ilvl="2">
      <w:start w:val="1"/>
      <w:numFmt w:val="decimal"/>
      <w:isLgl/>
      <w:lvlText w:val="%1.%2.%3"/>
      <w:lvlJc w:val="start"/>
      <w:pPr>
        <w:tabs>
          <w:tab w:val="num" w:pos="0"/>
        </w:tabs>
        <w:ind w:start="1503" w:hanging="720"/>
      </w:pPr>
      <w:rPr/>
    </w:lvl>
    <w:lvl w:ilvl="3">
      <w:start w:val="1"/>
      <w:numFmt w:val="decimal"/>
      <w:isLgl/>
      <w:lvlText w:val="%1.%2.%3.%4"/>
      <w:lvlJc w:val="start"/>
      <w:pPr>
        <w:tabs>
          <w:tab w:val="num" w:pos="0"/>
        </w:tabs>
        <w:ind w:start="1863" w:hanging="1080"/>
      </w:pPr>
      <w:rPr/>
    </w:lvl>
    <w:lvl w:ilvl="4">
      <w:start w:val="1"/>
      <w:numFmt w:val="decimal"/>
      <w:isLgl/>
      <w:lvlText w:val="%1.%2.%3.%4.%5"/>
      <w:lvlJc w:val="start"/>
      <w:pPr>
        <w:tabs>
          <w:tab w:val="num" w:pos="0"/>
        </w:tabs>
        <w:ind w:start="1863" w:hanging="1080"/>
      </w:pPr>
      <w:rPr/>
    </w:lvl>
    <w:lvl w:ilvl="5">
      <w:start w:val="1"/>
      <w:numFmt w:val="decimal"/>
      <w:isLgl/>
      <w:lvlText w:val="%1.%2.%3.%4.%5.%6"/>
      <w:lvlJc w:val="start"/>
      <w:pPr>
        <w:tabs>
          <w:tab w:val="num" w:pos="0"/>
        </w:tabs>
        <w:ind w:start="2223" w:hanging="1440"/>
      </w:pPr>
      <w:rPr/>
    </w:lvl>
    <w:lvl w:ilvl="6">
      <w:start w:val="1"/>
      <w:numFmt w:val="decimal"/>
      <w:isLgl/>
      <w:lvlText w:val="%1.%2.%3.%4.%5.%6.%7"/>
      <w:lvlJc w:val="start"/>
      <w:pPr>
        <w:tabs>
          <w:tab w:val="num" w:pos="0"/>
        </w:tabs>
        <w:ind w:start="2223" w:hanging="1440"/>
      </w:pPr>
      <w:rPr/>
    </w:lvl>
    <w:lvl w:ilvl="7">
      <w:start w:val="1"/>
      <w:numFmt w:val="decimal"/>
      <w:isLgl/>
      <w:lvlText w:val="%1.%2.%3.%4.%5.%6.%7.%8"/>
      <w:lvlJc w:val="start"/>
      <w:pPr>
        <w:tabs>
          <w:tab w:val="num" w:pos="0"/>
        </w:tabs>
        <w:ind w:start="2583" w:hanging="1800"/>
      </w:pPr>
      <w:rPr/>
    </w:lvl>
    <w:lvl w:ilvl="8">
      <w:start w:val="1"/>
      <w:numFmt w:val="decimal"/>
      <w:isLgl/>
      <w:lvlText w:val="%1.%2.%3.%4.%5.%6.%7.%8.%9"/>
      <w:lvlJc w:val="start"/>
      <w:pPr>
        <w:tabs>
          <w:tab w:val="num" w:pos="0"/>
        </w:tabs>
        <w:ind w:start="2943" w:hanging="2160"/>
      </w:pPr>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1428" w:hanging="360"/>
      </w:pPr>
      <w:rPr>
        <w:rFonts w:ascii="Times New Roman" w:hAnsi="Times New Roman" w:cs="Times New Roman" w:hint="default"/>
      </w:rPr>
    </w:lvl>
    <w:lvl w:ilvl="1">
      <w:start w:val="1"/>
      <w:numFmt w:val="bullet"/>
      <w:lvlText w:val="o"/>
      <w:lvlJc w:val="start"/>
      <w:pPr>
        <w:tabs>
          <w:tab w:val="num" w:pos="0"/>
        </w:tabs>
        <w:ind w:start="2148" w:hanging="360"/>
      </w:pPr>
      <w:rPr>
        <w:rFonts w:ascii="Courier New" w:hAnsi="Courier New" w:cs="Courier New" w:hint="default"/>
      </w:rPr>
    </w:lvl>
    <w:lvl w:ilvl="2">
      <w:start w:val="1"/>
      <w:numFmt w:val="bullet"/>
      <w:lvlText w:val=""/>
      <w:lvlJc w:val="start"/>
      <w:pPr>
        <w:tabs>
          <w:tab w:val="num" w:pos="0"/>
        </w:tabs>
        <w:ind w:start="2868" w:hanging="360"/>
      </w:pPr>
      <w:rPr>
        <w:rFonts w:ascii="Wingdings" w:hAnsi="Wingdings" w:cs="Wingdings" w:hint="default"/>
      </w:rPr>
    </w:lvl>
    <w:lvl w:ilvl="3">
      <w:start w:val="1"/>
      <w:numFmt w:val="bullet"/>
      <w:lvlText w:val=""/>
      <w:lvlJc w:val="start"/>
      <w:pPr>
        <w:tabs>
          <w:tab w:val="num" w:pos="0"/>
        </w:tabs>
        <w:ind w:start="3588" w:hanging="360"/>
      </w:pPr>
      <w:rPr>
        <w:rFonts w:ascii="Symbol" w:hAnsi="Symbol" w:cs="Symbol" w:hint="default"/>
      </w:rPr>
    </w:lvl>
    <w:lvl w:ilvl="4">
      <w:start w:val="1"/>
      <w:numFmt w:val="bullet"/>
      <w:lvlText w:val="o"/>
      <w:lvlJc w:val="start"/>
      <w:pPr>
        <w:tabs>
          <w:tab w:val="num" w:pos="0"/>
        </w:tabs>
        <w:ind w:start="4308" w:hanging="360"/>
      </w:pPr>
      <w:rPr>
        <w:rFonts w:ascii="Courier New" w:hAnsi="Courier New" w:cs="Courier New" w:hint="default"/>
      </w:rPr>
    </w:lvl>
    <w:lvl w:ilvl="5">
      <w:start w:val="1"/>
      <w:numFmt w:val="bullet"/>
      <w:lvlText w:val=""/>
      <w:lvlJc w:val="start"/>
      <w:pPr>
        <w:tabs>
          <w:tab w:val="num" w:pos="0"/>
        </w:tabs>
        <w:ind w:start="5028" w:hanging="360"/>
      </w:pPr>
      <w:rPr>
        <w:rFonts w:ascii="Wingdings" w:hAnsi="Wingdings" w:cs="Wingdings" w:hint="default"/>
      </w:rPr>
    </w:lvl>
    <w:lvl w:ilvl="6">
      <w:start w:val="1"/>
      <w:numFmt w:val="bullet"/>
      <w:lvlText w:val=""/>
      <w:lvlJc w:val="start"/>
      <w:pPr>
        <w:tabs>
          <w:tab w:val="num" w:pos="0"/>
        </w:tabs>
        <w:ind w:start="5748" w:hanging="360"/>
      </w:pPr>
      <w:rPr>
        <w:rFonts w:ascii="Symbol" w:hAnsi="Symbol" w:cs="Symbol" w:hint="default"/>
      </w:rPr>
    </w:lvl>
    <w:lvl w:ilvl="7">
      <w:start w:val="1"/>
      <w:numFmt w:val="bullet"/>
      <w:lvlText w:val="o"/>
      <w:lvlJc w:val="start"/>
      <w:pPr>
        <w:tabs>
          <w:tab w:val="num" w:pos="0"/>
        </w:tabs>
        <w:ind w:start="6468" w:hanging="360"/>
      </w:pPr>
      <w:rPr>
        <w:rFonts w:ascii="Courier New" w:hAnsi="Courier New" w:cs="Courier New" w:hint="default"/>
      </w:rPr>
    </w:lvl>
    <w:lvl w:ilvl="8">
      <w:start w:val="1"/>
      <w:numFmt w:val="bullet"/>
      <w:lvlText w:val=""/>
      <w:lvlJc w:val="start"/>
      <w:pPr>
        <w:tabs>
          <w:tab w:val="num" w:pos="0"/>
        </w:tabs>
        <w:ind w:start="7188" w:hanging="360"/>
      </w:pPr>
      <w:rPr>
        <w:rFonts w:ascii="Wingdings" w:hAnsi="Wingdings" w:cs="Wingdings" w:hint="default"/>
      </w:rPr>
    </w:lvl>
  </w:abstractNum>
  <w:abstractNum w:abstractNumId="6">
    <w:lvl w:ilvl="0">
      <w:start w:val="1"/>
      <w:numFmt w:val="bullet"/>
      <w:lvlText w:val="−"/>
      <w:lvlJc w:val="start"/>
      <w:pPr>
        <w:tabs>
          <w:tab w:val="num" w:pos="0"/>
        </w:tabs>
        <w:ind w:start="1428" w:hanging="360"/>
      </w:pPr>
      <w:rPr>
        <w:rFonts w:ascii="Times New Roman" w:hAnsi="Times New Roman" w:cs="Times New Roman" w:hint="default"/>
      </w:rPr>
    </w:lvl>
    <w:lvl w:ilvl="1">
      <w:start w:val="1"/>
      <w:numFmt w:val="bullet"/>
      <w:lvlText w:val="o"/>
      <w:lvlJc w:val="start"/>
      <w:pPr>
        <w:tabs>
          <w:tab w:val="num" w:pos="0"/>
        </w:tabs>
        <w:ind w:start="2148" w:hanging="360"/>
      </w:pPr>
      <w:rPr>
        <w:rFonts w:ascii="Courier New" w:hAnsi="Courier New" w:cs="Courier New" w:hint="default"/>
      </w:rPr>
    </w:lvl>
    <w:lvl w:ilvl="2">
      <w:start w:val="1"/>
      <w:numFmt w:val="bullet"/>
      <w:lvlText w:val=""/>
      <w:lvlJc w:val="start"/>
      <w:pPr>
        <w:tabs>
          <w:tab w:val="num" w:pos="0"/>
        </w:tabs>
        <w:ind w:start="2868" w:hanging="360"/>
      </w:pPr>
      <w:rPr>
        <w:rFonts w:ascii="Wingdings" w:hAnsi="Wingdings" w:cs="Wingdings" w:hint="default"/>
      </w:rPr>
    </w:lvl>
    <w:lvl w:ilvl="3">
      <w:start w:val="1"/>
      <w:numFmt w:val="bullet"/>
      <w:lvlText w:val=""/>
      <w:lvlJc w:val="start"/>
      <w:pPr>
        <w:tabs>
          <w:tab w:val="num" w:pos="0"/>
        </w:tabs>
        <w:ind w:start="3588" w:hanging="360"/>
      </w:pPr>
      <w:rPr>
        <w:rFonts w:ascii="Symbol" w:hAnsi="Symbol" w:cs="Symbol" w:hint="default"/>
      </w:rPr>
    </w:lvl>
    <w:lvl w:ilvl="4">
      <w:start w:val="1"/>
      <w:numFmt w:val="bullet"/>
      <w:lvlText w:val="o"/>
      <w:lvlJc w:val="start"/>
      <w:pPr>
        <w:tabs>
          <w:tab w:val="num" w:pos="0"/>
        </w:tabs>
        <w:ind w:start="4308" w:hanging="360"/>
      </w:pPr>
      <w:rPr>
        <w:rFonts w:ascii="Courier New" w:hAnsi="Courier New" w:cs="Courier New" w:hint="default"/>
      </w:rPr>
    </w:lvl>
    <w:lvl w:ilvl="5">
      <w:start w:val="1"/>
      <w:numFmt w:val="bullet"/>
      <w:lvlText w:val=""/>
      <w:lvlJc w:val="start"/>
      <w:pPr>
        <w:tabs>
          <w:tab w:val="num" w:pos="0"/>
        </w:tabs>
        <w:ind w:start="5028" w:hanging="360"/>
      </w:pPr>
      <w:rPr>
        <w:rFonts w:ascii="Wingdings" w:hAnsi="Wingdings" w:cs="Wingdings" w:hint="default"/>
      </w:rPr>
    </w:lvl>
    <w:lvl w:ilvl="6">
      <w:start w:val="1"/>
      <w:numFmt w:val="bullet"/>
      <w:lvlText w:val=""/>
      <w:lvlJc w:val="start"/>
      <w:pPr>
        <w:tabs>
          <w:tab w:val="num" w:pos="0"/>
        </w:tabs>
        <w:ind w:start="5748" w:hanging="360"/>
      </w:pPr>
      <w:rPr>
        <w:rFonts w:ascii="Symbol" w:hAnsi="Symbol" w:cs="Symbol" w:hint="default"/>
      </w:rPr>
    </w:lvl>
    <w:lvl w:ilvl="7">
      <w:start w:val="1"/>
      <w:numFmt w:val="bullet"/>
      <w:lvlText w:val="o"/>
      <w:lvlJc w:val="start"/>
      <w:pPr>
        <w:tabs>
          <w:tab w:val="num" w:pos="0"/>
        </w:tabs>
        <w:ind w:start="6468" w:hanging="360"/>
      </w:pPr>
      <w:rPr>
        <w:rFonts w:ascii="Courier New" w:hAnsi="Courier New" w:cs="Courier New" w:hint="default"/>
      </w:rPr>
    </w:lvl>
    <w:lvl w:ilvl="8">
      <w:start w:val="1"/>
      <w:numFmt w:val="bullet"/>
      <w:lvlText w:val=""/>
      <w:lvlJc w:val="start"/>
      <w:pPr>
        <w:tabs>
          <w:tab w:val="num" w:pos="0"/>
        </w:tabs>
        <w:ind w:start="7188" w:hanging="360"/>
      </w:pPr>
      <w:rPr>
        <w:rFonts w:ascii="Wingdings" w:hAnsi="Wingdings" w:cs="Wingdings" w:hint="default"/>
      </w:rPr>
    </w:lvl>
  </w:abstractNum>
  <w:abstractNum w:abstractNumId="7">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8">
    <w:lvl w:ilvl="0">
      <w:start w:val="1"/>
      <w:numFmt w:val="bullet"/>
      <w:lvlText w:val="−"/>
      <w:lvlJc w:val="start"/>
      <w:pPr>
        <w:tabs>
          <w:tab w:val="num" w:pos="0"/>
        </w:tabs>
        <w:ind w:start="1789" w:hanging="360"/>
      </w:pPr>
      <w:rPr>
        <w:rFonts w:ascii="Times New Roman" w:hAnsi="Times New Roman" w:cs="Times New Roman" w:hint="default"/>
      </w:rPr>
    </w:lvl>
    <w:lvl w:ilvl="1">
      <w:start w:val="1"/>
      <w:numFmt w:val="bullet"/>
      <w:lvlText w:val="o"/>
      <w:lvlJc w:val="start"/>
      <w:pPr>
        <w:tabs>
          <w:tab w:val="num" w:pos="0"/>
        </w:tabs>
        <w:ind w:start="2509" w:hanging="360"/>
      </w:pPr>
      <w:rPr>
        <w:rFonts w:ascii="Courier New" w:hAnsi="Courier New" w:cs="Courier New" w:hint="default"/>
      </w:rPr>
    </w:lvl>
    <w:lvl w:ilvl="2">
      <w:start w:val="1"/>
      <w:numFmt w:val="bullet"/>
      <w:lvlText w:val=""/>
      <w:lvlJc w:val="start"/>
      <w:pPr>
        <w:tabs>
          <w:tab w:val="num" w:pos="0"/>
        </w:tabs>
        <w:ind w:start="3229" w:hanging="360"/>
      </w:pPr>
      <w:rPr>
        <w:rFonts w:ascii="Wingdings" w:hAnsi="Wingdings" w:cs="Wingdings" w:hint="default"/>
      </w:rPr>
    </w:lvl>
    <w:lvl w:ilvl="3">
      <w:start w:val="1"/>
      <w:numFmt w:val="bullet"/>
      <w:lvlText w:val=""/>
      <w:lvlJc w:val="start"/>
      <w:pPr>
        <w:tabs>
          <w:tab w:val="num" w:pos="0"/>
        </w:tabs>
        <w:ind w:start="3949" w:hanging="360"/>
      </w:pPr>
      <w:rPr>
        <w:rFonts w:ascii="Symbol" w:hAnsi="Symbol" w:cs="Symbol" w:hint="default"/>
      </w:rPr>
    </w:lvl>
    <w:lvl w:ilvl="4">
      <w:start w:val="1"/>
      <w:numFmt w:val="bullet"/>
      <w:lvlText w:val="o"/>
      <w:lvlJc w:val="start"/>
      <w:pPr>
        <w:tabs>
          <w:tab w:val="num" w:pos="0"/>
        </w:tabs>
        <w:ind w:start="4669" w:hanging="360"/>
      </w:pPr>
      <w:rPr>
        <w:rFonts w:ascii="Courier New" w:hAnsi="Courier New" w:cs="Courier New" w:hint="default"/>
      </w:rPr>
    </w:lvl>
    <w:lvl w:ilvl="5">
      <w:start w:val="1"/>
      <w:numFmt w:val="bullet"/>
      <w:lvlText w:val=""/>
      <w:lvlJc w:val="start"/>
      <w:pPr>
        <w:tabs>
          <w:tab w:val="num" w:pos="0"/>
        </w:tabs>
        <w:ind w:start="5389" w:hanging="360"/>
      </w:pPr>
      <w:rPr>
        <w:rFonts w:ascii="Wingdings" w:hAnsi="Wingdings" w:cs="Wingdings" w:hint="default"/>
      </w:rPr>
    </w:lvl>
    <w:lvl w:ilvl="6">
      <w:start w:val="1"/>
      <w:numFmt w:val="bullet"/>
      <w:lvlText w:val=""/>
      <w:lvlJc w:val="start"/>
      <w:pPr>
        <w:tabs>
          <w:tab w:val="num" w:pos="0"/>
        </w:tabs>
        <w:ind w:start="6109" w:hanging="360"/>
      </w:pPr>
      <w:rPr>
        <w:rFonts w:ascii="Symbol" w:hAnsi="Symbol" w:cs="Symbol" w:hint="default"/>
      </w:rPr>
    </w:lvl>
    <w:lvl w:ilvl="7">
      <w:start w:val="1"/>
      <w:numFmt w:val="bullet"/>
      <w:lvlText w:val="o"/>
      <w:lvlJc w:val="start"/>
      <w:pPr>
        <w:tabs>
          <w:tab w:val="num" w:pos="0"/>
        </w:tabs>
        <w:ind w:start="6829" w:hanging="360"/>
      </w:pPr>
      <w:rPr>
        <w:rFonts w:ascii="Courier New" w:hAnsi="Courier New" w:cs="Courier New" w:hint="default"/>
      </w:rPr>
    </w:lvl>
    <w:lvl w:ilvl="8">
      <w:start w:val="1"/>
      <w:numFmt w:val="bullet"/>
      <w:lvlText w:val=""/>
      <w:lvlJc w:val="start"/>
      <w:pPr>
        <w:tabs>
          <w:tab w:val="num" w:pos="0"/>
        </w:tabs>
        <w:ind w:start="7549" w:hanging="360"/>
      </w:pPr>
      <w:rPr>
        <w:rFonts w:ascii="Wingdings" w:hAnsi="Wingdings" w:cs="Wingdings" w:hint="default"/>
      </w:rPr>
    </w:lvl>
  </w:abstractNum>
  <w:abstractNum w:abstractNumId="9">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0">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1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2">
    <w:lvl w:ilvl="0">
      <w:start w:val="1"/>
      <w:numFmt w:val="bullet"/>
      <w:lvlText w:val=""/>
      <w:lvlJc w:val="start"/>
      <w:pPr>
        <w:tabs>
          <w:tab w:val="num" w:pos="0"/>
        </w:tabs>
        <w:ind w:start="644" w:hanging="360"/>
      </w:pPr>
      <w:rPr>
        <w:rFonts w:ascii="Symbol" w:hAnsi="Symbol" w:cs="Symbol" w:hint="default"/>
      </w:rPr>
    </w:lvl>
    <w:lvl w:ilvl="1">
      <w:start w:val="1"/>
      <w:numFmt w:val="bullet"/>
      <w:lvlText w:val="o"/>
      <w:lvlJc w:val="start"/>
      <w:pPr>
        <w:tabs>
          <w:tab w:val="num" w:pos="0"/>
        </w:tabs>
        <w:ind w:start="1364" w:hanging="360"/>
      </w:pPr>
      <w:rPr>
        <w:rFonts w:ascii="Courier New" w:hAnsi="Courier New" w:cs="Courier New" w:hint="default"/>
      </w:rPr>
    </w:lvl>
    <w:lvl w:ilvl="2">
      <w:start w:val="1"/>
      <w:numFmt w:val="bullet"/>
      <w:lvlText w:val=""/>
      <w:lvlJc w:val="start"/>
      <w:pPr>
        <w:tabs>
          <w:tab w:val="num" w:pos="0"/>
        </w:tabs>
        <w:ind w:start="2084" w:hanging="360"/>
      </w:pPr>
      <w:rPr>
        <w:rFonts w:ascii="Wingdings" w:hAnsi="Wingdings" w:cs="Wingdings" w:hint="default"/>
      </w:rPr>
    </w:lvl>
    <w:lvl w:ilvl="3">
      <w:start w:val="1"/>
      <w:numFmt w:val="bullet"/>
      <w:lvlText w:val=""/>
      <w:lvlJc w:val="start"/>
      <w:pPr>
        <w:tabs>
          <w:tab w:val="num" w:pos="0"/>
        </w:tabs>
        <w:ind w:start="2804" w:hanging="360"/>
      </w:pPr>
      <w:rPr>
        <w:rFonts w:ascii="Symbol" w:hAnsi="Symbol" w:cs="Symbol" w:hint="default"/>
      </w:rPr>
    </w:lvl>
    <w:lvl w:ilvl="4">
      <w:start w:val="1"/>
      <w:numFmt w:val="bullet"/>
      <w:lvlText w:val="o"/>
      <w:lvlJc w:val="start"/>
      <w:pPr>
        <w:tabs>
          <w:tab w:val="num" w:pos="0"/>
        </w:tabs>
        <w:ind w:start="3524" w:hanging="360"/>
      </w:pPr>
      <w:rPr>
        <w:rFonts w:ascii="Courier New" w:hAnsi="Courier New" w:cs="Courier New" w:hint="default"/>
      </w:rPr>
    </w:lvl>
    <w:lvl w:ilvl="5">
      <w:start w:val="1"/>
      <w:numFmt w:val="bullet"/>
      <w:lvlText w:val=""/>
      <w:lvlJc w:val="start"/>
      <w:pPr>
        <w:tabs>
          <w:tab w:val="num" w:pos="0"/>
        </w:tabs>
        <w:ind w:start="4244" w:hanging="360"/>
      </w:pPr>
      <w:rPr>
        <w:rFonts w:ascii="Wingdings" w:hAnsi="Wingdings" w:cs="Wingdings" w:hint="default"/>
      </w:rPr>
    </w:lvl>
    <w:lvl w:ilvl="6">
      <w:start w:val="1"/>
      <w:numFmt w:val="bullet"/>
      <w:lvlText w:val=""/>
      <w:lvlJc w:val="start"/>
      <w:pPr>
        <w:tabs>
          <w:tab w:val="num" w:pos="0"/>
        </w:tabs>
        <w:ind w:start="4964" w:hanging="360"/>
      </w:pPr>
      <w:rPr>
        <w:rFonts w:ascii="Symbol" w:hAnsi="Symbol" w:cs="Symbol" w:hint="default"/>
      </w:rPr>
    </w:lvl>
    <w:lvl w:ilvl="7">
      <w:start w:val="1"/>
      <w:numFmt w:val="bullet"/>
      <w:lvlText w:val="o"/>
      <w:lvlJc w:val="start"/>
      <w:pPr>
        <w:tabs>
          <w:tab w:val="num" w:pos="0"/>
        </w:tabs>
        <w:ind w:start="5684" w:hanging="360"/>
      </w:pPr>
      <w:rPr>
        <w:rFonts w:ascii="Courier New" w:hAnsi="Courier New" w:cs="Courier New" w:hint="default"/>
      </w:rPr>
    </w:lvl>
    <w:lvl w:ilvl="8">
      <w:start w:val="1"/>
      <w:numFmt w:val="bullet"/>
      <w:lvlText w:val=""/>
      <w:lvlJc w:val="start"/>
      <w:pPr>
        <w:tabs>
          <w:tab w:val="num" w:pos="0"/>
        </w:tabs>
        <w:ind w:start="6404" w:hanging="360"/>
      </w:pPr>
      <w:rPr>
        <w:rFonts w:ascii="Wingdings" w:hAnsi="Wingdings" w:cs="Wingdings" w:hint="default"/>
      </w:rPr>
    </w:lvl>
  </w:abstractNum>
  <w:abstractNum w:abstractNumId="13">
    <w:lvl w:ilvl="0">
      <w:start w:val="1"/>
      <w:numFmt w:val="bullet"/>
      <w:lvlText w:val=""/>
      <w:lvlJc w:val="start"/>
      <w:pPr>
        <w:tabs>
          <w:tab w:val="num" w:pos="0"/>
        </w:tabs>
        <w:ind w:start="2062"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14">
    <w:lvl w:ilvl="0">
      <w:start w:val="1"/>
      <w:numFmt w:val="bullet"/>
      <w:lvlText w:val=""/>
      <w:lvlJc w:val="start"/>
      <w:pPr>
        <w:tabs>
          <w:tab w:val="num" w:pos="0"/>
        </w:tabs>
        <w:ind w:start="1428" w:hanging="360"/>
      </w:pPr>
      <w:rPr>
        <w:rFonts w:ascii="Symbol" w:hAnsi="Symbol" w:cs="Symbol" w:hint="default"/>
      </w:rPr>
    </w:lvl>
    <w:lvl w:ilvl="1">
      <w:start w:val="1"/>
      <w:numFmt w:val="bullet"/>
      <w:lvlText w:val="o"/>
      <w:lvlJc w:val="start"/>
      <w:pPr>
        <w:tabs>
          <w:tab w:val="num" w:pos="0"/>
        </w:tabs>
        <w:ind w:start="2148" w:hanging="360"/>
      </w:pPr>
      <w:rPr>
        <w:rFonts w:ascii="Courier New" w:hAnsi="Courier New" w:cs="Courier New" w:hint="default"/>
      </w:rPr>
    </w:lvl>
    <w:lvl w:ilvl="2">
      <w:start w:val="1"/>
      <w:numFmt w:val="bullet"/>
      <w:lvlText w:val=""/>
      <w:lvlJc w:val="start"/>
      <w:pPr>
        <w:tabs>
          <w:tab w:val="num" w:pos="0"/>
        </w:tabs>
        <w:ind w:start="2868" w:hanging="360"/>
      </w:pPr>
      <w:rPr>
        <w:rFonts w:ascii="Wingdings" w:hAnsi="Wingdings" w:cs="Wingdings" w:hint="default"/>
      </w:rPr>
    </w:lvl>
    <w:lvl w:ilvl="3">
      <w:start w:val="1"/>
      <w:numFmt w:val="bullet"/>
      <w:lvlText w:val=""/>
      <w:lvlJc w:val="start"/>
      <w:pPr>
        <w:tabs>
          <w:tab w:val="num" w:pos="0"/>
        </w:tabs>
        <w:ind w:start="3588" w:hanging="360"/>
      </w:pPr>
      <w:rPr>
        <w:rFonts w:ascii="Symbol" w:hAnsi="Symbol" w:cs="Symbol" w:hint="default"/>
      </w:rPr>
    </w:lvl>
    <w:lvl w:ilvl="4">
      <w:start w:val="1"/>
      <w:numFmt w:val="bullet"/>
      <w:lvlText w:val="o"/>
      <w:lvlJc w:val="start"/>
      <w:pPr>
        <w:tabs>
          <w:tab w:val="num" w:pos="0"/>
        </w:tabs>
        <w:ind w:start="4308" w:hanging="360"/>
      </w:pPr>
      <w:rPr>
        <w:rFonts w:ascii="Courier New" w:hAnsi="Courier New" w:cs="Courier New" w:hint="default"/>
      </w:rPr>
    </w:lvl>
    <w:lvl w:ilvl="5">
      <w:start w:val="1"/>
      <w:numFmt w:val="bullet"/>
      <w:lvlText w:val=""/>
      <w:lvlJc w:val="start"/>
      <w:pPr>
        <w:tabs>
          <w:tab w:val="num" w:pos="0"/>
        </w:tabs>
        <w:ind w:start="5028" w:hanging="360"/>
      </w:pPr>
      <w:rPr>
        <w:rFonts w:ascii="Wingdings" w:hAnsi="Wingdings" w:cs="Wingdings" w:hint="default"/>
      </w:rPr>
    </w:lvl>
    <w:lvl w:ilvl="6">
      <w:start w:val="1"/>
      <w:numFmt w:val="bullet"/>
      <w:lvlText w:val=""/>
      <w:lvlJc w:val="start"/>
      <w:pPr>
        <w:tabs>
          <w:tab w:val="num" w:pos="0"/>
        </w:tabs>
        <w:ind w:start="5748" w:hanging="360"/>
      </w:pPr>
      <w:rPr>
        <w:rFonts w:ascii="Symbol" w:hAnsi="Symbol" w:cs="Symbol" w:hint="default"/>
      </w:rPr>
    </w:lvl>
    <w:lvl w:ilvl="7">
      <w:start w:val="1"/>
      <w:numFmt w:val="bullet"/>
      <w:lvlText w:val="o"/>
      <w:lvlJc w:val="start"/>
      <w:pPr>
        <w:tabs>
          <w:tab w:val="num" w:pos="0"/>
        </w:tabs>
        <w:ind w:start="6468" w:hanging="360"/>
      </w:pPr>
      <w:rPr>
        <w:rFonts w:ascii="Courier New" w:hAnsi="Courier New" w:cs="Courier New" w:hint="default"/>
      </w:rPr>
    </w:lvl>
    <w:lvl w:ilvl="8">
      <w:start w:val="1"/>
      <w:numFmt w:val="bullet"/>
      <w:lvlText w:val=""/>
      <w:lvlJc w:val="start"/>
      <w:pPr>
        <w:tabs>
          <w:tab w:val="num" w:pos="0"/>
        </w:tabs>
        <w:ind w:start="7188" w:hanging="360"/>
      </w:pPr>
      <w:rPr>
        <w:rFonts w:ascii="Wingdings" w:hAnsi="Wingdings" w:cs="Wingdings" w:hint="default"/>
      </w:rPr>
    </w:lvl>
  </w:abstractNum>
  <w:abstractNum w:abstractNumId="15">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16">
    <w:lvl w:ilvl="0">
      <w:start w:val="1"/>
      <w:numFmt w:val="decimal"/>
      <w:lvlText w:val="%1."/>
      <w:lvlJc w:val="start"/>
      <w:pPr>
        <w:tabs>
          <w:tab w:val="num" w:pos="0"/>
        </w:tabs>
        <w:ind w:start="1143" w:hanging="360"/>
      </w:pPr>
      <w:rPr/>
    </w:lvl>
    <w:lvl w:ilvl="1">
      <w:start w:val="1"/>
      <w:numFmt w:val="decimal"/>
      <w:isLgl/>
      <w:lvlText w:val="%1.%2"/>
      <w:lvlJc w:val="start"/>
      <w:pPr>
        <w:tabs>
          <w:tab w:val="num" w:pos="0"/>
        </w:tabs>
        <w:ind w:start="1143" w:hanging="360"/>
      </w:pPr>
      <w:rPr/>
    </w:lvl>
    <w:lvl w:ilvl="2">
      <w:start w:val="1"/>
      <w:numFmt w:val="decimal"/>
      <w:isLgl/>
      <w:lvlText w:val="%1.%2.%3"/>
      <w:lvlJc w:val="start"/>
      <w:pPr>
        <w:tabs>
          <w:tab w:val="num" w:pos="0"/>
        </w:tabs>
        <w:ind w:start="1503" w:hanging="720"/>
      </w:pPr>
      <w:rPr/>
    </w:lvl>
    <w:lvl w:ilvl="3">
      <w:start w:val="1"/>
      <w:numFmt w:val="decimal"/>
      <w:isLgl/>
      <w:lvlText w:val="%1.%2.%3.%4"/>
      <w:lvlJc w:val="start"/>
      <w:pPr>
        <w:tabs>
          <w:tab w:val="num" w:pos="0"/>
        </w:tabs>
        <w:ind w:start="1863" w:hanging="1080"/>
      </w:pPr>
      <w:rPr/>
    </w:lvl>
    <w:lvl w:ilvl="4">
      <w:start w:val="1"/>
      <w:numFmt w:val="decimal"/>
      <w:isLgl/>
      <w:lvlText w:val="%1.%2.%3.%4.%5"/>
      <w:lvlJc w:val="start"/>
      <w:pPr>
        <w:tabs>
          <w:tab w:val="num" w:pos="0"/>
        </w:tabs>
        <w:ind w:start="1863" w:hanging="1080"/>
      </w:pPr>
      <w:rPr/>
    </w:lvl>
    <w:lvl w:ilvl="5">
      <w:start w:val="1"/>
      <w:numFmt w:val="decimal"/>
      <w:isLgl/>
      <w:lvlText w:val="%1.%2.%3.%4.%5.%6"/>
      <w:lvlJc w:val="start"/>
      <w:pPr>
        <w:tabs>
          <w:tab w:val="num" w:pos="0"/>
        </w:tabs>
        <w:ind w:start="2223" w:hanging="1440"/>
      </w:pPr>
      <w:rPr/>
    </w:lvl>
    <w:lvl w:ilvl="6">
      <w:start w:val="1"/>
      <w:numFmt w:val="decimal"/>
      <w:isLgl/>
      <w:lvlText w:val="%1.%2.%3.%4.%5.%6.%7"/>
      <w:lvlJc w:val="start"/>
      <w:pPr>
        <w:tabs>
          <w:tab w:val="num" w:pos="0"/>
        </w:tabs>
        <w:ind w:start="2223" w:hanging="1440"/>
      </w:pPr>
      <w:rPr/>
    </w:lvl>
    <w:lvl w:ilvl="7">
      <w:start w:val="1"/>
      <w:numFmt w:val="decimal"/>
      <w:isLgl/>
      <w:lvlText w:val="%1.%2.%3.%4.%5.%6.%7.%8"/>
      <w:lvlJc w:val="start"/>
      <w:pPr>
        <w:tabs>
          <w:tab w:val="num" w:pos="0"/>
        </w:tabs>
        <w:ind w:start="2583" w:hanging="1800"/>
      </w:pPr>
      <w:rPr/>
    </w:lvl>
    <w:lvl w:ilvl="8">
      <w:start w:val="1"/>
      <w:numFmt w:val="decimal"/>
      <w:isLgl/>
      <w:lvlText w:val="%1.%2.%3.%4.%5.%6.%7.%8.%9"/>
      <w:lvlJc w:val="start"/>
      <w:pPr>
        <w:tabs>
          <w:tab w:val="num" w:pos="0"/>
        </w:tabs>
        <w:ind w:start="2943" w:hanging="2160"/>
      </w:pPr>
      <w:rPr/>
    </w:lvl>
  </w:abstractNum>
  <w:abstractNum w:abstractNumId="17">
    <w:lvl w:ilvl="0">
      <w:start w:val="1"/>
      <w:numFmt w:val="bullet"/>
      <w:lvlText w:val=""/>
      <w:lvlJc w:val="start"/>
      <w:pPr>
        <w:tabs>
          <w:tab w:val="num" w:pos="0"/>
        </w:tabs>
        <w:ind w:start="1428" w:hanging="360"/>
      </w:pPr>
      <w:rPr>
        <w:rFonts w:ascii="Symbol" w:hAnsi="Symbol" w:cs="Symbol" w:hint="default"/>
      </w:rPr>
    </w:lvl>
    <w:lvl w:ilvl="1">
      <w:start w:val="1"/>
      <w:numFmt w:val="bullet"/>
      <w:lvlText w:val="o"/>
      <w:lvlJc w:val="start"/>
      <w:pPr>
        <w:tabs>
          <w:tab w:val="num" w:pos="0"/>
        </w:tabs>
        <w:ind w:start="2148" w:hanging="360"/>
      </w:pPr>
      <w:rPr>
        <w:rFonts w:ascii="Courier New" w:hAnsi="Courier New" w:cs="Courier New" w:hint="default"/>
      </w:rPr>
    </w:lvl>
    <w:lvl w:ilvl="2">
      <w:start w:val="1"/>
      <w:numFmt w:val="bullet"/>
      <w:lvlText w:val=""/>
      <w:lvlJc w:val="start"/>
      <w:pPr>
        <w:tabs>
          <w:tab w:val="num" w:pos="0"/>
        </w:tabs>
        <w:ind w:start="2868" w:hanging="360"/>
      </w:pPr>
      <w:rPr>
        <w:rFonts w:ascii="Wingdings" w:hAnsi="Wingdings" w:cs="Wingdings" w:hint="default"/>
      </w:rPr>
    </w:lvl>
    <w:lvl w:ilvl="3">
      <w:start w:val="1"/>
      <w:numFmt w:val="bullet"/>
      <w:lvlText w:val=""/>
      <w:lvlJc w:val="start"/>
      <w:pPr>
        <w:tabs>
          <w:tab w:val="num" w:pos="0"/>
        </w:tabs>
        <w:ind w:start="3588" w:hanging="360"/>
      </w:pPr>
      <w:rPr>
        <w:rFonts w:ascii="Symbol" w:hAnsi="Symbol" w:cs="Symbol" w:hint="default"/>
      </w:rPr>
    </w:lvl>
    <w:lvl w:ilvl="4">
      <w:start w:val="1"/>
      <w:numFmt w:val="bullet"/>
      <w:lvlText w:val="o"/>
      <w:lvlJc w:val="start"/>
      <w:pPr>
        <w:tabs>
          <w:tab w:val="num" w:pos="0"/>
        </w:tabs>
        <w:ind w:start="4308" w:hanging="360"/>
      </w:pPr>
      <w:rPr>
        <w:rFonts w:ascii="Courier New" w:hAnsi="Courier New" w:cs="Courier New" w:hint="default"/>
      </w:rPr>
    </w:lvl>
    <w:lvl w:ilvl="5">
      <w:start w:val="1"/>
      <w:numFmt w:val="bullet"/>
      <w:lvlText w:val=""/>
      <w:lvlJc w:val="start"/>
      <w:pPr>
        <w:tabs>
          <w:tab w:val="num" w:pos="0"/>
        </w:tabs>
        <w:ind w:start="5028" w:hanging="360"/>
      </w:pPr>
      <w:rPr>
        <w:rFonts w:ascii="Wingdings" w:hAnsi="Wingdings" w:cs="Wingdings" w:hint="default"/>
      </w:rPr>
    </w:lvl>
    <w:lvl w:ilvl="6">
      <w:start w:val="1"/>
      <w:numFmt w:val="bullet"/>
      <w:lvlText w:val=""/>
      <w:lvlJc w:val="start"/>
      <w:pPr>
        <w:tabs>
          <w:tab w:val="num" w:pos="0"/>
        </w:tabs>
        <w:ind w:start="5748" w:hanging="360"/>
      </w:pPr>
      <w:rPr>
        <w:rFonts w:ascii="Symbol" w:hAnsi="Symbol" w:cs="Symbol" w:hint="default"/>
      </w:rPr>
    </w:lvl>
    <w:lvl w:ilvl="7">
      <w:start w:val="1"/>
      <w:numFmt w:val="bullet"/>
      <w:lvlText w:val="o"/>
      <w:lvlJc w:val="start"/>
      <w:pPr>
        <w:tabs>
          <w:tab w:val="num" w:pos="0"/>
        </w:tabs>
        <w:ind w:start="6468" w:hanging="360"/>
      </w:pPr>
      <w:rPr>
        <w:rFonts w:ascii="Courier New" w:hAnsi="Courier New" w:cs="Courier New" w:hint="default"/>
      </w:rPr>
    </w:lvl>
    <w:lvl w:ilvl="8">
      <w:start w:val="1"/>
      <w:numFmt w:val="bullet"/>
      <w:lvlText w:val=""/>
      <w:lvlJc w:val="start"/>
      <w:pPr>
        <w:tabs>
          <w:tab w:val="num" w:pos="0"/>
        </w:tabs>
        <w:ind w:start="7188" w:hanging="360"/>
      </w:pPr>
      <w:rPr>
        <w:rFonts w:ascii="Wingdings" w:hAnsi="Wingdings" w:cs="Wingdings" w:hint="default"/>
      </w:rPr>
    </w:lvl>
  </w:abstractNum>
  <w:abstractNum w:abstractNumId="18">
    <w:lvl w:ilvl="0">
      <w:start w:val="1"/>
      <w:numFmt w:val="decimal"/>
      <w:lvlText w:val="%1."/>
      <w:lvlJc w:val="start"/>
      <w:pPr>
        <w:tabs>
          <w:tab w:val="num" w:pos="0"/>
        </w:tabs>
        <w:ind w:start="1146" w:hanging="360"/>
      </w:pPr>
      <w:rPr/>
    </w:lvl>
    <w:lvl w:ilvl="1">
      <w:start w:val="1"/>
      <w:numFmt w:val="decimal"/>
      <w:isLgl/>
      <w:lvlText w:val="%1.%2"/>
      <w:lvlJc w:val="start"/>
      <w:pPr>
        <w:tabs>
          <w:tab w:val="num" w:pos="0"/>
        </w:tabs>
        <w:ind w:start="1429" w:hanging="360"/>
      </w:pPr>
      <w:rPr/>
    </w:lvl>
    <w:lvl w:ilvl="2">
      <w:start w:val="1"/>
      <w:numFmt w:val="decimal"/>
      <w:isLgl/>
      <w:lvlText w:val="%1.%2.%3"/>
      <w:lvlJc w:val="start"/>
      <w:pPr>
        <w:tabs>
          <w:tab w:val="num" w:pos="0"/>
        </w:tabs>
        <w:ind w:start="2072" w:hanging="720"/>
      </w:pPr>
      <w:rPr/>
    </w:lvl>
    <w:lvl w:ilvl="3">
      <w:start w:val="1"/>
      <w:numFmt w:val="decimal"/>
      <w:isLgl/>
      <w:lvlText w:val="%1.%2.%3.%4"/>
      <w:lvlJc w:val="start"/>
      <w:pPr>
        <w:tabs>
          <w:tab w:val="num" w:pos="0"/>
        </w:tabs>
        <w:ind w:start="2715" w:hanging="1080"/>
      </w:pPr>
      <w:rPr/>
    </w:lvl>
    <w:lvl w:ilvl="4">
      <w:start w:val="1"/>
      <w:numFmt w:val="decimal"/>
      <w:isLgl/>
      <w:lvlText w:val="%1.%2.%3.%4.%5"/>
      <w:lvlJc w:val="start"/>
      <w:pPr>
        <w:tabs>
          <w:tab w:val="num" w:pos="0"/>
        </w:tabs>
        <w:ind w:start="2998" w:hanging="1080"/>
      </w:pPr>
      <w:rPr/>
    </w:lvl>
    <w:lvl w:ilvl="5">
      <w:start w:val="1"/>
      <w:numFmt w:val="decimal"/>
      <w:isLgl/>
      <w:lvlText w:val="%1.%2.%3.%4.%5.%6"/>
      <w:lvlJc w:val="start"/>
      <w:pPr>
        <w:tabs>
          <w:tab w:val="num" w:pos="0"/>
        </w:tabs>
        <w:ind w:start="3641" w:hanging="1440"/>
      </w:pPr>
      <w:rPr/>
    </w:lvl>
    <w:lvl w:ilvl="6">
      <w:start w:val="1"/>
      <w:numFmt w:val="decimal"/>
      <w:isLgl/>
      <w:lvlText w:val="%1.%2.%3.%4.%5.%6.%7"/>
      <w:lvlJc w:val="start"/>
      <w:pPr>
        <w:tabs>
          <w:tab w:val="num" w:pos="0"/>
        </w:tabs>
        <w:ind w:start="3924" w:hanging="1440"/>
      </w:pPr>
      <w:rPr/>
    </w:lvl>
    <w:lvl w:ilvl="7">
      <w:start w:val="1"/>
      <w:numFmt w:val="decimal"/>
      <w:isLgl/>
      <w:lvlText w:val="%1.%2.%3.%4.%5.%6.%7.%8"/>
      <w:lvlJc w:val="start"/>
      <w:pPr>
        <w:tabs>
          <w:tab w:val="num" w:pos="0"/>
        </w:tabs>
        <w:ind w:start="4567" w:hanging="1800"/>
      </w:pPr>
      <w:rPr/>
    </w:lvl>
    <w:lvl w:ilvl="8">
      <w:start w:val="1"/>
      <w:numFmt w:val="decimal"/>
      <w:isLgl/>
      <w:lvlText w:val="%1.%2.%3.%4.%5.%6.%7.%8.%9"/>
      <w:lvlJc w:val="start"/>
      <w:pPr>
        <w:tabs>
          <w:tab w:val="num" w:pos="0"/>
        </w:tabs>
        <w:ind w:start="5210" w:hanging="2160"/>
      </w:pPr>
      <w:rPr/>
    </w:lvl>
  </w:abstractNum>
  <w:abstractNum w:abstractNumId="1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Calibri" w:eastAsiaTheme="minorHAnsi"/>
        <w:sz w:val="28"/>
        <w:szCs w:val="28"/>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11460"/>
    <w:pPr>
      <w:widowControl/>
      <w:suppressAutoHyphens w:val="true"/>
      <w:bidi w:val="0"/>
      <w:spacing w:lineRule="auto" w:line="360" w:before="0" w:after="0"/>
      <w:ind w:firstLine="709"/>
      <w:jc w:val="both"/>
    </w:pPr>
    <w:rPr>
      <w:rFonts w:ascii="Times New Roman" w:hAnsi="Times New Roman" w:eastAsia="Calibri" w:cs="Calibri" w:eastAsiaTheme="minorHAnsi"/>
      <w:color w:val="auto"/>
      <w:kern w:val="0"/>
      <w:sz w:val="28"/>
      <w:szCs w:val="28"/>
      <w:lang w:val="ru-RU" w:eastAsia="en-US" w:bidi="ar-SA"/>
    </w:rPr>
  </w:style>
  <w:style w:type="paragraph" w:styleId="Heading1">
    <w:name w:val="heading 1"/>
    <w:basedOn w:val="Heading2"/>
    <w:next w:val="Normal"/>
    <w:link w:val="1"/>
    <w:autoRedefine/>
    <w:uiPriority w:val="9"/>
    <w:qFormat/>
    <w:rsid w:val="005459d7"/>
    <w:pPr>
      <w:keepLines/>
      <w:pageBreakBefore/>
      <w:numPr>
        <w:ilvl w:val="0"/>
        <w:numId w:val="18"/>
      </w:numPr>
      <w:tabs>
        <w:tab w:val="clear" w:pos="708"/>
        <w:tab w:val="left" w:pos="851" w:leader="none"/>
      </w:tabs>
      <w:ind w:firstLine="709" w:start="0" w:end="-1"/>
      <w:jc w:val="both"/>
      <w:outlineLvl w:val="0"/>
    </w:pPr>
    <w:rPr>
      <w:b/>
      <w:bCs/>
      <w:szCs w:val="48"/>
    </w:rPr>
  </w:style>
  <w:style w:type="paragraph" w:styleId="Heading2">
    <w:name w:val="heading 2"/>
    <w:basedOn w:val="Normal"/>
    <w:next w:val="Normal"/>
    <w:link w:val="2"/>
    <w:autoRedefine/>
    <w:uiPriority w:val="9"/>
    <w:unhideWhenUsed/>
    <w:qFormat/>
    <w:rsid w:val="00c97513"/>
    <w:pPr>
      <w:keepNext w:val="true"/>
      <w:jc w:val="end"/>
      <w:outlineLvl w:val="1"/>
    </w:pPr>
    <w:rPr/>
  </w:style>
  <w:style w:type="paragraph" w:styleId="Heading3">
    <w:name w:val="heading 3"/>
    <w:basedOn w:val="Normal"/>
    <w:next w:val="Normal"/>
    <w:link w:val="3"/>
    <w:autoRedefine/>
    <w:uiPriority w:val="9"/>
    <w:unhideWhenUsed/>
    <w:qFormat/>
    <w:rsid w:val="00c74d24"/>
    <w:pPr>
      <w:keepNext w:val="true"/>
      <w:keepLines/>
      <w:numPr>
        <w:ilvl w:val="1"/>
        <w:numId w:val="18"/>
      </w:numPr>
      <w:ind w:firstLine="709" w:start="0"/>
      <w:outlineLvl w:val="2"/>
    </w:pPr>
    <w:rPr>
      <w:rFonts w:eastAsia="Times New Roman"/>
      <w:b/>
      <w:lang w:eastAsia="ru-RU"/>
    </w:rPr>
  </w:style>
  <w:style w:type="paragraph" w:styleId="Heading4">
    <w:name w:val="heading 4"/>
    <w:basedOn w:val="Normal"/>
    <w:next w:val="Normal"/>
    <w:link w:val="4"/>
    <w:uiPriority w:val="9"/>
    <w:unhideWhenUsed/>
    <w:qFormat/>
    <w:rsid w:val="00c74d24"/>
    <w:pPr>
      <w:keepNext w:val="true"/>
      <w:keepLines/>
      <w:numPr>
        <w:ilvl w:val="2"/>
        <w:numId w:val="18"/>
      </w:numPr>
      <w:spacing w:before="144" w:after="144"/>
      <w:ind w:firstLine="709" w:start="0"/>
      <w:outlineLvl w:val="3"/>
    </w:pPr>
    <w:rPr>
      <w:rFonts w:eastAsia="Times New Roman" w:cs="Times New Roman"/>
      <w:b/>
      <w:lang w:eastAsia="ru-RU"/>
    </w:rPr>
  </w:style>
  <w:style w:type="paragraph" w:styleId="Heading5">
    <w:name w:val="heading 5"/>
    <w:basedOn w:val="Normal"/>
    <w:next w:val="Normal"/>
    <w:link w:val="5"/>
    <w:uiPriority w:val="9"/>
    <w:unhideWhenUsed/>
    <w:qFormat/>
    <w:rsid w:val="0048796c"/>
    <w:pPr>
      <w:keepNext w:val="true"/>
      <w:keepLines/>
      <w:spacing w:before="40" w:after="0"/>
      <w:outlineLvl w:val="4"/>
    </w:pPr>
    <w:rPr>
      <w:rFonts w:ascii="Calibri Light" w:hAnsi="Calibri Light" w:eastAsia="" w:cs="" w:asciiTheme="majorHAnsi" w:cstheme="majorBidi" w:eastAsiaTheme="majorEastAsia" w:hAnsiTheme="majorHAnsi"/>
      <w:color w:themeColor="accent1" w:themeShade="bf" w:val="2F5496"/>
    </w:rPr>
  </w:style>
  <w:style w:type="paragraph" w:styleId="Heading6">
    <w:name w:val="heading 6"/>
    <w:basedOn w:val="Normal"/>
    <w:next w:val="Normal"/>
    <w:link w:val="6"/>
    <w:uiPriority w:val="9"/>
    <w:unhideWhenUsed/>
    <w:qFormat/>
    <w:rsid w:val="00b05dd0"/>
    <w:pPr>
      <w:keepNext w:val="true"/>
      <w:keepLines/>
      <w:spacing w:before="40" w:after="0"/>
      <w:outlineLvl w:val="5"/>
    </w:pPr>
    <w:rPr>
      <w:rFonts w:ascii="Calibri Light" w:hAnsi="Calibri Light" w:eastAsia="" w:cs="" w:asciiTheme="majorHAnsi" w:cstheme="majorBidi" w:eastAsiaTheme="majorEastAsia" w:hAnsiTheme="majorHAnsi"/>
      <w:color w:themeColor="accent1" w:themeShade="7f" w:val="1F3763"/>
    </w:rPr>
  </w:style>
  <w:style w:type="character" w:styleId="DefaultParagraphFont" w:default="1">
    <w:name w:val="Default Paragraph Font"/>
    <w:uiPriority w:val="1"/>
    <w:semiHidden/>
    <w:unhideWhenUsed/>
    <w:qFormat/>
    <w:rPr/>
  </w:style>
  <w:style w:type="character" w:styleId="2" w:customStyle="1">
    <w:name w:val="Заголовок 2 Знак"/>
    <w:basedOn w:val="DefaultParagraphFont"/>
    <w:uiPriority w:val="9"/>
    <w:qFormat/>
    <w:rsid w:val="005459d7"/>
    <w:rPr/>
  </w:style>
  <w:style w:type="character" w:styleId="1" w:customStyle="1">
    <w:name w:val="Заголовок 1 Знак"/>
    <w:basedOn w:val="DefaultParagraphFont"/>
    <w:uiPriority w:val="9"/>
    <w:qFormat/>
    <w:rsid w:val="005459d7"/>
    <w:rPr>
      <w:b/>
      <w:bCs/>
      <w:szCs w:val="48"/>
    </w:rPr>
  </w:style>
  <w:style w:type="character" w:styleId="3" w:customStyle="1">
    <w:name w:val="Заголовок 3 Знак"/>
    <w:basedOn w:val="DefaultParagraphFont"/>
    <w:uiPriority w:val="9"/>
    <w:qFormat/>
    <w:rsid w:val="00c74d24"/>
    <w:rPr>
      <w:rFonts w:eastAsia="Times New Roman"/>
      <w:b/>
      <w:lang w:eastAsia="ru-RU"/>
    </w:rPr>
  </w:style>
  <w:style w:type="character" w:styleId="Style8" w:customStyle="1">
    <w:name w:val="Заголовок Знак"/>
    <w:basedOn w:val="DefaultParagraphFont"/>
    <w:uiPriority w:val="10"/>
    <w:qFormat/>
    <w:rsid w:val="00fe327e"/>
    <w:rPr>
      <w:rFonts w:eastAsia="" w:cs="" w:cstheme="majorBidi" w:eastAsiaTheme="majorEastAsia"/>
      <w:b/>
      <w:spacing w:val="-10"/>
      <w:kern w:val="2"/>
      <w:sz w:val="36"/>
      <w:szCs w:val="56"/>
    </w:rPr>
  </w:style>
  <w:style w:type="character" w:styleId="4" w:customStyle="1">
    <w:name w:val="Заголовок 4 Знак"/>
    <w:basedOn w:val="DefaultParagraphFont"/>
    <w:uiPriority w:val="9"/>
    <w:qFormat/>
    <w:rsid w:val="00c74d24"/>
    <w:rPr>
      <w:rFonts w:eastAsia="Times New Roman" w:cs="Times New Roman"/>
      <w:b/>
      <w:lang w:eastAsia="ru-RU"/>
    </w:rPr>
  </w:style>
  <w:style w:type="character" w:styleId="Style9" w:customStyle="1">
    <w:name w:val="Абзац с отступом Знак"/>
    <w:link w:val="Style26"/>
    <w:qFormat/>
    <w:rsid w:val="001b5ec1"/>
    <w:rPr>
      <w:rFonts w:eastAsia="Times New Roman" w:cs="Times New Roman"/>
      <w:sz w:val="24"/>
      <w:szCs w:val="22"/>
    </w:rPr>
  </w:style>
  <w:style w:type="character" w:styleId="Hyperlink">
    <w:name w:val="Hyperlink"/>
    <w:basedOn w:val="DefaultParagraphFont"/>
    <w:uiPriority w:val="99"/>
    <w:unhideWhenUsed/>
    <w:rsid w:val="00f361c7"/>
    <w:rPr>
      <w:color w:themeColor="hyperlink" w:val="0563C1"/>
      <w:u w:val="single"/>
    </w:rPr>
  </w:style>
  <w:style w:type="character" w:styleId="11" w:customStyle="1">
    <w:name w:val="Неразрешенное упоминание1"/>
    <w:basedOn w:val="DefaultParagraphFont"/>
    <w:uiPriority w:val="99"/>
    <w:semiHidden/>
    <w:unhideWhenUsed/>
    <w:qFormat/>
    <w:rsid w:val="00f361c7"/>
    <w:rPr>
      <w:color w:val="605E5C"/>
      <w:shd w:fill="E1DFDD" w:val="clear"/>
    </w:rPr>
  </w:style>
  <w:style w:type="character" w:styleId="FollowedHyperlink">
    <w:name w:val="FollowedHyperlink"/>
    <w:basedOn w:val="DefaultParagraphFont"/>
    <w:uiPriority w:val="99"/>
    <w:semiHidden/>
    <w:unhideWhenUsed/>
    <w:rsid w:val="00f361c7"/>
    <w:rPr>
      <w:color w:themeColor="followedHyperlink" w:val="954F72"/>
      <w:u w:val="single"/>
    </w:rPr>
  </w:style>
  <w:style w:type="character" w:styleId="Style10" w:customStyle="1">
    <w:name w:val="Текст сноски Знак"/>
    <w:basedOn w:val="DefaultParagraphFont"/>
    <w:uiPriority w:val="99"/>
    <w:qFormat/>
    <w:rsid w:val="00084d99"/>
    <w:rPr>
      <w:rFonts w:ascii="Calibri" w:hAnsi="Calibri" w:eastAsia="Calibri"/>
      <w:sz w:val="20"/>
      <w:szCs w:val="20"/>
      <w:lang w:eastAsia="ru-RU"/>
    </w:rPr>
  </w:style>
  <w:style w:type="character" w:styleId="user">
    <w:name w:val="Символ сноски (user)"/>
    <w:basedOn w:val="DefaultParagraphFont"/>
    <w:uiPriority w:val="99"/>
    <w:semiHidden/>
    <w:unhideWhenUsed/>
    <w:qFormat/>
    <w:rsid w:val="00084d99"/>
    <w:rPr>
      <w:vertAlign w:val="superscript"/>
    </w:rPr>
  </w:style>
  <w:style w:type="character" w:styleId="Style11">
    <w:name w:val="Символ сноски"/>
    <w:qFormat/>
    <w:rPr>
      <w:vertAlign w:val="superscript"/>
    </w:rPr>
  </w:style>
  <w:style w:type="character" w:styleId="FootnoteReference">
    <w:name w:val="footnote reference"/>
    <w:rPr>
      <w:vertAlign w:val="superscript"/>
    </w:rPr>
  </w:style>
  <w:style w:type="character" w:styleId="Style12" w:customStyle="1">
    <w:name w:val="Текст концевой сноски Знак"/>
    <w:basedOn w:val="DefaultParagraphFont"/>
    <w:uiPriority w:val="99"/>
    <w:semiHidden/>
    <w:qFormat/>
    <w:rsid w:val="00c15d79"/>
    <w:rPr>
      <w:sz w:val="20"/>
      <w:szCs w:val="20"/>
    </w:rPr>
  </w:style>
  <w:style w:type="character" w:styleId="user1">
    <w:name w:val="Символ концевой сноски (user)"/>
    <w:basedOn w:val="DefaultParagraphFont"/>
    <w:uiPriority w:val="99"/>
    <w:semiHidden/>
    <w:unhideWhenUsed/>
    <w:qFormat/>
    <w:rsid w:val="00c15d79"/>
    <w:rPr>
      <w:vertAlign w:val="superscript"/>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Style14" w:customStyle="1">
    <w:name w:val="ГОСТ Основной текст Знак"/>
    <w:link w:val="Style27"/>
    <w:qFormat/>
    <w:rsid w:val="00a355a2"/>
    <w:rPr>
      <w:rFonts w:eastAsia="+mn-ea" w:cs="" w:cstheme="minorBidi"/>
      <w:kern w:val="2"/>
      <w:szCs w:val="20"/>
    </w:rPr>
  </w:style>
  <w:style w:type="character" w:styleId="CommentReference">
    <w:name w:val="annotation reference"/>
    <w:basedOn w:val="DefaultParagraphFont"/>
    <w:uiPriority w:val="99"/>
    <w:semiHidden/>
    <w:unhideWhenUsed/>
    <w:qFormat/>
    <w:rsid w:val="00f7467c"/>
    <w:rPr>
      <w:sz w:val="16"/>
      <w:szCs w:val="16"/>
    </w:rPr>
  </w:style>
  <w:style w:type="character" w:styleId="Style15" w:customStyle="1">
    <w:name w:val="Текст примечания Знак"/>
    <w:basedOn w:val="DefaultParagraphFont"/>
    <w:uiPriority w:val="99"/>
    <w:qFormat/>
    <w:rsid w:val="00f7467c"/>
    <w:rPr>
      <w:sz w:val="20"/>
      <w:szCs w:val="20"/>
    </w:rPr>
  </w:style>
  <w:style w:type="character" w:styleId="Style16" w:customStyle="1">
    <w:name w:val="Тема примечания Знак"/>
    <w:basedOn w:val="Style15"/>
    <w:link w:val="annotationsubject"/>
    <w:uiPriority w:val="99"/>
    <w:semiHidden/>
    <w:qFormat/>
    <w:rsid w:val="00f7467c"/>
    <w:rPr>
      <w:b/>
      <w:bCs/>
      <w:sz w:val="20"/>
      <w:szCs w:val="20"/>
    </w:rPr>
  </w:style>
  <w:style w:type="character" w:styleId="12" w:customStyle="1">
    <w:name w:val="Обычный 1 Знак"/>
    <w:link w:val="14"/>
    <w:uiPriority w:val="99"/>
    <w:qFormat/>
    <w:locked/>
    <w:rsid w:val="00f7467c"/>
    <w:rPr>
      <w:rFonts w:eastAsia="Times New Roman" w:cs="Times New Roman"/>
      <w:sz w:val="24"/>
      <w:szCs w:val="24"/>
      <w:lang w:eastAsia="ru-RU"/>
    </w:rPr>
  </w:style>
  <w:style w:type="character" w:styleId="Style17" w:customStyle="1">
    <w:name w:val="Название объекта Знак"/>
    <w:qFormat/>
    <w:locked/>
    <w:rsid w:val="00c74d24"/>
    <w:rPr>
      <w:rFonts w:eastAsia="Times New Roman" w:cs="Times New Roman"/>
      <w:b/>
      <w:bCs/>
      <w:lang w:eastAsia="ru-RU"/>
    </w:rPr>
  </w:style>
  <w:style w:type="character" w:styleId="-" w:customStyle="1">
    <w:name w:val="Н-обычный Знак"/>
    <w:link w:val="-1"/>
    <w:qFormat/>
    <w:rsid w:val="00260b40"/>
    <w:rPr>
      <w:rFonts w:eastAsia="Arial Unicode MS" w:cs="Times New Roman"/>
      <w:sz w:val="24"/>
      <w:szCs w:val="24"/>
    </w:rPr>
  </w:style>
  <w:style w:type="character" w:styleId="MGCommon" w:customStyle="1">
    <w:name w:val="MG_Common Знак"/>
    <w:link w:val="MGCommon1"/>
    <w:qFormat/>
    <w:rsid w:val="00260b40"/>
    <w:rPr>
      <w:rFonts w:eastAsia="MS Mincho" w:cs="Times New Roman"/>
      <w:szCs w:val="22"/>
      <w:lang w:eastAsia="ko-KR"/>
    </w:rPr>
  </w:style>
  <w:style w:type="character" w:styleId="Style18" w:customStyle="1">
    <w:name w:val="Основной текст Знак"/>
    <w:basedOn w:val="DefaultParagraphFont"/>
    <w:uiPriority w:val="99"/>
    <w:semiHidden/>
    <w:qFormat/>
    <w:rsid w:val="00260b40"/>
    <w:rPr/>
  </w:style>
  <w:style w:type="character" w:styleId="21" w:customStyle="1">
    <w:name w:val="Неразрешенное упоминание2"/>
    <w:basedOn w:val="DefaultParagraphFont"/>
    <w:uiPriority w:val="99"/>
    <w:semiHidden/>
    <w:unhideWhenUsed/>
    <w:qFormat/>
    <w:rsid w:val="00260b40"/>
    <w:rPr>
      <w:color w:val="605E5C"/>
      <w:shd w:fill="E1DFDD" w:val="clear"/>
    </w:rPr>
  </w:style>
  <w:style w:type="character" w:styleId="13" w:customStyle="1">
    <w:name w:val="Список 1 Знак"/>
    <w:qFormat/>
    <w:rsid w:val="00b11460"/>
    <w:rPr>
      <w:rFonts w:eastAsia="Times New Roman" w:cs="Times New Roman"/>
    </w:rPr>
  </w:style>
  <w:style w:type="character" w:styleId="5" w:customStyle="1">
    <w:name w:val="Заголовок 5 Знак"/>
    <w:basedOn w:val="DefaultParagraphFont"/>
    <w:uiPriority w:val="9"/>
    <w:qFormat/>
    <w:rsid w:val="0048796c"/>
    <w:rPr>
      <w:rFonts w:ascii="Calibri Light" w:hAnsi="Calibri Light" w:eastAsia="" w:cs="" w:asciiTheme="majorHAnsi" w:cstheme="majorBidi" w:eastAsiaTheme="majorEastAsia" w:hAnsiTheme="majorHAnsi"/>
      <w:color w:themeColor="accent1" w:themeShade="bf" w:val="2F5496"/>
    </w:rPr>
  </w:style>
  <w:style w:type="character" w:styleId="Style19" w:customStyle="1">
    <w:name w:val="Обычный (тбл) Знак"/>
    <w:link w:val="Style28"/>
    <w:uiPriority w:val="99"/>
    <w:qFormat/>
    <w:locked/>
    <w:rsid w:val="00046a0c"/>
    <w:rPr>
      <w:rFonts w:eastAsia="Times New Roman" w:cs="Times New Roman"/>
      <w:bCs/>
      <w:sz w:val="24"/>
      <w:szCs w:val="18"/>
      <w:lang w:eastAsia="ru-RU"/>
    </w:rPr>
  </w:style>
  <w:style w:type="character" w:styleId="6" w:customStyle="1">
    <w:name w:val="Заголовок 6 Знак"/>
    <w:basedOn w:val="DefaultParagraphFont"/>
    <w:uiPriority w:val="9"/>
    <w:qFormat/>
    <w:rsid w:val="00b05dd0"/>
    <w:rPr>
      <w:rFonts w:ascii="Calibri Light" w:hAnsi="Calibri Light" w:eastAsia="" w:cs="" w:asciiTheme="majorHAnsi" w:cstheme="majorBidi" w:eastAsiaTheme="majorEastAsia" w:hAnsiTheme="majorHAnsi"/>
      <w:color w:themeColor="accent1" w:themeShade="7f" w:val="1F3763"/>
    </w:rPr>
  </w:style>
  <w:style w:type="character" w:styleId="Strong">
    <w:name w:val="Strong"/>
    <w:basedOn w:val="DefaultParagraphFont"/>
    <w:uiPriority w:val="22"/>
    <w:qFormat/>
    <w:rsid w:val="00632f1b"/>
    <w:rPr>
      <w:b/>
      <w:bCs/>
    </w:rPr>
  </w:style>
  <w:style w:type="character" w:styleId="31" w:customStyle="1">
    <w:name w:val="Неразрешенное упоминание3"/>
    <w:basedOn w:val="DefaultParagraphFont"/>
    <w:uiPriority w:val="99"/>
    <w:semiHidden/>
    <w:unhideWhenUsed/>
    <w:qFormat/>
    <w:rsid w:val="005e4231"/>
    <w:rPr>
      <w:color w:val="605E5C"/>
      <w:shd w:fill="E1DFDD" w:val="clear"/>
    </w:rPr>
  </w:style>
  <w:style w:type="character" w:styleId="Style20" w:customStyle="1">
    <w:name w:val="Верхний колонтитул Знак"/>
    <w:basedOn w:val="DefaultParagraphFont"/>
    <w:uiPriority w:val="99"/>
    <w:qFormat/>
    <w:rsid w:val="004f297c"/>
    <w:rPr/>
  </w:style>
  <w:style w:type="character" w:styleId="Style21" w:customStyle="1">
    <w:name w:val="Нижний колонтитул Знак"/>
    <w:basedOn w:val="DefaultParagraphFont"/>
    <w:uiPriority w:val="99"/>
    <w:qFormat/>
    <w:rsid w:val="004f297c"/>
    <w:rPr/>
  </w:style>
  <w:style w:type="character" w:styleId="41" w:customStyle="1">
    <w:name w:val="Неразрешенное упоминание4"/>
    <w:basedOn w:val="DefaultParagraphFont"/>
    <w:uiPriority w:val="99"/>
    <w:semiHidden/>
    <w:unhideWhenUsed/>
    <w:qFormat/>
    <w:rsid w:val="00b22783"/>
    <w:rPr>
      <w:color w:val="605E5C"/>
      <w:shd w:fill="E1DFDD" w:val="clear"/>
    </w:rPr>
  </w:style>
  <w:style w:type="character" w:styleId="BookTitle">
    <w:name w:val="Book Title"/>
    <w:basedOn w:val="DefaultParagraphFont"/>
    <w:uiPriority w:val="33"/>
    <w:qFormat/>
    <w:rsid w:val="00f5076c"/>
    <w:rPr>
      <w:b/>
      <w:bCs/>
      <w:i/>
      <w:iCs/>
      <w:spacing w:val="5"/>
    </w:rPr>
  </w:style>
  <w:style w:type="character" w:styleId="Style22" w:customStyle="1">
    <w:name w:val="Текст выноски Знак"/>
    <w:basedOn w:val="DefaultParagraphFont"/>
    <w:link w:val="BalloonText"/>
    <w:uiPriority w:val="99"/>
    <w:semiHidden/>
    <w:qFormat/>
    <w:rsid w:val="001a0676"/>
    <w:rPr>
      <w:rFonts w:ascii="Segoe UI" w:hAnsi="Segoe UI" w:cs="Segoe UI"/>
      <w:sz w:val="18"/>
      <w:szCs w:val="18"/>
    </w:rPr>
  </w:style>
  <w:style w:type="character" w:styleId="user2">
    <w:name w:val="Ссылка указателя (user)"/>
    <w:qFormat/>
    <w:rPr/>
  </w:style>
  <w:style w:type="character" w:styleId="Style23">
    <w:name w:val="Ссылка указателя"/>
    <w:qFormat/>
    <w:rPr/>
  </w:style>
  <w:style w:type="paragraph" w:styleId="Style24">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18"/>
    <w:uiPriority w:val="99"/>
    <w:semiHidden/>
    <w:unhideWhenUsed/>
    <w:rsid w:val="00260b40"/>
    <w:pPr>
      <w:spacing w:before="0" w:after="120"/>
    </w:pPr>
    <w:rPr/>
  </w:style>
  <w:style w:type="paragraph" w:styleId="List">
    <w:name w:val="List"/>
    <w:basedOn w:val="BodyText"/>
    <w:pPr/>
    <w:rPr>
      <w:rFonts w:cs="Noto Sans"/>
    </w:rPr>
  </w:style>
  <w:style w:type="paragraph" w:styleId="Caption">
    <w:name w:val="caption"/>
    <w:basedOn w:val="Normal"/>
    <w:next w:val="Normal"/>
    <w:link w:val="Style17"/>
    <w:qFormat/>
    <w:rsid w:val="00c74d24"/>
    <w:pPr>
      <w:widowControl w:val="false"/>
      <w:ind w:hanging="0"/>
      <w:jc w:val="center"/>
      <w:textAlignment w:val="baseline"/>
    </w:pPr>
    <w:rPr>
      <w:rFonts w:eastAsia="Times New Roman" w:cs="Times New Roman"/>
      <w:b/>
      <w:bCs/>
      <w:lang w:eastAsia="ru-RU"/>
    </w:rPr>
  </w:style>
  <w:style w:type="paragraph" w:styleId="Style25">
    <w:name w:val="Указатель"/>
    <w:basedOn w:val="Normal"/>
    <w:qFormat/>
    <w:pPr>
      <w:suppressLineNumbers/>
    </w:pPr>
    <w:rPr>
      <w:rFonts w:cs="Noto Sans"/>
    </w:rPr>
  </w:style>
  <w:style w:type="paragraph" w:styleId="user3">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4">
    <w:name w:val="Указатель (user)"/>
    <w:basedOn w:val="Normal"/>
    <w:qFormat/>
    <w:pPr>
      <w:suppressLineNumbers/>
    </w:pPr>
    <w:rPr>
      <w:rFonts w:cs="Noto Sans"/>
    </w:rPr>
  </w:style>
  <w:style w:type="paragraph" w:styleId="Title">
    <w:name w:val="Title"/>
    <w:basedOn w:val="Normal"/>
    <w:next w:val="Normal"/>
    <w:link w:val="Style8"/>
    <w:autoRedefine/>
    <w:uiPriority w:val="10"/>
    <w:qFormat/>
    <w:rsid w:val="00fe327e"/>
    <w:pPr>
      <w:spacing w:before="0" w:after="0"/>
      <w:contextualSpacing/>
      <w:jc w:val="center"/>
    </w:pPr>
    <w:rPr>
      <w:rFonts w:eastAsia="" w:cs="" w:cstheme="majorBidi" w:eastAsiaTheme="majorEastAsia"/>
      <w:b/>
      <w:spacing w:val="-10"/>
      <w:kern w:val="2"/>
      <w:sz w:val="36"/>
      <w:szCs w:val="56"/>
    </w:rPr>
  </w:style>
  <w:style w:type="paragraph" w:styleId="NormalWeb">
    <w:name w:val="Normal (Web)"/>
    <w:basedOn w:val="Normal"/>
    <w:uiPriority w:val="99"/>
    <w:unhideWhenUsed/>
    <w:qFormat/>
    <w:rsid w:val="00566577"/>
    <w:pPr>
      <w:spacing w:beforeAutospacing="1" w:afterAutospacing="1"/>
      <w:ind w:hanging="0"/>
      <w:jc w:val="start"/>
    </w:pPr>
    <w:rPr>
      <w:rFonts w:eastAsia="Times New Roman" w:cs="Times New Roman"/>
      <w:sz w:val="24"/>
      <w:szCs w:val="24"/>
      <w:lang w:eastAsia="ru-RU"/>
    </w:rPr>
  </w:style>
  <w:style w:type="paragraph" w:styleId="Style26" w:customStyle="1">
    <w:name w:val="Абзац с отступом"/>
    <w:link w:val="Style9"/>
    <w:qFormat/>
    <w:rsid w:val="001b5ec1"/>
    <w:pPr>
      <w:widowControl/>
      <w:suppressAutoHyphens w:val="true"/>
      <w:bidi w:val="0"/>
      <w:spacing w:lineRule="auto" w:line="360" w:before="0" w:after="0"/>
      <w:ind w:firstLine="709"/>
      <w:contextualSpacing/>
      <w:jc w:val="both"/>
    </w:pPr>
    <w:rPr>
      <w:rFonts w:ascii="Times New Roman" w:hAnsi="Times New Roman" w:eastAsia="Times New Roman" w:cs="Times New Roman"/>
      <w:color w:val="auto"/>
      <w:kern w:val="0"/>
      <w:sz w:val="24"/>
      <w:szCs w:val="22"/>
      <w:lang w:val="ru-RU" w:eastAsia="en-US" w:bidi="ar-SA"/>
    </w:rPr>
  </w:style>
  <w:style w:type="paragraph" w:styleId="FootnoteText">
    <w:name w:val="footnote text"/>
    <w:basedOn w:val="Normal"/>
    <w:link w:val="Style10"/>
    <w:uiPriority w:val="99"/>
    <w:unhideWhenUsed/>
    <w:rsid w:val="00084d99"/>
    <w:pPr>
      <w:ind w:hanging="0"/>
      <w:jc w:val="start"/>
    </w:pPr>
    <w:rPr>
      <w:rFonts w:ascii="Calibri" w:hAnsi="Calibri" w:eastAsia="Calibri"/>
      <w:sz w:val="20"/>
      <w:szCs w:val="20"/>
      <w:lang w:eastAsia="ru-RU"/>
    </w:rPr>
  </w:style>
  <w:style w:type="paragraph" w:styleId="EndnoteText">
    <w:name w:val="endnote text"/>
    <w:basedOn w:val="Normal"/>
    <w:link w:val="Style12"/>
    <w:uiPriority w:val="99"/>
    <w:semiHidden/>
    <w:unhideWhenUsed/>
    <w:rsid w:val="00c15d79"/>
    <w:pPr/>
    <w:rPr>
      <w:sz w:val="20"/>
      <w:szCs w:val="20"/>
    </w:rPr>
  </w:style>
  <w:style w:type="paragraph" w:styleId="Style27" w:customStyle="1">
    <w:name w:val="ГОСТ Основной текст"/>
    <w:link w:val="Style14"/>
    <w:qFormat/>
    <w:rsid w:val="00a355a2"/>
    <w:pPr>
      <w:widowControl w:val="false"/>
      <w:suppressAutoHyphens w:val="true"/>
      <w:bidi w:val="0"/>
      <w:spacing w:lineRule="auto" w:line="360" w:before="0" w:after="0"/>
      <w:ind w:firstLine="709"/>
      <w:contextualSpacing/>
      <w:jc w:val="both"/>
    </w:pPr>
    <w:rPr>
      <w:rFonts w:ascii="Times New Roman" w:hAnsi="Times New Roman" w:eastAsia="+mn-ea" w:cs="" w:cstheme="minorBidi"/>
      <w:color w:val="auto"/>
      <w:kern w:val="2"/>
      <w:sz w:val="28"/>
      <w:szCs w:val="20"/>
      <w:lang w:val="ru-RU" w:eastAsia="en-US" w:bidi="ar-SA"/>
    </w:rPr>
  </w:style>
  <w:style w:type="paragraph" w:styleId="IndexHeading">
    <w:name w:val="index heading"/>
    <w:basedOn w:val="user3"/>
    <w:pPr/>
    <w:rPr/>
  </w:style>
  <w:style w:type="paragraph" w:styleId="TOCHeading">
    <w:name w:val="TOC Heading"/>
    <w:basedOn w:val="Heading1"/>
    <w:next w:val="Normal"/>
    <w:uiPriority w:val="39"/>
    <w:unhideWhenUsed/>
    <w:qFormat/>
    <w:rsid w:val="00fa0442"/>
    <w:pPr>
      <w:spacing w:before="240" w:after="0"/>
      <w:outlineLvl w:val="9"/>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TOC1">
    <w:name w:val="toc 1"/>
    <w:basedOn w:val="Normal"/>
    <w:next w:val="Normal"/>
    <w:autoRedefine/>
    <w:uiPriority w:val="39"/>
    <w:unhideWhenUsed/>
    <w:rsid w:val="00fa0442"/>
    <w:pPr>
      <w:spacing w:before="0" w:after="100"/>
    </w:pPr>
    <w:rPr/>
  </w:style>
  <w:style w:type="paragraph" w:styleId="TOC3">
    <w:name w:val="toc 3"/>
    <w:basedOn w:val="Normal"/>
    <w:next w:val="Normal"/>
    <w:autoRedefine/>
    <w:uiPriority w:val="39"/>
    <w:unhideWhenUsed/>
    <w:rsid w:val="00fa0442"/>
    <w:pPr>
      <w:spacing w:before="0" w:after="100"/>
      <w:ind w:start="560"/>
    </w:pPr>
    <w:rPr/>
  </w:style>
  <w:style w:type="paragraph" w:styleId="CommentText">
    <w:name w:val="annotation text"/>
    <w:basedOn w:val="Normal"/>
    <w:link w:val="Style15"/>
    <w:uiPriority w:val="99"/>
    <w:unhideWhenUsed/>
    <w:rsid w:val="00f7467c"/>
    <w:pPr/>
    <w:rPr>
      <w:sz w:val="20"/>
      <w:szCs w:val="20"/>
    </w:rPr>
  </w:style>
  <w:style w:type="paragraph" w:styleId="annotationsubject">
    <w:name w:val="annotation subject"/>
    <w:basedOn w:val="CommentText"/>
    <w:next w:val="CommentText"/>
    <w:link w:val="Style16"/>
    <w:uiPriority w:val="99"/>
    <w:semiHidden/>
    <w:unhideWhenUsed/>
    <w:qFormat/>
    <w:rsid w:val="00f7467c"/>
    <w:pPr/>
    <w:rPr>
      <w:b/>
      <w:bCs/>
    </w:rPr>
  </w:style>
  <w:style w:type="paragraph" w:styleId="14" w:customStyle="1">
    <w:name w:val="Обычный 1"/>
    <w:basedOn w:val="Normal"/>
    <w:link w:val="12"/>
    <w:uiPriority w:val="99"/>
    <w:qFormat/>
    <w:rsid w:val="00f7467c"/>
    <w:pPr>
      <w:widowControl w:val="false"/>
      <w:spacing w:before="60" w:after="60"/>
      <w:textAlignment w:val="baseline"/>
    </w:pPr>
    <w:rPr>
      <w:rFonts w:eastAsia="Times New Roman" w:cs="Times New Roman"/>
      <w:sz w:val="24"/>
      <w:szCs w:val="24"/>
      <w:lang w:eastAsia="ru-RU"/>
    </w:rPr>
  </w:style>
  <w:style w:type="paragraph" w:styleId="-1" w:customStyle="1">
    <w:name w:val="Н-обычный"/>
    <w:basedOn w:val="BodyText"/>
    <w:link w:val="-"/>
    <w:qFormat/>
    <w:rsid w:val="00260b40"/>
    <w:pPr>
      <w:spacing w:lineRule="auto" w:line="276" w:before="0" w:after="0"/>
      <w:ind w:firstLine="760" w:start="23" w:end="23"/>
    </w:pPr>
    <w:rPr>
      <w:rFonts w:eastAsia="Arial Unicode MS" w:cs="Times New Roman"/>
      <w:sz w:val="24"/>
      <w:szCs w:val="24"/>
    </w:rPr>
  </w:style>
  <w:style w:type="paragraph" w:styleId="MGCommon1" w:customStyle="1">
    <w:name w:val="MG_Common"/>
    <w:basedOn w:val="Normal"/>
    <w:link w:val="MGCommon"/>
    <w:qFormat/>
    <w:rsid w:val="00260b40"/>
    <w:pPr>
      <w:spacing w:lineRule="auto" w:line="276"/>
    </w:pPr>
    <w:rPr>
      <w:rFonts w:eastAsia="MS Mincho" w:cs="Times New Roman"/>
      <w:szCs w:val="22"/>
      <w:lang w:eastAsia="ko-KR"/>
    </w:rPr>
  </w:style>
  <w:style w:type="paragraph" w:styleId="ListParagraph">
    <w:name w:val="List Paragraph"/>
    <w:basedOn w:val="Normal"/>
    <w:uiPriority w:val="34"/>
    <w:qFormat/>
    <w:rsid w:val="00bd2a15"/>
    <w:pPr>
      <w:spacing w:before="0" w:after="0"/>
      <w:ind w:start="720"/>
      <w:contextualSpacing/>
    </w:pPr>
    <w:rPr/>
  </w:style>
  <w:style w:type="paragraph" w:styleId="ListBullet">
    <w:name w:val="List Bullet"/>
    <w:basedOn w:val="Normal"/>
    <w:link w:val="13"/>
    <w:uiPriority w:val="99"/>
    <w:unhideWhenUsed/>
    <w:rsid w:val="008279e8"/>
    <w:pPr>
      <w:numPr>
        <w:ilvl w:val="0"/>
        <w:numId w:val="7"/>
      </w:numPr>
      <w:spacing w:before="0" w:after="0"/>
      <w:contextualSpacing/>
    </w:pPr>
    <w:rPr/>
  </w:style>
  <w:style w:type="paragraph" w:styleId="Style28" w:customStyle="1">
    <w:name w:val="Обычный (тбл)"/>
    <w:basedOn w:val="Normal"/>
    <w:link w:val="Style19"/>
    <w:uiPriority w:val="99"/>
    <w:qFormat/>
    <w:rsid w:val="00046a0c"/>
    <w:pPr>
      <w:widowControl w:val="false"/>
      <w:spacing w:lineRule="atLeast" w:line="360" w:before="40" w:after="80"/>
      <w:ind w:hanging="0"/>
      <w:textAlignment w:val="baseline"/>
    </w:pPr>
    <w:rPr>
      <w:rFonts w:eastAsia="Times New Roman" w:cs="Times New Roman"/>
      <w:bCs/>
      <w:sz w:val="24"/>
      <w:szCs w:val="18"/>
      <w:lang w:eastAsia="ru-RU"/>
    </w:rPr>
  </w:style>
  <w:style w:type="paragraph" w:styleId="Revision">
    <w:name w:val="Revision"/>
    <w:uiPriority w:val="99"/>
    <w:semiHidden/>
    <w:qFormat/>
    <w:rsid w:val="00a702d4"/>
    <w:pPr>
      <w:widowControl/>
      <w:suppressAutoHyphens w:val="true"/>
      <w:bidi w:val="0"/>
      <w:spacing w:before="0" w:after="0"/>
      <w:ind w:hanging="0"/>
      <w:jc w:val="start"/>
    </w:pPr>
    <w:rPr>
      <w:rFonts w:ascii="Times New Roman" w:hAnsi="Times New Roman" w:eastAsia="Calibri" w:cs="Calibri" w:eastAsiaTheme="minorHAnsi"/>
      <w:color w:val="auto"/>
      <w:kern w:val="0"/>
      <w:sz w:val="28"/>
      <w:szCs w:val="28"/>
      <w:lang w:val="ru-RU" w:eastAsia="en-US" w:bidi="ar-SA"/>
    </w:rPr>
  </w:style>
  <w:style w:type="paragraph" w:styleId="ds-markdown-paragraph" w:customStyle="1">
    <w:name w:val="ds-markdown-paragraph"/>
    <w:basedOn w:val="Normal"/>
    <w:qFormat/>
    <w:rsid w:val="00632f1b"/>
    <w:pPr>
      <w:spacing w:beforeAutospacing="1" w:afterAutospacing="1"/>
      <w:ind w:hanging="0"/>
      <w:jc w:val="start"/>
    </w:pPr>
    <w:rPr>
      <w:rFonts w:eastAsia="Times New Roman" w:cs="Times New Roman"/>
      <w:sz w:val="24"/>
      <w:szCs w:val="24"/>
      <w:lang w:eastAsia="ru-RU"/>
    </w:rPr>
  </w:style>
  <w:style w:type="paragraph" w:styleId="NoSpacing">
    <w:name w:val="No Spacing"/>
    <w:uiPriority w:val="1"/>
    <w:qFormat/>
    <w:rsid w:val="009b21bd"/>
    <w:pPr>
      <w:widowControl/>
      <w:suppressAutoHyphens w:val="true"/>
      <w:bidi w:val="0"/>
      <w:spacing w:before="0" w:after="0"/>
      <w:ind w:firstLine="709"/>
      <w:jc w:val="both"/>
    </w:pPr>
    <w:rPr>
      <w:rFonts w:ascii="Times New Roman" w:hAnsi="Times New Roman" w:eastAsia="Calibri" w:cs="Calibri" w:eastAsiaTheme="minorHAnsi"/>
      <w:color w:val="auto"/>
      <w:kern w:val="0"/>
      <w:sz w:val="28"/>
      <w:szCs w:val="28"/>
      <w:lang w:val="ru-RU" w:eastAsia="en-US" w:bidi="ar-SA"/>
    </w:rPr>
  </w:style>
  <w:style w:type="paragraph" w:styleId="user5">
    <w:name w:val="Колонтитулы (user)"/>
    <w:basedOn w:val="Normal"/>
    <w:qFormat/>
    <w:pPr/>
    <w:rPr/>
  </w:style>
  <w:style w:type="paragraph" w:styleId="Style29">
    <w:name w:val="Колонтитулы"/>
    <w:basedOn w:val="Normal"/>
    <w:qFormat/>
    <w:pPr/>
    <w:rPr/>
  </w:style>
  <w:style w:type="paragraph" w:styleId="Header">
    <w:name w:val="header"/>
    <w:basedOn w:val="Normal"/>
    <w:link w:val="Style20"/>
    <w:uiPriority w:val="99"/>
    <w:unhideWhenUsed/>
    <w:rsid w:val="004f297c"/>
    <w:pPr>
      <w:tabs>
        <w:tab w:val="clear" w:pos="708"/>
        <w:tab w:val="center" w:pos="4677" w:leader="none"/>
        <w:tab w:val="right" w:pos="9355" w:leader="none"/>
      </w:tabs>
    </w:pPr>
    <w:rPr/>
  </w:style>
  <w:style w:type="paragraph" w:styleId="Footer">
    <w:name w:val="footer"/>
    <w:basedOn w:val="Normal"/>
    <w:link w:val="Style21"/>
    <w:uiPriority w:val="99"/>
    <w:unhideWhenUsed/>
    <w:rsid w:val="004f297c"/>
    <w:pPr>
      <w:tabs>
        <w:tab w:val="clear" w:pos="708"/>
        <w:tab w:val="center" w:pos="4677" w:leader="none"/>
        <w:tab w:val="right" w:pos="9355" w:leader="none"/>
      </w:tabs>
    </w:pPr>
    <w:rPr/>
  </w:style>
  <w:style w:type="paragraph" w:styleId="Style30" w:customStyle="1">
    <w:name w:val="Табл.Шапка"/>
    <w:basedOn w:val="Style28"/>
    <w:qFormat/>
    <w:rsid w:val="00665359"/>
    <w:pPr>
      <w:jc w:val="center"/>
    </w:pPr>
    <w:rPr>
      <w:b/>
    </w:rPr>
  </w:style>
  <w:style w:type="paragraph" w:styleId="Style31" w:customStyle="1">
    <w:name w:val="Обычный (тбл)центр"/>
    <w:basedOn w:val="Style28"/>
    <w:qFormat/>
    <w:rsid w:val="00665359"/>
    <w:pPr>
      <w:jc w:val="center"/>
    </w:pPr>
    <w:rPr/>
  </w:style>
  <w:style w:type="paragraph" w:styleId="--2" w:customStyle="1">
    <w:name w:val="Обычн-ТитЛист-наимен 2 часть"/>
    <w:basedOn w:val="Normal"/>
    <w:qFormat/>
    <w:rsid w:val="005459d7"/>
    <w:pPr>
      <w:spacing w:before="144" w:after="144"/>
      <w:ind w:hanging="0"/>
      <w:jc w:val="end"/>
    </w:pPr>
    <w:rPr>
      <w:b/>
      <w:bCs/>
    </w:rPr>
  </w:style>
  <w:style w:type="paragraph" w:styleId="Style32" w:customStyle="1">
    <w:name w:val="ИерархСписокОтчетов"/>
    <w:basedOn w:val="ListParagraph"/>
    <w:qFormat/>
    <w:rsid w:val="00f5076c"/>
    <w:pPr>
      <w:numPr>
        <w:ilvl w:val="1"/>
        <w:numId w:val="16"/>
      </w:numPr>
      <w:spacing w:before="12" w:after="12"/>
      <w:ind w:hanging="493" w:start="1275"/>
      <w:contextualSpacing/>
    </w:pPr>
    <w:rPr/>
  </w:style>
  <w:style w:type="paragraph" w:styleId="-2-" w:customStyle="1">
    <w:name w:val="Обычный-2-Приложений"/>
    <w:basedOn w:val="Normal"/>
    <w:qFormat/>
    <w:rsid w:val="00f5076c"/>
    <w:pPr>
      <w:spacing w:lineRule="auto" w:line="276" w:before="12" w:after="12"/>
      <w:ind w:hanging="0"/>
      <w:jc w:val="start"/>
    </w:pPr>
    <w:rPr>
      <w:lang w:eastAsia="ru-RU"/>
    </w:rPr>
  </w:style>
  <w:style w:type="paragraph" w:styleId="font-claude-response-body" w:customStyle="1">
    <w:name w:val="font-claude-response-body"/>
    <w:basedOn w:val="Normal"/>
    <w:qFormat/>
    <w:rsid w:val="00052e60"/>
    <w:pPr>
      <w:spacing w:beforeAutospacing="1" w:afterAutospacing="1"/>
      <w:ind w:hanging="0"/>
      <w:jc w:val="start"/>
    </w:pPr>
    <w:rPr>
      <w:rFonts w:eastAsia="Times New Roman" w:cs="Times New Roman"/>
      <w:sz w:val="24"/>
      <w:szCs w:val="24"/>
      <w:lang w:eastAsia="ru-RU"/>
    </w:rPr>
  </w:style>
  <w:style w:type="paragraph" w:styleId="msonormal" w:customStyle="1">
    <w:name w:val="msonormal"/>
    <w:basedOn w:val="Normal"/>
    <w:qFormat/>
    <w:rsid w:val="00001a60"/>
    <w:pPr>
      <w:spacing w:lineRule="auto" w:line="240" w:beforeAutospacing="1" w:afterAutospacing="1"/>
      <w:ind w:hanging="0"/>
      <w:jc w:val="start"/>
    </w:pPr>
    <w:rPr>
      <w:rFonts w:eastAsia="Times New Roman" w:cs="Times New Roman"/>
      <w:sz w:val="24"/>
      <w:szCs w:val="24"/>
      <w:lang w:eastAsia="ru-RU"/>
    </w:rPr>
  </w:style>
  <w:style w:type="paragraph" w:styleId="xl65" w:customStyle="1">
    <w:name w:val="xl65"/>
    <w:basedOn w:val="Normal"/>
    <w:qFormat/>
    <w:rsid w:val="00001a60"/>
    <w:pPr>
      <w:pBdr>
        <w:top w:val="single" w:sz="4" w:space="0" w:color="000000"/>
        <w:left w:val="single" w:sz="4" w:space="0" w:color="000000"/>
        <w:bottom w:val="single" w:sz="4" w:space="0" w:color="000000"/>
        <w:right w:val="single" w:sz="4" w:space="0" w:color="000000"/>
      </w:pBdr>
      <w:spacing w:lineRule="auto" w:line="240" w:beforeAutospacing="1" w:afterAutospacing="1"/>
      <w:ind w:hanging="0"/>
      <w:jc w:val="start"/>
    </w:pPr>
    <w:rPr>
      <w:rFonts w:ascii="Calibri" w:hAnsi="Calibri" w:eastAsia="Times New Roman"/>
      <w:sz w:val="24"/>
      <w:szCs w:val="24"/>
      <w:lang w:eastAsia="ru-RU"/>
    </w:rPr>
  </w:style>
  <w:style w:type="paragraph" w:styleId="xl66" w:customStyle="1">
    <w:name w:val="xl66"/>
    <w:basedOn w:val="Normal"/>
    <w:qFormat/>
    <w:rsid w:val="00001a60"/>
    <w:pPr>
      <w:spacing w:lineRule="auto" w:line="240" w:beforeAutospacing="1" w:afterAutospacing="1"/>
      <w:ind w:hanging="0"/>
      <w:jc w:val="start"/>
    </w:pPr>
    <w:rPr>
      <w:rFonts w:eastAsia="Times New Roman" w:cs="Times New Roman"/>
      <w:sz w:val="24"/>
      <w:szCs w:val="24"/>
      <w:lang w:eastAsia="ru-RU"/>
    </w:rPr>
  </w:style>
  <w:style w:type="paragraph" w:styleId="xl67" w:customStyle="1">
    <w:name w:val="xl67"/>
    <w:basedOn w:val="Normal"/>
    <w:qFormat/>
    <w:rsid w:val="00001a60"/>
    <w:pPr>
      <w:pBdr>
        <w:top w:val="single" w:sz="4" w:space="0" w:color="000000"/>
        <w:left w:val="single" w:sz="4" w:space="0" w:color="000000"/>
        <w:bottom w:val="single" w:sz="4" w:space="0" w:color="000000"/>
        <w:right w:val="single" w:sz="4" w:space="0" w:color="000000"/>
      </w:pBdr>
      <w:spacing w:lineRule="auto" w:line="240" w:beforeAutospacing="1" w:afterAutospacing="1"/>
      <w:ind w:hanging="0"/>
      <w:jc w:val="center"/>
      <w:textAlignment w:val="center"/>
    </w:pPr>
    <w:rPr>
      <w:rFonts w:ascii="Calibri" w:hAnsi="Calibri" w:eastAsia="Times New Roman"/>
      <w:b/>
      <w:bCs/>
      <w:color w:val="000000"/>
      <w:sz w:val="24"/>
      <w:szCs w:val="24"/>
      <w:lang w:eastAsia="ru-RU"/>
    </w:rPr>
  </w:style>
  <w:style w:type="paragraph" w:styleId="xl68" w:customStyle="1">
    <w:name w:val="xl68"/>
    <w:basedOn w:val="Normal"/>
    <w:qFormat/>
    <w:rsid w:val="00001a60"/>
    <w:pPr>
      <w:pBdr>
        <w:top w:val="single" w:sz="4" w:space="0" w:color="000000"/>
        <w:left w:val="single" w:sz="4" w:space="0" w:color="000000"/>
        <w:bottom w:val="single" w:sz="4" w:space="0" w:color="000000"/>
        <w:right w:val="single" w:sz="4" w:space="0" w:color="000000"/>
      </w:pBdr>
      <w:spacing w:lineRule="auto" w:line="240" w:beforeAutospacing="1" w:afterAutospacing="1"/>
      <w:ind w:hanging="0"/>
      <w:jc w:val="start"/>
    </w:pPr>
    <w:rPr>
      <w:rFonts w:ascii="Calibri" w:hAnsi="Calibri" w:eastAsia="Times New Roman"/>
      <w:sz w:val="24"/>
      <w:szCs w:val="24"/>
      <w:lang w:eastAsia="ru-RU"/>
    </w:rPr>
  </w:style>
  <w:style w:type="paragraph" w:styleId="xl69" w:customStyle="1">
    <w:name w:val="xl69"/>
    <w:basedOn w:val="Normal"/>
    <w:qFormat/>
    <w:rsid w:val="00001a60"/>
    <w:pPr>
      <w:pBdr>
        <w:top w:val="single" w:sz="4" w:space="0" w:color="000000"/>
        <w:left w:val="single" w:sz="4" w:space="0" w:color="000000"/>
        <w:bottom w:val="single" w:sz="4" w:space="0" w:color="000000"/>
        <w:right w:val="single" w:sz="4" w:space="0" w:color="000000"/>
      </w:pBdr>
      <w:spacing w:lineRule="auto" w:line="240" w:beforeAutospacing="1" w:afterAutospacing="1"/>
      <w:ind w:hanging="0"/>
      <w:jc w:val="start"/>
    </w:pPr>
    <w:rPr>
      <w:rFonts w:eastAsia="Times New Roman" w:cs="Times New Roman"/>
      <w:sz w:val="24"/>
      <w:szCs w:val="24"/>
      <w:lang w:eastAsia="ru-RU"/>
    </w:rPr>
  </w:style>
  <w:style w:type="paragraph" w:styleId="BalloonText">
    <w:name w:val="Balloon Text"/>
    <w:basedOn w:val="Normal"/>
    <w:link w:val="Style22"/>
    <w:uiPriority w:val="99"/>
    <w:semiHidden/>
    <w:unhideWhenUsed/>
    <w:qFormat/>
    <w:rsid w:val="001a0676"/>
    <w:pPr>
      <w:spacing w:lineRule="auto" w:line="240"/>
    </w:pPr>
    <w:rPr>
      <w:rFonts w:ascii="Segoe UI" w:hAnsi="Segoe UI" w:cs="Segoe UI"/>
      <w:sz w:val="18"/>
      <w:szCs w:val="18"/>
    </w:rPr>
  </w:style>
  <w:style w:type="numbering" w:styleId="user6" w:default="1">
    <w:name w:val="Без списка (user)"/>
    <w:uiPriority w:val="99"/>
    <w:semiHidden/>
    <w:unhideWhenUsed/>
    <w:qFormat/>
  </w:style>
  <w:style w:type="table" w:default="1" w:styleId="a3">
    <w:name w:val="Normal Table"/>
    <w:uiPriority w:val="99"/>
    <w:semiHidden/>
    <w:unhideWhenUsed/>
    <w:tblPr>
      <w:tblCellMar>
        <w:top w:w="0" w:type="dxa"/>
        <w:left w:w="108" w:type="dxa"/>
        <w:bottom w:w="0" w:type="dxa"/>
        <w:right w:w="108" w:type="dxa"/>
      </w:tblCellMar>
    </w:tblPr>
  </w:style>
  <w:style w:type="table" w:styleId="aa">
    <w:name w:val="Table Grid"/>
    <w:basedOn w:val="a3"/>
    <w:uiPriority w:val="59"/>
    <w:rsid w:val="00676623"/>
    <w:pPr>
      <w:spacing w:before="0" w:after="0"/>
      <w:jc w:val="left"/>
    </w:pPr>
    <w:rPr>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
    <w:name w:val="Сетка таблицы1"/>
    <w:basedOn w:val="a3"/>
    <w:uiPriority w:val="39"/>
    <w:rsid w:val="00084d99"/>
    <w:pPr>
      <w:spacing w:before="0" w:after="0"/>
      <w:jc w:val="left"/>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zakupki.gov.ru/epz/contract/contractCard/document-info.html?reestrNumber=2502413966723000013" TargetMode="External"/><Relationship Id="rId3" Type="http://schemas.openxmlformats.org/officeDocument/2006/relationships/hyperlink" Target="https://zakupki.gov.ru/epz/contract/search/results.html?searchString=&amp;orderNumber=0148200005525000008&amp;openMode=USE_DEFAULT_PARAMS" TargetMode="External"/><Relationship Id="rId4" Type="http://schemas.openxmlformats.org/officeDocument/2006/relationships/hyperlink" Target="https://zakupki.gov.ru/epz/contract/search/results.html?searchString=&amp;orderNumber=0148200005525000009&amp;openMode=USE_DEFAULT_PARAMS" TargetMode="External"/><Relationship Id="rId5" Type="http://schemas.openxmlformats.org/officeDocument/2006/relationships/hyperlink" Target="https://zakupki.gov.ru/epz/contract/search/results.html?searchString=&amp;orderNumber=0148200005525000012&amp;openMode=USE_DEFAULT_PARAMS" TargetMode="External"/><Relationship Id="rId6" Type="http://schemas.openxmlformats.org/officeDocument/2006/relationships/hyperlink" Target="https://zakupki.gov.ru/epz/contract/search/results.html?searchString=&amp;orderNumber=0148200005425000613&amp;openMode=USE_DEFAULT_PARAMS" TargetMode="External"/><Relationship Id="rId7" Type="http://schemas.openxmlformats.org/officeDocument/2006/relationships/hyperlink" Target="https://zakupki.gov.ru/epz/contract/contractCard/document-info.html?reestrNumber=2502413966726000001" TargetMode="External"/><Relationship Id="rId8" Type="http://schemas.openxmlformats.org/officeDocument/2006/relationships/hyperlink" Target="https://zakupki.gov.ru/epz/contract/contractCard/document-info.html?reestrNumber=2502413966726000002" TargetMode="Externa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glossaryDocument" Target="glossary/document.xml"/><Relationship Id="rId15"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E64EDFA318412DBDA9B48FEF4828EF"/>
        <w:category>
          <w:name w:val="Общие"/>
          <w:gallery w:val="placeholder"/>
        </w:category>
        <w:types>
          <w:type w:val="bbPlcHdr"/>
        </w:types>
        <w:behaviors>
          <w:behavior w:val="content"/>
        </w:behaviors>
        <w:guid w:val="{D6A31F66-A480-4504-894C-EA18D4B6E557}"/>
      </w:docPartPr>
      <w:docPartBody>
        <w:p w:rsidR="001E1A21" w:rsidRDefault="001E1A2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n-ea">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A21"/>
    <w:rsid w:val="00057F04"/>
    <w:rsid w:val="000801DD"/>
    <w:rsid w:val="00083FD2"/>
    <w:rsid w:val="000D468C"/>
    <w:rsid w:val="000F2ABD"/>
    <w:rsid w:val="00106E0A"/>
    <w:rsid w:val="00122323"/>
    <w:rsid w:val="001456FE"/>
    <w:rsid w:val="00173F79"/>
    <w:rsid w:val="00187491"/>
    <w:rsid w:val="001C6CA1"/>
    <w:rsid w:val="001E1A21"/>
    <w:rsid w:val="001F2E05"/>
    <w:rsid w:val="00213E5B"/>
    <w:rsid w:val="00252893"/>
    <w:rsid w:val="0026412C"/>
    <w:rsid w:val="00282B92"/>
    <w:rsid w:val="00282C32"/>
    <w:rsid w:val="0029376C"/>
    <w:rsid w:val="0029527F"/>
    <w:rsid w:val="002A7D11"/>
    <w:rsid w:val="003554F1"/>
    <w:rsid w:val="003A0283"/>
    <w:rsid w:val="003F0BE6"/>
    <w:rsid w:val="003F6639"/>
    <w:rsid w:val="0042347B"/>
    <w:rsid w:val="00435FED"/>
    <w:rsid w:val="00456520"/>
    <w:rsid w:val="00490AD4"/>
    <w:rsid w:val="0049596E"/>
    <w:rsid w:val="004E4789"/>
    <w:rsid w:val="00570D1B"/>
    <w:rsid w:val="0058171F"/>
    <w:rsid w:val="005B714F"/>
    <w:rsid w:val="005E7256"/>
    <w:rsid w:val="00607EF0"/>
    <w:rsid w:val="006A4D57"/>
    <w:rsid w:val="007767A6"/>
    <w:rsid w:val="007A477C"/>
    <w:rsid w:val="007B58C9"/>
    <w:rsid w:val="007C7004"/>
    <w:rsid w:val="007F736E"/>
    <w:rsid w:val="0085551B"/>
    <w:rsid w:val="00855DF8"/>
    <w:rsid w:val="008701E2"/>
    <w:rsid w:val="008705A5"/>
    <w:rsid w:val="00890A40"/>
    <w:rsid w:val="008A6C15"/>
    <w:rsid w:val="00984462"/>
    <w:rsid w:val="009D1FA3"/>
    <w:rsid w:val="009F4246"/>
    <w:rsid w:val="00A37BE3"/>
    <w:rsid w:val="00A479A7"/>
    <w:rsid w:val="00A87C55"/>
    <w:rsid w:val="00AD21B3"/>
    <w:rsid w:val="00AE0A22"/>
    <w:rsid w:val="00AE21CB"/>
    <w:rsid w:val="00B431FC"/>
    <w:rsid w:val="00B44167"/>
    <w:rsid w:val="00B71EEC"/>
    <w:rsid w:val="00B72225"/>
    <w:rsid w:val="00B76721"/>
    <w:rsid w:val="00B81E27"/>
    <w:rsid w:val="00BA1743"/>
    <w:rsid w:val="00BD3C38"/>
    <w:rsid w:val="00CB7BAC"/>
    <w:rsid w:val="00D31F54"/>
    <w:rsid w:val="00D333BC"/>
    <w:rsid w:val="00D410A9"/>
    <w:rsid w:val="00D53ABE"/>
    <w:rsid w:val="00D83545"/>
    <w:rsid w:val="00D90979"/>
    <w:rsid w:val="00DD6251"/>
    <w:rsid w:val="00E67D58"/>
    <w:rsid w:val="00E722C2"/>
    <w:rsid w:val="00EC2A99"/>
    <w:rsid w:val="00F57789"/>
    <w:rsid w:val="00F61151"/>
    <w:rsid w:val="00F70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AF29D-7E09-4E6D-84E5-2B28C46B5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Application>LibreOffice/25.8.7.3$Linux_X86_64 LibreOffice_project/30742500f2d3eb4366ac312fa33d3dcabdb3eba5</Application>
  <AppVersion>15.0000</AppVersion>
  <Pages>85</Pages>
  <Words>10310</Words>
  <Characters>74622</Characters>
  <CharactersWithSpaces>84248</CharactersWithSpaces>
  <Paragraphs>2244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2026-09-04T11:09:00Z</dcterms:created>
  <dc:creator/>
  <dc:description/>
  <dc:language>ru-RU</dc:language>
  <cp:lastModifiedBy/>
  <dcterms:modified xsi:type="dcterms:W3CDTF">2026-09-16T11:47:22Z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