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ind w:hanging="0"/>
        <w:jc w:val="end"/>
        <w:rPr>
          <w:b/>
          <w:sz w:val="20"/>
        </w:rPr>
      </w:pPr>
      <w:r>
        <w:rPr>
          <w:b/>
          <w:sz w:val="20"/>
        </w:rPr>
      </w:r>
    </w:p>
    <w:p>
      <w:pPr>
        <w:pStyle w:val="Normal"/>
        <w:spacing w:lineRule="auto" w:line="240"/>
        <w:ind w:hanging="0"/>
        <w:rPr>
          <w:b/>
          <w:sz w:val="20"/>
        </w:rPr>
      </w:pPr>
      <w:r>
        <w:rPr>
          <w:b/>
          <w:sz w:val="20"/>
        </w:rPr>
      </w:r>
    </w:p>
    <w:p>
      <w:pPr>
        <w:pStyle w:val="Normal"/>
        <w:spacing w:lineRule="auto" w:line="240"/>
        <w:ind w:hanging="1418" w:start="1418"/>
        <w:jc w:val="center"/>
        <w:rPr>
          <w:b/>
          <w:sz w:val="20"/>
        </w:rPr>
      </w:pPr>
      <w:r>
        <w:rPr>
          <w:b/>
          <w:sz w:val="20"/>
        </w:rPr>
        <w:t>Техническое задание</w:t>
      </w:r>
    </w:p>
    <w:p>
      <w:pPr>
        <w:pStyle w:val="Normal"/>
        <w:spacing w:lineRule="auto" w:line="240"/>
        <w:ind w:hanging="1418" w:start="1418"/>
        <w:jc w:val="center"/>
        <w:rPr>
          <w:b/>
          <w:sz w:val="20"/>
        </w:rPr>
      </w:pPr>
      <w:r>
        <w:rPr>
          <w:b/>
          <w:sz w:val="20"/>
        </w:rPr>
        <w:t>на оказание комплекса услуг по документальному и техническому сопровождению подсистемы криптографической защиты информации и системы виртуализации в рамках оказания комплексной информационно-коммуникационной услуги, обеспечивающей прием и обработку вызова экстренных оперативных служб по единому номеру «112» на территории Ставропольского края</w:t>
      </w:r>
    </w:p>
    <w:p>
      <w:pPr>
        <w:pStyle w:val="Normal"/>
        <w:spacing w:lineRule="auto" w:line="240"/>
        <w:ind w:hanging="1418" w:start="1418"/>
        <w:jc w:val="center"/>
        <w:rPr>
          <w:b/>
          <w:sz w:val="20"/>
        </w:rPr>
      </w:pPr>
      <w:r>
        <w:rPr>
          <w:b/>
          <w:sz w:val="20"/>
        </w:rPr>
      </w:r>
    </w:p>
    <w:p>
      <w:pPr>
        <w:pStyle w:val="Normal"/>
        <w:spacing w:lineRule="auto" w:line="240"/>
        <w:ind w:hanging="1418" w:start="1418"/>
        <w:jc w:val="center"/>
        <w:rPr>
          <w:b/>
          <w:sz w:val="20"/>
        </w:rPr>
      </w:pPr>
      <w:r>
        <w:rPr>
          <w:b/>
          <w:sz w:val="20"/>
        </w:rPr>
      </w:r>
    </w:p>
    <w:tbl>
      <w:tblPr>
        <w:tblW w:w="14562"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560"/>
        <w:gridCol w:w="4896"/>
        <w:gridCol w:w="3900"/>
        <w:gridCol w:w="2692"/>
        <w:gridCol w:w="1053"/>
        <w:gridCol w:w="1461"/>
      </w:tblGrid>
      <w:tr>
        <w:trPr/>
        <w:tc>
          <w:tcPr>
            <w:tcW w:w="56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10308" w:leader="none"/>
              </w:tabs>
              <w:spacing w:lineRule="auto" w:line="240"/>
              <w:ind w:hanging="0"/>
              <w:jc w:val="center"/>
              <w:rPr>
                <w:b/>
                <w:bCs/>
                <w:sz w:val="20"/>
              </w:rPr>
            </w:pPr>
            <w:r>
              <w:rPr>
                <w:b/>
                <w:bCs/>
                <w:sz w:val="20"/>
              </w:rPr>
            </w:r>
          </w:p>
          <w:p>
            <w:pPr>
              <w:pStyle w:val="Normal"/>
              <w:tabs>
                <w:tab w:val="clear" w:pos="709"/>
                <w:tab w:val="left" w:pos="10308" w:leader="none"/>
              </w:tabs>
              <w:spacing w:lineRule="auto" w:line="240"/>
              <w:ind w:hanging="0"/>
              <w:jc w:val="center"/>
              <w:rPr>
                <w:b/>
                <w:bCs/>
                <w:sz w:val="20"/>
              </w:rPr>
            </w:pPr>
            <w:r>
              <w:rPr>
                <w:b/>
                <w:bCs/>
                <w:sz w:val="20"/>
              </w:rPr>
              <w:t xml:space="preserve">№ </w:t>
            </w:r>
            <w:r>
              <w:rPr>
                <w:b/>
                <w:bCs/>
                <w:sz w:val="20"/>
              </w:rPr>
              <w:t>п/п</w:t>
            </w:r>
          </w:p>
        </w:tc>
        <w:tc>
          <w:tcPr>
            <w:tcW w:w="489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10308" w:leader="none"/>
              </w:tabs>
              <w:spacing w:lineRule="auto" w:line="240"/>
              <w:ind w:hanging="0"/>
              <w:jc w:val="center"/>
              <w:rPr>
                <w:b/>
                <w:bCs/>
                <w:sz w:val="20"/>
              </w:rPr>
            </w:pPr>
            <w:r>
              <w:rPr>
                <w:b/>
                <w:bCs/>
                <w:sz w:val="20"/>
              </w:rPr>
              <w:t>Наименование закупаемых товаров, услуг, работ, входящих в техническое задание</w:t>
            </w:r>
          </w:p>
        </w:tc>
        <w:tc>
          <w:tcPr>
            <w:tcW w:w="390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10308" w:leader="none"/>
              </w:tabs>
              <w:spacing w:lineRule="auto" w:line="240"/>
              <w:ind w:hanging="0"/>
              <w:jc w:val="center"/>
              <w:rPr>
                <w:b/>
                <w:bCs/>
                <w:sz w:val="20"/>
              </w:rPr>
            </w:pPr>
            <w:r>
              <w:rPr>
                <w:b/>
                <w:bCs/>
                <w:sz w:val="20"/>
              </w:rPr>
              <w:t>Требования, установленные к функциональным, техническим характеристикам закупаемых товаров, услуг, работ, входящих в техническое задание</w:t>
            </w:r>
          </w:p>
        </w:tc>
        <w:tc>
          <w:tcPr>
            <w:tcW w:w="269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10308" w:leader="none"/>
              </w:tabs>
              <w:spacing w:lineRule="auto" w:line="240"/>
              <w:ind w:hanging="0"/>
              <w:jc w:val="center"/>
              <w:rPr>
                <w:b/>
                <w:bCs/>
                <w:sz w:val="20"/>
              </w:rPr>
            </w:pPr>
            <w:r>
              <w:rPr>
                <w:b/>
                <w:bCs/>
                <w:sz w:val="20"/>
              </w:rPr>
              <w:t>Требования, установленные к качественным характеристикам закупаемых товаров, услуг, работ, входящих в техническое задание</w:t>
            </w:r>
          </w:p>
        </w:tc>
        <w:tc>
          <w:tcPr>
            <w:tcW w:w="105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10308" w:leader="none"/>
              </w:tabs>
              <w:spacing w:lineRule="auto" w:line="240"/>
              <w:ind w:hanging="0"/>
              <w:jc w:val="center"/>
              <w:rPr>
                <w:b/>
                <w:bCs/>
                <w:sz w:val="20"/>
              </w:rPr>
            </w:pPr>
            <w:r>
              <w:rPr>
                <w:b/>
                <w:bCs/>
                <w:sz w:val="20"/>
              </w:rPr>
              <w:t>Ед. изм.</w:t>
            </w:r>
          </w:p>
        </w:tc>
        <w:tc>
          <w:tcPr>
            <w:tcW w:w="146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10308" w:leader="none"/>
              </w:tabs>
              <w:spacing w:lineRule="auto" w:line="240"/>
              <w:ind w:hanging="0"/>
              <w:jc w:val="center"/>
              <w:rPr>
                <w:b/>
                <w:bCs/>
                <w:sz w:val="20"/>
              </w:rPr>
            </w:pPr>
            <w:r>
              <w:rPr>
                <w:b/>
                <w:bCs/>
                <w:sz w:val="20"/>
              </w:rPr>
              <w:t>Необходимый объем, количество</w:t>
            </w:r>
          </w:p>
        </w:tc>
      </w:tr>
      <w:tr>
        <w:trPr>
          <w:trHeight w:val="77" w:hRule="atLeast"/>
        </w:trPr>
        <w:tc>
          <w:tcPr>
            <w:tcW w:w="560"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b/>
                <w:bCs/>
                <w:sz w:val="20"/>
              </w:rPr>
            </w:pPr>
            <w:r>
              <w:rPr>
                <w:b/>
                <w:bCs/>
                <w:sz w:val="20"/>
              </w:rPr>
              <w:t>1</w:t>
            </w:r>
          </w:p>
        </w:tc>
        <w:tc>
          <w:tcPr>
            <w:tcW w:w="4896"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b/>
                <w:bCs/>
                <w:sz w:val="20"/>
              </w:rPr>
            </w:pPr>
            <w:r>
              <w:rPr>
                <w:b/>
                <w:bCs/>
                <w:sz w:val="20"/>
              </w:rPr>
              <w:t>2</w:t>
            </w:r>
          </w:p>
        </w:tc>
        <w:tc>
          <w:tcPr>
            <w:tcW w:w="3900"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b/>
                <w:bCs/>
                <w:sz w:val="20"/>
              </w:rPr>
            </w:pPr>
            <w:r>
              <w:rPr>
                <w:b/>
                <w:bCs/>
                <w:sz w:val="20"/>
              </w:rPr>
              <w:t>3</w:t>
            </w:r>
          </w:p>
        </w:tc>
        <w:tc>
          <w:tcPr>
            <w:tcW w:w="2692"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b/>
                <w:bCs/>
                <w:sz w:val="20"/>
              </w:rPr>
            </w:pPr>
            <w:r>
              <w:rPr>
                <w:b/>
                <w:bCs/>
                <w:sz w:val="20"/>
              </w:rPr>
              <w:t>4</w:t>
            </w:r>
          </w:p>
        </w:tc>
        <w:tc>
          <w:tcPr>
            <w:tcW w:w="1053"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b/>
                <w:bCs/>
                <w:sz w:val="20"/>
              </w:rPr>
            </w:pPr>
            <w:r>
              <w:rPr>
                <w:b/>
                <w:bCs/>
                <w:sz w:val="20"/>
              </w:rPr>
              <w:t>5</w:t>
            </w:r>
          </w:p>
        </w:tc>
        <w:tc>
          <w:tcPr>
            <w:tcW w:w="1461"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b/>
                <w:bCs/>
                <w:sz w:val="20"/>
              </w:rPr>
            </w:pPr>
            <w:r>
              <w:rPr>
                <w:b/>
                <w:bCs/>
                <w:sz w:val="20"/>
              </w:rPr>
              <w:t>6</w:t>
            </w:r>
          </w:p>
        </w:tc>
      </w:tr>
      <w:tr>
        <w:trPr/>
        <w:tc>
          <w:tcPr>
            <w:tcW w:w="560" w:type="dxa"/>
            <w:tcBorders>
              <w:top w:val="single" w:sz="4" w:space="0" w:color="000000"/>
              <w:start w:val="single" w:sz="4" w:space="0" w:color="000000"/>
              <w:bottom w:val="single" w:sz="4" w:space="0" w:color="000000"/>
              <w:end w:val="single" w:sz="4" w:space="0" w:color="000000"/>
            </w:tcBorders>
          </w:tcPr>
          <w:p>
            <w:pPr>
              <w:pStyle w:val="ListParagraph"/>
              <w:numPr>
                <w:ilvl w:val="0"/>
                <w:numId w:val="20"/>
              </w:numPr>
              <w:tabs>
                <w:tab w:val="clear" w:pos="709"/>
                <w:tab w:val="left" w:pos="10308" w:leader="none"/>
              </w:tabs>
              <w:spacing w:lineRule="auto" w:line="240"/>
              <w:ind w:hanging="0" w:start="57" w:end="-57"/>
              <w:jc w:val="center"/>
              <w:rPr>
                <w:sz w:val="20"/>
              </w:rPr>
            </w:pPr>
            <w:r>
              <w:rPr>
                <w:sz w:val="20"/>
              </w:rPr>
              <w:t>.</w:t>
            </w:r>
          </w:p>
        </w:tc>
        <w:tc>
          <w:tcPr>
            <w:tcW w:w="4896" w:type="dxa"/>
            <w:tcBorders>
              <w:top w:val="single" w:sz="4" w:space="0" w:color="000000"/>
              <w:start w:val="single" w:sz="4" w:space="0" w:color="000000"/>
              <w:bottom w:val="single" w:sz="4" w:space="0" w:color="000000"/>
              <w:end w:val="single" w:sz="4" w:space="0" w:color="000000"/>
            </w:tcBorders>
          </w:tcPr>
          <w:p>
            <w:pPr>
              <w:pStyle w:val="ListParagraph"/>
              <w:spacing w:lineRule="auto" w:line="240"/>
              <w:ind w:hanging="0" w:start="0"/>
              <w:jc w:val="center"/>
              <w:rPr>
                <w:sz w:val="20"/>
              </w:rPr>
            </w:pPr>
            <w:r>
              <w:rPr>
                <w:color w:themeColor="text1" w:val="000000"/>
                <w:sz w:val="20"/>
                <w:shd w:fill="FFFFFF" w:val="clear"/>
              </w:rPr>
              <w:t>Услуги органа криптографической защиты информации</w:t>
            </w:r>
          </w:p>
        </w:tc>
        <w:tc>
          <w:tcPr>
            <w:tcW w:w="3900"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В соответствии с Приложением № 1 к техническому заданию</w:t>
            </w:r>
          </w:p>
        </w:tc>
        <w:tc>
          <w:tcPr>
            <w:tcW w:w="2692"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В соответствии с Приложением № 1 к техническому заданию</w:t>
            </w:r>
          </w:p>
        </w:tc>
        <w:tc>
          <w:tcPr>
            <w:tcW w:w="1053"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Усл.ед.</w:t>
            </w:r>
          </w:p>
        </w:tc>
        <w:tc>
          <w:tcPr>
            <w:tcW w:w="1461"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lang w:val="en-US"/>
              </w:rPr>
              <w:t>3</w:t>
            </w:r>
          </w:p>
        </w:tc>
      </w:tr>
      <w:tr>
        <w:trPr/>
        <w:tc>
          <w:tcPr>
            <w:tcW w:w="560" w:type="dxa"/>
            <w:tcBorders>
              <w:top w:val="single" w:sz="4" w:space="0" w:color="000000"/>
              <w:start w:val="single" w:sz="4" w:space="0" w:color="000000"/>
              <w:bottom w:val="single" w:sz="4" w:space="0" w:color="000000"/>
              <w:end w:val="single" w:sz="4" w:space="0" w:color="000000"/>
            </w:tcBorders>
          </w:tcPr>
          <w:p>
            <w:pPr>
              <w:pStyle w:val="ListParagraph"/>
              <w:numPr>
                <w:ilvl w:val="0"/>
                <w:numId w:val="20"/>
              </w:numPr>
              <w:tabs>
                <w:tab w:val="clear" w:pos="709"/>
                <w:tab w:val="left" w:pos="10308" w:leader="none"/>
              </w:tabs>
              <w:spacing w:lineRule="auto" w:line="240"/>
              <w:ind w:hanging="0" w:start="57" w:end="-57"/>
              <w:jc w:val="center"/>
              <w:rPr>
                <w:sz w:val="20"/>
              </w:rPr>
            </w:pPr>
            <w:r>
              <w:rPr>
                <w:sz w:val="20"/>
              </w:rPr>
              <w:t>.</w:t>
            </w:r>
          </w:p>
        </w:tc>
        <w:tc>
          <w:tcPr>
            <w:tcW w:w="4896" w:type="dxa"/>
            <w:tcBorders>
              <w:top w:val="single" w:sz="4" w:space="0" w:color="000000"/>
              <w:start w:val="single" w:sz="4" w:space="0" w:color="000000"/>
              <w:bottom w:val="single" w:sz="4" w:space="0" w:color="000000"/>
              <w:end w:val="single" w:sz="4" w:space="0" w:color="000000"/>
            </w:tcBorders>
          </w:tcPr>
          <w:p>
            <w:pPr>
              <w:pStyle w:val="ListParagraph"/>
              <w:spacing w:lineRule="auto" w:line="240"/>
              <w:ind w:hanging="0" w:start="0"/>
              <w:jc w:val="center"/>
              <w:rPr>
                <w:sz w:val="20"/>
              </w:rPr>
            </w:pPr>
            <w:r>
              <w:rPr>
                <w:color w:themeColor="text1" w:val="000000"/>
                <w:sz w:val="20"/>
                <w:shd w:fill="FFFFFF" w:val="clear"/>
              </w:rPr>
              <w:t>Услуги по техническому сопровождению средств криптографической защиты информации</w:t>
            </w:r>
          </w:p>
        </w:tc>
        <w:tc>
          <w:tcPr>
            <w:tcW w:w="3900"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В соответствии с Приложением № 1 к техническому заданию</w:t>
            </w:r>
          </w:p>
        </w:tc>
        <w:tc>
          <w:tcPr>
            <w:tcW w:w="2692"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В соответствии с Приложением № 1 к техническому заданию</w:t>
            </w:r>
          </w:p>
        </w:tc>
        <w:tc>
          <w:tcPr>
            <w:tcW w:w="1053"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Усл.ед.</w:t>
            </w:r>
          </w:p>
        </w:tc>
        <w:tc>
          <w:tcPr>
            <w:tcW w:w="1461"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3</w:t>
            </w:r>
          </w:p>
        </w:tc>
      </w:tr>
      <w:tr>
        <w:trPr/>
        <w:tc>
          <w:tcPr>
            <w:tcW w:w="560" w:type="dxa"/>
            <w:tcBorders>
              <w:top w:val="single" w:sz="4" w:space="0" w:color="000000"/>
              <w:start w:val="single" w:sz="4" w:space="0" w:color="000000"/>
              <w:bottom w:val="single" w:sz="4" w:space="0" w:color="000000"/>
              <w:end w:val="single" w:sz="4" w:space="0" w:color="000000"/>
            </w:tcBorders>
          </w:tcPr>
          <w:p>
            <w:pPr>
              <w:pStyle w:val="ListParagraph"/>
              <w:numPr>
                <w:ilvl w:val="0"/>
                <w:numId w:val="20"/>
              </w:numPr>
              <w:tabs>
                <w:tab w:val="clear" w:pos="709"/>
                <w:tab w:val="left" w:pos="10308" w:leader="none"/>
              </w:tabs>
              <w:spacing w:lineRule="auto" w:line="240"/>
              <w:ind w:hanging="0" w:start="57" w:end="-57"/>
              <w:jc w:val="center"/>
              <w:rPr>
                <w:sz w:val="20"/>
              </w:rPr>
            </w:pPr>
            <w:r>
              <w:rPr>
                <w:sz w:val="20"/>
              </w:rPr>
              <w:t>.</w:t>
            </w:r>
          </w:p>
        </w:tc>
        <w:tc>
          <w:tcPr>
            <w:tcW w:w="4896" w:type="dxa"/>
            <w:tcBorders>
              <w:top w:val="single" w:sz="4" w:space="0" w:color="000000"/>
              <w:start w:val="single" w:sz="4" w:space="0" w:color="000000"/>
              <w:bottom w:val="single" w:sz="4" w:space="0" w:color="000000"/>
              <w:end w:val="single" w:sz="4" w:space="0" w:color="000000"/>
            </w:tcBorders>
          </w:tcPr>
          <w:p>
            <w:pPr>
              <w:pStyle w:val="ListParagraph"/>
              <w:spacing w:lineRule="auto" w:line="240"/>
              <w:ind w:hanging="0" w:start="0"/>
              <w:jc w:val="center"/>
              <w:rPr>
                <w:sz w:val="20"/>
              </w:rPr>
            </w:pPr>
            <w:r>
              <w:rPr>
                <w:color w:themeColor="text1" w:val="000000"/>
                <w:sz w:val="20"/>
                <w:shd w:fill="FFFFFF" w:val="clear"/>
              </w:rPr>
              <w:t>Техническое сопровождение системы виртуализации</w:t>
            </w:r>
          </w:p>
        </w:tc>
        <w:tc>
          <w:tcPr>
            <w:tcW w:w="3900"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В соответствии с Приложением № 1 к техническому заданию</w:t>
            </w:r>
          </w:p>
        </w:tc>
        <w:tc>
          <w:tcPr>
            <w:tcW w:w="2692"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В соответствии с Приложением № 1 к техническому заданию</w:t>
            </w:r>
          </w:p>
        </w:tc>
        <w:tc>
          <w:tcPr>
            <w:tcW w:w="1053"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Усл.ед.</w:t>
            </w:r>
          </w:p>
        </w:tc>
        <w:tc>
          <w:tcPr>
            <w:tcW w:w="1461"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10308" w:leader="none"/>
              </w:tabs>
              <w:spacing w:lineRule="auto" w:line="240"/>
              <w:ind w:hanging="0"/>
              <w:jc w:val="center"/>
              <w:rPr>
                <w:sz w:val="20"/>
              </w:rPr>
            </w:pPr>
            <w:r>
              <w:rPr>
                <w:color w:themeColor="text1" w:val="000000"/>
                <w:sz w:val="20"/>
              </w:rPr>
              <w:t>3</w:t>
            </w:r>
          </w:p>
        </w:tc>
      </w:tr>
    </w:tbl>
    <w:p>
      <w:pPr>
        <w:sectPr>
          <w:type w:val="nextPage"/>
          <w:pgSz w:orient="landscape" w:w="16838" w:h="11906"/>
          <w:pgMar w:left="709" w:right="567" w:gutter="0" w:header="0" w:top="851" w:footer="0" w:bottom="1418"/>
          <w:pgNumType w:fmt="decimal"/>
          <w:formProt w:val="false"/>
          <w:textDirection w:val="lrTb"/>
          <w:docGrid w:type="default" w:linePitch="100" w:charSpace="0"/>
        </w:sectPr>
      </w:pPr>
      <w:r>
        <w:br w:type="page"/>
      </w:r>
    </w:p>
    <w:p>
      <w:pPr>
        <w:pStyle w:val="Normal"/>
        <w:widowControl w:val="false"/>
        <w:shd w:val="clear" w:color="auto" w:fill="FFFFFF"/>
        <w:spacing w:lineRule="auto" w:line="240" w:before="0" w:after="0"/>
        <w:ind w:firstLine="709" w:start="6679" w:end="-144"/>
        <w:jc w:val="end"/>
        <w:rPr>
          <w:b/>
          <w:bCs/>
          <w:iCs/>
          <w:sz w:val="20"/>
        </w:rPr>
      </w:pPr>
      <w:r>
        <w:rPr>
          <w:b/>
          <w:bCs/>
          <w:iCs/>
          <w:sz w:val="20"/>
        </w:rPr>
        <w:t>Приложение № 1</w:t>
      </w:r>
    </w:p>
    <w:p>
      <w:pPr>
        <w:pStyle w:val="Normal"/>
        <w:widowControl w:val="false"/>
        <w:shd w:val="clear" w:color="auto" w:fill="FFFFFF"/>
        <w:spacing w:lineRule="auto" w:line="240"/>
        <w:ind w:firstLine="709" w:end="-144"/>
        <w:jc w:val="end"/>
        <w:rPr>
          <w:b/>
          <w:bCs/>
          <w:iCs/>
          <w:sz w:val="20"/>
        </w:rPr>
      </w:pPr>
      <w:r>
        <w:rPr>
          <w:b/>
          <w:bCs/>
          <w:iCs/>
          <w:sz w:val="20"/>
        </w:rPr>
        <w:t>к техническому заданию</w:t>
      </w:r>
    </w:p>
    <w:p>
      <w:pPr>
        <w:pStyle w:val="Normal"/>
        <w:widowControl w:val="false"/>
        <w:shd w:val="clear" w:color="auto" w:fill="FFFFFF"/>
        <w:spacing w:lineRule="auto" w:line="240"/>
        <w:ind w:firstLine="709" w:end="-144"/>
        <w:jc w:val="end"/>
        <w:rPr>
          <w:sz w:val="20"/>
        </w:rPr>
      </w:pPr>
      <w:r>
        <w:rPr>
          <w:sz w:val="20"/>
        </w:rPr>
      </w:r>
    </w:p>
    <w:p>
      <w:pPr>
        <w:pStyle w:val="Title"/>
        <w:rPr>
          <w:color w:val="auto"/>
          <w:sz w:val="20"/>
        </w:rPr>
      </w:pPr>
      <w:r>
        <w:rPr>
          <w:color w:val="auto"/>
          <w:sz w:val="20"/>
        </w:rPr>
        <w:t>Требования, установленные к качественным характеристикам закупаемых товаров, услуг, работ, входящих в техническое задание</w:t>
      </w:r>
    </w:p>
    <w:p>
      <w:pPr>
        <w:pStyle w:val="Heading1"/>
        <w:pageBreakBefore w:val="false"/>
        <w:numPr>
          <w:ilvl w:val="0"/>
          <w:numId w:val="6"/>
        </w:numPr>
        <w:tabs>
          <w:tab w:val="clear" w:pos="993"/>
        </w:tabs>
        <w:spacing w:lineRule="auto" w:line="240" w:before="0" w:after="0"/>
        <w:ind w:hanging="357" w:start="1066"/>
        <w:rPr>
          <w:color w:val="auto"/>
          <w:sz w:val="20"/>
        </w:rPr>
      </w:pPr>
      <w:r>
        <w:rPr>
          <w:color w:val="auto"/>
          <w:sz w:val="20"/>
        </w:rPr>
        <w:t>Перечень принятых сокращений и обозначений</w:t>
      </w:r>
    </w:p>
    <w:tbl>
      <w:tblPr>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2229"/>
        <w:gridCol w:w="388"/>
        <w:gridCol w:w="7870"/>
      </w:tblGrid>
      <w:tr>
        <w:trPr/>
        <w:tc>
          <w:tcPr>
            <w:tcW w:w="2229" w:type="dxa"/>
            <w:tcBorders/>
            <w:vAlign w:val="center"/>
          </w:tcPr>
          <w:p>
            <w:pPr>
              <w:pStyle w:val="NoSpacing"/>
              <w:ind w:start="-57" w:end="-57"/>
              <w:rPr>
                <w:color w:val="auto"/>
                <w:sz w:val="20"/>
              </w:rPr>
            </w:pPr>
            <w:r>
              <w:rPr>
                <w:color w:val="auto"/>
                <w:sz w:val="20"/>
              </w:rPr>
              <w:t>ПО</w:t>
            </w:r>
          </w:p>
        </w:tc>
        <w:tc>
          <w:tcPr>
            <w:tcW w:w="388" w:type="dxa"/>
            <w:tcBorders/>
          </w:tcPr>
          <w:p>
            <w:pPr>
              <w:pStyle w:val="NoSpacing"/>
              <w:ind w:start="-57" w:end="-57"/>
              <w:rPr>
                <w:color w:val="auto"/>
                <w:sz w:val="20"/>
              </w:rPr>
            </w:pPr>
            <w:r>
              <w:rPr>
                <w:color w:val="auto"/>
                <w:sz w:val="20"/>
              </w:rPr>
              <w:t>–</w:t>
            </w:r>
          </w:p>
        </w:tc>
        <w:tc>
          <w:tcPr>
            <w:tcW w:w="7870" w:type="dxa"/>
            <w:tcBorders/>
          </w:tcPr>
          <w:p>
            <w:pPr>
              <w:pStyle w:val="NoSpacing"/>
              <w:ind w:start="-57" w:end="-57"/>
              <w:rPr>
                <w:color w:val="auto"/>
                <w:sz w:val="20"/>
              </w:rPr>
            </w:pPr>
            <w:r>
              <w:rPr>
                <w:color w:val="auto"/>
                <w:sz w:val="20"/>
              </w:rPr>
              <w:t>программное обеспечение</w:t>
            </w:r>
          </w:p>
        </w:tc>
      </w:tr>
      <w:tr>
        <w:trPr/>
        <w:tc>
          <w:tcPr>
            <w:tcW w:w="2229" w:type="dxa"/>
            <w:tcBorders/>
            <w:vAlign w:val="center"/>
          </w:tcPr>
          <w:p>
            <w:pPr>
              <w:pStyle w:val="NoSpacing"/>
              <w:ind w:start="-57" w:end="-57"/>
              <w:rPr>
                <w:color w:val="auto"/>
                <w:sz w:val="20"/>
              </w:rPr>
            </w:pPr>
            <w:r>
              <w:rPr>
                <w:color w:val="auto"/>
                <w:sz w:val="20"/>
              </w:rPr>
              <w:t>СКЗИ</w:t>
            </w:r>
          </w:p>
        </w:tc>
        <w:tc>
          <w:tcPr>
            <w:tcW w:w="388" w:type="dxa"/>
            <w:tcBorders/>
          </w:tcPr>
          <w:p>
            <w:pPr>
              <w:pStyle w:val="NoSpacing"/>
              <w:ind w:start="-57" w:end="-57"/>
              <w:rPr>
                <w:color w:val="auto"/>
                <w:sz w:val="20"/>
              </w:rPr>
            </w:pPr>
            <w:r>
              <w:rPr>
                <w:color w:val="auto"/>
                <w:sz w:val="20"/>
              </w:rPr>
              <w:t>–</w:t>
            </w:r>
          </w:p>
        </w:tc>
        <w:tc>
          <w:tcPr>
            <w:tcW w:w="7870" w:type="dxa"/>
            <w:tcBorders/>
            <w:vAlign w:val="center"/>
          </w:tcPr>
          <w:p>
            <w:pPr>
              <w:pStyle w:val="NoSpacing"/>
              <w:ind w:start="-57" w:end="-57"/>
              <w:rPr>
                <w:color w:val="auto"/>
                <w:sz w:val="20"/>
              </w:rPr>
            </w:pPr>
            <w:r>
              <w:rPr>
                <w:color w:val="auto"/>
                <w:sz w:val="20"/>
              </w:rPr>
              <w:t>средство криптографической защиты информации.</w:t>
            </w:r>
          </w:p>
        </w:tc>
      </w:tr>
      <w:tr>
        <w:trPr/>
        <w:tc>
          <w:tcPr>
            <w:tcW w:w="2229" w:type="dxa"/>
            <w:tcBorders/>
            <w:vAlign w:val="center"/>
          </w:tcPr>
          <w:p>
            <w:pPr>
              <w:pStyle w:val="NoSpacing"/>
              <w:ind w:start="-57" w:end="-57"/>
              <w:rPr>
                <w:color w:val="auto"/>
                <w:sz w:val="20"/>
              </w:rPr>
            </w:pPr>
            <w:r>
              <w:rPr>
                <w:color w:val="auto"/>
                <w:sz w:val="20"/>
              </w:rPr>
              <w:t>ФСБ России</w:t>
            </w:r>
          </w:p>
        </w:tc>
        <w:tc>
          <w:tcPr>
            <w:tcW w:w="388" w:type="dxa"/>
            <w:tcBorders/>
          </w:tcPr>
          <w:p>
            <w:pPr>
              <w:pStyle w:val="NoSpacing"/>
              <w:ind w:start="-57" w:end="-57"/>
              <w:rPr>
                <w:color w:val="auto"/>
                <w:sz w:val="20"/>
              </w:rPr>
            </w:pPr>
            <w:r>
              <w:rPr>
                <w:color w:val="auto"/>
                <w:sz w:val="20"/>
              </w:rPr>
              <w:t>–</w:t>
            </w:r>
          </w:p>
        </w:tc>
        <w:tc>
          <w:tcPr>
            <w:tcW w:w="7870" w:type="dxa"/>
            <w:tcBorders/>
            <w:vAlign w:val="center"/>
          </w:tcPr>
          <w:p>
            <w:pPr>
              <w:pStyle w:val="NoSpacing"/>
              <w:ind w:start="-57" w:end="-57"/>
              <w:rPr>
                <w:color w:val="auto"/>
                <w:sz w:val="20"/>
              </w:rPr>
            </w:pPr>
            <w:r>
              <w:rPr>
                <w:color w:val="auto"/>
                <w:sz w:val="20"/>
              </w:rPr>
              <w:t>Федеральная служба безопасности Российской Федерации</w:t>
            </w:r>
          </w:p>
        </w:tc>
      </w:tr>
      <w:tr>
        <w:trPr/>
        <w:tc>
          <w:tcPr>
            <w:tcW w:w="2229" w:type="dxa"/>
            <w:tcBorders/>
            <w:vAlign w:val="center"/>
          </w:tcPr>
          <w:p>
            <w:pPr>
              <w:pStyle w:val="NoSpacing"/>
              <w:ind w:start="-57" w:end="-57"/>
              <w:rPr>
                <w:color w:val="auto"/>
                <w:sz w:val="20"/>
              </w:rPr>
            </w:pPr>
            <w:r>
              <w:rPr>
                <w:color w:val="auto"/>
                <w:sz w:val="20"/>
              </w:rPr>
              <w:t>ФСТЭК России</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Федеральная служба по техническому и экспортному контролю</w:t>
            </w:r>
          </w:p>
        </w:tc>
      </w:tr>
      <w:tr>
        <w:trPr>
          <w:trHeight w:val="87" w:hRule="atLeast"/>
        </w:trPr>
        <w:tc>
          <w:tcPr>
            <w:tcW w:w="2229" w:type="dxa"/>
            <w:tcBorders/>
          </w:tcPr>
          <w:p>
            <w:pPr>
              <w:pStyle w:val="NoSpacing"/>
              <w:ind w:start="-57" w:end="-57"/>
              <w:rPr>
                <w:color w:val="auto"/>
                <w:sz w:val="20"/>
              </w:rPr>
            </w:pPr>
            <w:r>
              <w:rPr>
                <w:color w:val="auto"/>
                <w:sz w:val="20"/>
              </w:rPr>
              <w:t>Час</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 xml:space="preserve">в данном документе часом называется рабочий час, если явно не указано иное </w:t>
            </w:r>
            <w:r>
              <w:rPr>
                <w:color w:val="auto"/>
                <w:sz w:val="20"/>
                <w:lang w:val="en-US"/>
              </w:rPr>
              <w:t>F</w:t>
            </w:r>
          </w:p>
        </w:tc>
      </w:tr>
      <w:tr>
        <w:trPr>
          <w:trHeight w:val="87" w:hRule="atLeast"/>
        </w:trPr>
        <w:tc>
          <w:tcPr>
            <w:tcW w:w="2229" w:type="dxa"/>
            <w:tcBorders/>
          </w:tcPr>
          <w:p>
            <w:pPr>
              <w:pStyle w:val="NoSpacing"/>
              <w:ind w:start="-57" w:end="-57"/>
              <w:rPr>
                <w:color w:val="auto"/>
                <w:sz w:val="20"/>
              </w:rPr>
            </w:pPr>
            <w:r>
              <w:rPr>
                <w:color w:val="auto"/>
                <w:sz w:val="20"/>
              </w:rPr>
              <w:t>День</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в данном документе днем называется рабочий день, если явно не указано иное</w:t>
            </w:r>
          </w:p>
        </w:tc>
      </w:tr>
      <w:tr>
        <w:trPr>
          <w:trHeight w:val="87" w:hRule="atLeast"/>
        </w:trPr>
        <w:tc>
          <w:tcPr>
            <w:tcW w:w="2229" w:type="dxa"/>
            <w:tcBorders/>
          </w:tcPr>
          <w:p>
            <w:pPr>
              <w:pStyle w:val="NoSpacing"/>
              <w:ind w:start="-57" w:end="-57"/>
              <w:rPr>
                <w:color w:val="auto"/>
                <w:sz w:val="20"/>
              </w:rPr>
            </w:pPr>
            <w:r>
              <w:rPr>
                <w:color w:val="auto"/>
                <w:sz w:val="20"/>
              </w:rPr>
              <w:t>Срок реакции</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измеряется как время между получением обращения от Инициатора об инциденте (либо с запросом на обслуживание), с одной стороны и началом работ по восстановлению работоспособности с другой. Отсчёт времени реакции ведется в пределах рабочего времени поддержки</w:t>
            </w:r>
          </w:p>
        </w:tc>
      </w:tr>
      <w:tr>
        <w:trPr>
          <w:trHeight w:val="87" w:hRule="atLeast"/>
        </w:trPr>
        <w:tc>
          <w:tcPr>
            <w:tcW w:w="2229" w:type="dxa"/>
            <w:tcBorders/>
          </w:tcPr>
          <w:p>
            <w:pPr>
              <w:pStyle w:val="NoSpacing"/>
              <w:ind w:start="-57" w:end="-57"/>
              <w:rPr>
                <w:color w:val="auto"/>
                <w:sz w:val="20"/>
              </w:rPr>
            </w:pPr>
            <w:r>
              <w:rPr>
                <w:color w:val="auto"/>
                <w:sz w:val="20"/>
              </w:rPr>
              <w:t>Срок устранения инцидента</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время от момента регистрации обращения до момента информирования пользователя о завершении работ по обращению</w:t>
            </w:r>
          </w:p>
        </w:tc>
      </w:tr>
      <w:tr>
        <w:trPr>
          <w:trHeight w:val="87" w:hRule="atLeast"/>
        </w:trPr>
        <w:tc>
          <w:tcPr>
            <w:tcW w:w="2229" w:type="dxa"/>
            <w:tcBorders/>
          </w:tcPr>
          <w:p>
            <w:pPr>
              <w:pStyle w:val="NoSpacing"/>
              <w:ind w:start="-57" w:end="-57"/>
              <w:rPr>
                <w:color w:val="auto"/>
                <w:sz w:val="20"/>
              </w:rPr>
            </w:pPr>
            <w:r>
              <w:rPr>
                <w:color w:val="auto"/>
                <w:sz w:val="20"/>
              </w:rPr>
              <w:t>Контрольные сроки</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согласованные показатели времени реакции и решения при обработке обращений Исполнителем</w:t>
            </w:r>
          </w:p>
        </w:tc>
      </w:tr>
      <w:tr>
        <w:trPr>
          <w:trHeight w:val="87" w:hRule="atLeast"/>
        </w:trPr>
        <w:tc>
          <w:tcPr>
            <w:tcW w:w="2229" w:type="dxa"/>
            <w:tcBorders/>
          </w:tcPr>
          <w:p>
            <w:pPr>
              <w:pStyle w:val="NoSpacing"/>
              <w:ind w:start="-57" w:end="-57"/>
              <w:rPr>
                <w:color w:val="auto"/>
                <w:sz w:val="20"/>
              </w:rPr>
            </w:pPr>
            <w:r>
              <w:rPr>
                <w:color w:val="auto"/>
                <w:sz w:val="20"/>
              </w:rPr>
              <w:t>Приоритет</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категория, используемая для определения относительной важности инцидента, проблемы или изменения</w:t>
            </w:r>
          </w:p>
        </w:tc>
      </w:tr>
      <w:tr>
        <w:trPr>
          <w:trHeight w:val="87" w:hRule="atLeast"/>
        </w:trPr>
        <w:tc>
          <w:tcPr>
            <w:tcW w:w="2229" w:type="dxa"/>
            <w:tcBorders/>
          </w:tcPr>
          <w:p>
            <w:pPr>
              <w:pStyle w:val="NoSpacing"/>
              <w:ind w:start="-57" w:end="-57"/>
              <w:rPr>
                <w:color w:val="auto"/>
                <w:sz w:val="20"/>
              </w:rPr>
            </w:pPr>
            <w:r>
              <w:rPr>
                <w:color w:val="auto"/>
                <w:sz w:val="20"/>
              </w:rPr>
              <w:t>Инициатор обращения</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пользователь Заказчика – лицо, пользующееся Услугами</w:t>
            </w:r>
          </w:p>
        </w:tc>
      </w:tr>
      <w:tr>
        <w:trPr>
          <w:trHeight w:val="87" w:hRule="atLeast"/>
        </w:trPr>
        <w:tc>
          <w:tcPr>
            <w:tcW w:w="2229" w:type="dxa"/>
            <w:tcBorders/>
          </w:tcPr>
          <w:p>
            <w:pPr>
              <w:pStyle w:val="NoSpacing"/>
              <w:ind w:start="-57" w:end="-57"/>
              <w:rPr>
                <w:color w:val="auto"/>
                <w:sz w:val="20"/>
              </w:rPr>
            </w:pPr>
            <w:r>
              <w:rPr>
                <w:color w:val="auto"/>
                <w:sz w:val="20"/>
              </w:rPr>
              <w:t>Инцидент</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незапланированное прерывание или снижение уровня качества оказания Услуг, в том числе нарушение работы средств защиты информации, которое не укладывается в рамки нормального функционирования средств защиты информации (выход из строя компонента; медленная работа; затруднение в использовании; неверное выполнение, невыполнение функциональных возможностей компонента защищённой сети)</w:t>
            </w:r>
          </w:p>
        </w:tc>
      </w:tr>
      <w:tr>
        <w:trPr>
          <w:trHeight w:val="87" w:hRule="atLeast"/>
        </w:trPr>
        <w:tc>
          <w:tcPr>
            <w:tcW w:w="2229" w:type="dxa"/>
            <w:tcBorders/>
          </w:tcPr>
          <w:p>
            <w:pPr>
              <w:pStyle w:val="NoSpacing"/>
              <w:ind w:start="-57" w:end="-57"/>
              <w:rPr>
                <w:color w:val="auto"/>
                <w:sz w:val="20"/>
              </w:rPr>
            </w:pPr>
            <w:r>
              <w:rPr>
                <w:color w:val="auto"/>
                <w:sz w:val="20"/>
              </w:rPr>
              <w:t>Запрос на обслуживание</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однотипные и стандартные изменения, для которых процедуры исполнения заранее определены, и которые обладают известным и приемлемым уровнем риска, без изменения существующего функционала конфигурации СКЗИ. К данному типу обращений также относятся запросы от пользователя на предоставление консультации</w:t>
            </w:r>
          </w:p>
        </w:tc>
      </w:tr>
      <w:tr>
        <w:trPr>
          <w:trHeight w:val="87" w:hRule="atLeast"/>
        </w:trPr>
        <w:tc>
          <w:tcPr>
            <w:tcW w:w="2229" w:type="dxa"/>
            <w:tcBorders/>
          </w:tcPr>
          <w:p>
            <w:pPr>
              <w:pStyle w:val="NoSpacing"/>
              <w:ind w:start="-57" w:end="-57"/>
              <w:rPr>
                <w:color w:val="auto"/>
                <w:sz w:val="20"/>
              </w:rPr>
            </w:pPr>
            <w:r>
              <w:rPr>
                <w:color w:val="auto"/>
                <w:sz w:val="20"/>
              </w:rPr>
              <w:t>Обработка обращения</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комплекс мероприятий, направленных на предоставление решения по Обращению</w:t>
            </w:r>
          </w:p>
        </w:tc>
      </w:tr>
      <w:tr>
        <w:trPr>
          <w:trHeight w:val="87" w:hRule="atLeast"/>
        </w:trPr>
        <w:tc>
          <w:tcPr>
            <w:tcW w:w="2229" w:type="dxa"/>
            <w:tcBorders/>
          </w:tcPr>
          <w:p>
            <w:pPr>
              <w:pStyle w:val="NoSpacing"/>
              <w:ind w:start="-57" w:end="-57"/>
              <w:rPr>
                <w:color w:val="auto"/>
                <w:sz w:val="20"/>
              </w:rPr>
            </w:pPr>
            <w:r>
              <w:rPr>
                <w:color w:val="auto"/>
                <w:sz w:val="20"/>
              </w:rPr>
              <w:t>Уполномоченный представитель Заказчика</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сотрудник, ответственный за организацию взаимодействия со стороны Заказчика, и уполномоченный на подписание технического акта сдачи-приёма услуг в рамках оказания услуг и технического акта сдачи-приёма услуг, согласованного с Заказчиком</w:t>
            </w:r>
          </w:p>
        </w:tc>
      </w:tr>
      <w:tr>
        <w:trPr>
          <w:trHeight w:val="87" w:hRule="atLeast"/>
        </w:trPr>
        <w:tc>
          <w:tcPr>
            <w:tcW w:w="2229" w:type="dxa"/>
            <w:tcBorders/>
          </w:tcPr>
          <w:p>
            <w:pPr>
              <w:pStyle w:val="NoSpacing"/>
              <w:ind w:start="-57" w:end="-57"/>
              <w:rPr>
                <w:color w:val="auto"/>
                <w:sz w:val="20"/>
              </w:rPr>
            </w:pPr>
            <w:r>
              <w:rPr>
                <w:color w:val="auto"/>
                <w:sz w:val="20"/>
              </w:rPr>
              <w:t>Обходное решение</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временное решение, позволяющее уменьшить или устранить влияния инцидента или проблемы, для которых в текущий момент недоступно полное разрешение</w:t>
            </w:r>
          </w:p>
        </w:tc>
      </w:tr>
      <w:tr>
        <w:trPr>
          <w:trHeight w:val="87" w:hRule="atLeast"/>
        </w:trPr>
        <w:tc>
          <w:tcPr>
            <w:tcW w:w="2229" w:type="dxa"/>
            <w:tcBorders/>
          </w:tcPr>
          <w:p>
            <w:pPr>
              <w:pStyle w:val="NoSpacing"/>
              <w:ind w:start="-57" w:end="-57"/>
              <w:rPr>
                <w:color w:val="auto"/>
                <w:sz w:val="20"/>
              </w:rPr>
            </w:pPr>
            <w:r>
              <w:rPr>
                <w:color w:val="auto"/>
                <w:sz w:val="20"/>
              </w:rPr>
              <w:t>ФЗ</w:t>
            </w:r>
          </w:p>
        </w:tc>
        <w:tc>
          <w:tcPr>
            <w:tcW w:w="388" w:type="dxa"/>
            <w:tcBorders/>
          </w:tcPr>
          <w:p>
            <w:pPr>
              <w:pStyle w:val="NoSpacing"/>
              <w:ind w:start="-57" w:end="-57"/>
              <w:jc w:val="both"/>
              <w:rPr>
                <w:color w:val="auto"/>
                <w:sz w:val="20"/>
              </w:rPr>
            </w:pPr>
            <w:r>
              <w:rPr>
                <w:color w:val="auto"/>
                <w:sz w:val="20"/>
              </w:rPr>
              <w:t>–</w:t>
            </w:r>
          </w:p>
        </w:tc>
        <w:tc>
          <w:tcPr>
            <w:tcW w:w="7870" w:type="dxa"/>
            <w:tcBorders/>
          </w:tcPr>
          <w:p>
            <w:pPr>
              <w:pStyle w:val="NoSpacing"/>
              <w:ind w:start="-57" w:end="-57"/>
              <w:jc w:val="both"/>
              <w:rPr>
                <w:color w:val="auto"/>
                <w:sz w:val="20"/>
              </w:rPr>
            </w:pPr>
            <w:r>
              <w:rPr>
                <w:color w:val="auto"/>
                <w:sz w:val="20"/>
              </w:rPr>
              <w:t>федеральный закон</w:t>
            </w:r>
          </w:p>
        </w:tc>
      </w:tr>
    </w:tbl>
    <w:p>
      <w:pPr>
        <w:pStyle w:val="Heading1"/>
        <w:pageBreakBefore w:val="false"/>
        <w:numPr>
          <w:ilvl w:val="0"/>
          <w:numId w:val="0"/>
        </w:numPr>
        <w:tabs>
          <w:tab w:val="clear" w:pos="993"/>
        </w:tabs>
        <w:spacing w:lineRule="auto" w:line="240" w:before="0" w:after="0"/>
        <w:ind w:hanging="0" w:start="1066"/>
        <w:rPr>
          <w:color w:val="auto"/>
          <w:sz w:val="20"/>
        </w:rPr>
      </w:pPr>
      <w:r>
        <w:rPr>
          <w:color w:val="auto"/>
          <w:sz w:val="20"/>
        </w:rPr>
      </w:r>
    </w:p>
    <w:p>
      <w:pPr>
        <w:pStyle w:val="Heading1"/>
        <w:pageBreakBefore w:val="false"/>
        <w:numPr>
          <w:ilvl w:val="0"/>
          <w:numId w:val="6"/>
        </w:numPr>
        <w:tabs>
          <w:tab w:val="clear" w:pos="993"/>
        </w:tabs>
        <w:spacing w:lineRule="auto" w:line="240" w:before="0" w:after="0"/>
        <w:ind w:hanging="357" w:start="1066"/>
        <w:rPr>
          <w:color w:val="auto"/>
          <w:sz w:val="20"/>
        </w:rPr>
      </w:pPr>
      <w:r>
        <w:rPr>
          <w:color w:val="auto"/>
          <w:sz w:val="20"/>
        </w:rPr>
        <w:t>Заказчик</w:t>
      </w:r>
    </w:p>
    <w:p>
      <w:pPr>
        <w:pStyle w:val="Normal"/>
        <w:spacing w:lineRule="auto" w:line="240"/>
        <w:rPr>
          <w:color w:val="auto"/>
          <w:sz w:val="20"/>
        </w:rPr>
      </w:pPr>
      <w:r>
        <w:rPr>
          <w:color w:val="auto"/>
          <w:sz w:val="20"/>
        </w:rPr>
        <w:t>Заказчиком услуг выступает Публичное акционерное общество «Ростелеком» (далее – Заказчик).</w:t>
      </w:r>
    </w:p>
    <w:p>
      <w:pPr>
        <w:pStyle w:val="Normal"/>
        <w:spacing w:lineRule="auto" w:line="240"/>
        <w:rPr>
          <w:color w:val="auto"/>
          <w:sz w:val="20"/>
        </w:rPr>
      </w:pPr>
      <w:r>
        <w:rPr>
          <w:color w:val="auto"/>
          <w:sz w:val="20"/>
        </w:rPr>
        <w:t xml:space="preserve">Адрес проведения работ: 355002, Ставропольский край, г. Ставрополь, ул. Мира, 290. </w:t>
      </w:r>
    </w:p>
    <w:p>
      <w:pPr>
        <w:pStyle w:val="Normal"/>
        <w:spacing w:lineRule="auto" w:line="240"/>
        <w:rPr>
          <w:color w:val="auto"/>
          <w:sz w:val="20"/>
        </w:rPr>
      </w:pPr>
      <w:r>
        <w:rPr>
          <w:color w:val="auto"/>
          <w:sz w:val="20"/>
        </w:rPr>
        <w:t>Данные уполномоченного представителя со стороны Заказчика предоставляются Исполнителю в течение 1 (одного) рабочего дня с даты заключения договора.</w:t>
      </w:r>
    </w:p>
    <w:p>
      <w:pPr>
        <w:pStyle w:val="Heading1"/>
        <w:pageBreakBefore w:val="false"/>
        <w:numPr>
          <w:ilvl w:val="0"/>
          <w:numId w:val="6"/>
        </w:numPr>
        <w:tabs>
          <w:tab w:val="clear" w:pos="993"/>
        </w:tabs>
        <w:spacing w:lineRule="auto" w:line="240" w:before="240" w:after="0"/>
        <w:ind w:hanging="357" w:start="1066"/>
        <w:rPr>
          <w:color w:val="auto"/>
          <w:sz w:val="20"/>
        </w:rPr>
      </w:pPr>
      <w:r>
        <w:rPr>
          <w:color w:val="auto"/>
          <w:sz w:val="20"/>
        </w:rPr>
        <w:t xml:space="preserve">Правовые основания для оказания услуги </w:t>
      </w:r>
    </w:p>
    <w:p>
      <w:pPr>
        <w:pStyle w:val="ListParagraph"/>
        <w:numPr>
          <w:ilvl w:val="0"/>
          <w:numId w:val="2"/>
        </w:numPr>
        <w:tabs>
          <w:tab w:val="clear" w:pos="709"/>
          <w:tab w:val="left" w:pos="992" w:leader="none"/>
        </w:tabs>
        <w:spacing w:lineRule="auto" w:line="240"/>
        <w:ind w:firstLine="709" w:start="0"/>
        <w:rPr>
          <w:color w:val="auto"/>
          <w:sz w:val="20"/>
        </w:rPr>
      </w:pPr>
      <w:r>
        <w:rPr>
          <w:color w:val="auto"/>
          <w:sz w:val="20"/>
        </w:rPr>
        <w:t>Федерального закона Российской Федерации от 27.07.2006 № 149-ФЗ «Об информации, информационных технологиях и о защите информации»;</w:t>
      </w:r>
    </w:p>
    <w:p>
      <w:pPr>
        <w:pStyle w:val="ListParagraph"/>
        <w:numPr>
          <w:ilvl w:val="0"/>
          <w:numId w:val="2"/>
        </w:numPr>
        <w:tabs>
          <w:tab w:val="clear" w:pos="709"/>
          <w:tab w:val="left" w:pos="992" w:leader="none"/>
        </w:tabs>
        <w:spacing w:lineRule="auto" w:line="240"/>
        <w:ind w:firstLine="709" w:start="0"/>
        <w:rPr>
          <w:color w:val="auto"/>
          <w:sz w:val="20"/>
        </w:rPr>
      </w:pPr>
      <w:r>
        <w:rPr>
          <w:color w:val="auto"/>
          <w:sz w:val="20"/>
        </w:rPr>
        <w:t>Федеральный закон от 27 июля 2006 г. № 152-ФЗ «О персональных данных»;</w:t>
      </w:r>
    </w:p>
    <w:p>
      <w:pPr>
        <w:pStyle w:val="ListParagraph"/>
        <w:numPr>
          <w:ilvl w:val="0"/>
          <w:numId w:val="2"/>
        </w:numPr>
        <w:tabs>
          <w:tab w:val="clear" w:pos="709"/>
          <w:tab w:val="left" w:pos="992" w:leader="none"/>
        </w:tabs>
        <w:spacing w:lineRule="auto" w:line="240"/>
        <w:ind w:firstLine="709" w:start="0"/>
        <w:rPr>
          <w:color w:val="auto"/>
          <w:sz w:val="20"/>
        </w:rPr>
      </w:pPr>
      <w:r>
        <w:rPr>
          <w:sz w:val="20"/>
        </w:rPr>
        <w:t>Приказ ФАПСИ от 13 июня 2001 г. № 152 «Об утверждении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w:t>
      </w:r>
    </w:p>
    <w:p>
      <w:pPr>
        <w:pStyle w:val="ListParagraph"/>
        <w:numPr>
          <w:ilvl w:val="0"/>
          <w:numId w:val="2"/>
        </w:numPr>
        <w:tabs>
          <w:tab w:val="clear" w:pos="709"/>
          <w:tab w:val="left" w:pos="992" w:leader="none"/>
        </w:tabs>
        <w:spacing w:lineRule="auto" w:line="240"/>
        <w:ind w:firstLine="709" w:start="0"/>
        <w:rPr>
          <w:color w:val="auto"/>
          <w:sz w:val="20"/>
        </w:rPr>
      </w:pPr>
      <w:r>
        <w:rPr>
          <w:color w:val="auto"/>
          <w:sz w:val="20"/>
        </w:rPr>
        <w:t>Постановления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pPr>
        <w:pStyle w:val="ListParagraph"/>
        <w:numPr>
          <w:ilvl w:val="0"/>
          <w:numId w:val="2"/>
        </w:numPr>
        <w:tabs>
          <w:tab w:val="clear" w:pos="709"/>
          <w:tab w:val="left" w:pos="992" w:leader="none"/>
        </w:tabs>
        <w:spacing w:lineRule="auto" w:line="240"/>
        <w:ind w:firstLine="709" w:start="0"/>
        <w:rPr>
          <w:color w:val="auto"/>
          <w:sz w:val="20"/>
        </w:rPr>
      </w:pPr>
      <w:r>
        <w:rPr>
          <w:color w:val="auto"/>
          <w:sz w:val="20"/>
        </w:rPr>
        <w:t>Приказа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защищённости».</w:t>
      </w:r>
    </w:p>
    <w:p>
      <w:pPr>
        <w:pStyle w:val="Heading1"/>
        <w:pageBreakBefore w:val="false"/>
        <w:numPr>
          <w:ilvl w:val="0"/>
          <w:numId w:val="6"/>
        </w:numPr>
        <w:tabs>
          <w:tab w:val="clear" w:pos="993"/>
        </w:tabs>
        <w:spacing w:lineRule="auto" w:line="240" w:before="240" w:after="0"/>
        <w:ind w:hanging="357" w:start="1066"/>
        <w:rPr>
          <w:color w:val="auto"/>
          <w:sz w:val="20"/>
        </w:rPr>
      </w:pPr>
      <w:r>
        <w:rPr>
          <w:color w:val="auto"/>
          <w:sz w:val="20"/>
        </w:rPr>
        <w:t>Состав оказываемых услуг</w:t>
      </w:r>
    </w:p>
    <w:p>
      <w:pPr>
        <w:pStyle w:val="Normal"/>
        <w:suppressAutoHyphens w:val="true"/>
        <w:spacing w:lineRule="auto" w:line="240"/>
        <w:rPr>
          <w:sz w:val="20"/>
        </w:rPr>
      </w:pPr>
      <w:r>
        <w:rPr>
          <w:sz w:val="20"/>
        </w:rPr>
        <w:t>Оказание комплекса услуг по документальному и техническому сопровождению включает в себя следующие работы:</w:t>
      </w:r>
    </w:p>
    <w:p>
      <w:pPr>
        <w:pStyle w:val="Normal"/>
        <w:numPr>
          <w:ilvl w:val="0"/>
          <w:numId w:val="19"/>
        </w:numPr>
        <w:tabs>
          <w:tab w:val="clear" w:pos="709"/>
          <w:tab w:val="left" w:pos="992" w:leader="none"/>
        </w:tabs>
        <w:suppressAutoHyphens w:val="true"/>
        <w:spacing w:lineRule="auto" w:line="240"/>
        <w:ind w:firstLine="709" w:start="0"/>
        <w:rPr>
          <w:sz w:val="20"/>
        </w:rPr>
      </w:pPr>
      <w:r>
        <w:rPr>
          <w:sz w:val="20"/>
        </w:rPr>
        <w:t>Услуги органа криптографической защиты информации;</w:t>
      </w:r>
    </w:p>
    <w:p>
      <w:pPr>
        <w:pStyle w:val="Normal"/>
        <w:numPr>
          <w:ilvl w:val="0"/>
          <w:numId w:val="19"/>
        </w:numPr>
        <w:tabs>
          <w:tab w:val="clear" w:pos="709"/>
          <w:tab w:val="left" w:pos="992" w:leader="none"/>
        </w:tabs>
        <w:suppressAutoHyphens w:val="true"/>
        <w:spacing w:lineRule="auto" w:line="240"/>
        <w:ind w:firstLine="709" w:start="0"/>
        <w:rPr>
          <w:sz w:val="20"/>
        </w:rPr>
      </w:pPr>
      <w:r>
        <w:rPr>
          <w:sz w:val="20"/>
        </w:rPr>
        <w:t>Услуги по техническому сопровождению средств криптографической защиты информации;</w:t>
      </w:r>
    </w:p>
    <w:p>
      <w:pPr>
        <w:pStyle w:val="Normal"/>
        <w:numPr>
          <w:ilvl w:val="0"/>
          <w:numId w:val="19"/>
        </w:numPr>
        <w:tabs>
          <w:tab w:val="clear" w:pos="709"/>
          <w:tab w:val="left" w:pos="992" w:leader="none"/>
        </w:tabs>
        <w:suppressAutoHyphens w:val="true"/>
        <w:spacing w:lineRule="auto" w:line="240"/>
        <w:ind w:firstLine="709" w:start="0"/>
        <w:rPr>
          <w:sz w:val="20"/>
        </w:rPr>
      </w:pPr>
      <w:r>
        <w:rPr>
          <w:sz w:val="20"/>
        </w:rPr>
        <w:t>Техническое сопровождение системы виртуализации.</w:t>
      </w:r>
    </w:p>
    <w:p>
      <w:pPr>
        <w:pStyle w:val="Heading1"/>
        <w:pageBreakBefore w:val="false"/>
        <w:numPr>
          <w:ilvl w:val="0"/>
          <w:numId w:val="6"/>
        </w:numPr>
        <w:tabs>
          <w:tab w:val="clear" w:pos="993"/>
        </w:tabs>
        <w:spacing w:lineRule="auto" w:line="240" w:before="240" w:after="0"/>
        <w:ind w:hanging="357" w:start="1066"/>
        <w:rPr>
          <w:color w:val="auto"/>
          <w:sz w:val="20"/>
        </w:rPr>
      </w:pPr>
      <w:r>
        <w:rPr>
          <w:color w:val="auto"/>
          <w:sz w:val="20"/>
        </w:rPr>
        <w:t>Период оказания услуг</w:t>
      </w:r>
    </w:p>
    <w:p>
      <w:pPr>
        <w:pStyle w:val="Normal"/>
        <w:spacing w:lineRule="auto" w:line="240"/>
        <w:rPr>
          <w:color w:val="auto"/>
          <w:sz w:val="20"/>
        </w:rPr>
      </w:pPr>
      <w:r>
        <w:rPr>
          <w:color w:val="auto"/>
          <w:sz w:val="20"/>
        </w:rPr>
        <w:t xml:space="preserve">Услуги по документальному и техническому сопровождению оказываются </w:t>
      </w:r>
      <w:r>
        <w:rPr>
          <w:color w:val="auto"/>
          <w:sz w:val="20"/>
          <w:shd w:fill="auto" w:val="clear"/>
        </w:rPr>
        <w:t>с даты заключения Договора по 31.12.2026 г.</w:t>
      </w:r>
    </w:p>
    <w:p>
      <w:pPr>
        <w:pStyle w:val="Heading1"/>
        <w:pageBreakBefore w:val="false"/>
        <w:numPr>
          <w:ilvl w:val="0"/>
          <w:numId w:val="6"/>
        </w:numPr>
        <w:tabs>
          <w:tab w:val="clear" w:pos="993"/>
        </w:tabs>
        <w:spacing w:lineRule="auto" w:line="240" w:before="240" w:after="0"/>
        <w:ind w:hanging="357" w:start="1066"/>
        <w:rPr>
          <w:color w:val="auto"/>
          <w:sz w:val="20"/>
        </w:rPr>
      </w:pPr>
      <w:bookmarkStart w:id="0" w:name="_Ref188881791"/>
      <w:r>
        <w:rPr>
          <w:color w:val="auto"/>
          <w:sz w:val="20"/>
        </w:rPr>
        <w:t>Исходные данные об объекте информатизации Заказчика</w:t>
      </w:r>
      <w:bookmarkEnd w:id="0"/>
    </w:p>
    <w:p>
      <w:pPr>
        <w:pStyle w:val="Normal"/>
        <w:spacing w:lineRule="auto" w:line="240"/>
        <w:rPr>
          <w:color w:val="auto"/>
          <w:sz w:val="20"/>
        </w:rPr>
      </w:pPr>
      <w:r>
        <w:rPr>
          <w:color w:val="auto"/>
          <w:sz w:val="20"/>
        </w:rPr>
        <w:t>Техническая составляющая защищённой сети ViPNet Заказчика представляет собой совокупность программного и программно-аппаратного обеспечения, обеспечивающего доступ пользователей Заказчика к информационным ресурсам, и состоит из следующих подсистем:</w:t>
      </w:r>
    </w:p>
    <w:p>
      <w:pPr>
        <w:pStyle w:val="ListParagraph"/>
        <w:numPr>
          <w:ilvl w:val="0"/>
          <w:numId w:val="15"/>
        </w:numPr>
        <w:spacing w:lineRule="auto" w:line="240"/>
        <w:ind w:hanging="357" w:start="924"/>
        <w:rPr>
          <w:color w:val="auto"/>
          <w:sz w:val="20"/>
        </w:rPr>
      </w:pPr>
      <w:r>
        <w:rPr>
          <w:color w:val="auto"/>
          <w:sz w:val="20"/>
        </w:rPr>
        <w:t>подсистема криптографической защиты информации организована на базе защищённой сети ViPNet № 1697 и включает в себя:</w:t>
      </w:r>
    </w:p>
    <w:p>
      <w:pPr>
        <w:pStyle w:val="ListParagraph"/>
        <w:numPr>
          <w:ilvl w:val="0"/>
          <w:numId w:val="15"/>
        </w:numPr>
        <w:suppressAutoHyphens w:val="true"/>
        <w:spacing w:lineRule="auto" w:line="240"/>
        <w:rPr>
          <w:bCs/>
          <w:sz w:val="20"/>
          <w:lang w:val="en-US"/>
        </w:rPr>
      </w:pPr>
      <w:r>
        <w:rPr>
          <w:bCs/>
          <w:sz w:val="20"/>
        </w:rPr>
        <w:t>ПО</w:t>
      </w:r>
      <w:r>
        <w:rPr>
          <w:bCs/>
          <w:sz w:val="20"/>
          <w:lang w:val="en-US"/>
        </w:rPr>
        <w:t xml:space="preserve"> ViPNet Administrator 4.x (</w:t>
      </w:r>
      <w:r>
        <w:rPr>
          <w:bCs/>
          <w:sz w:val="20"/>
        </w:rPr>
        <w:t>КС</w:t>
      </w:r>
      <w:r>
        <w:rPr>
          <w:bCs/>
          <w:sz w:val="20"/>
          <w:lang w:val="en-US"/>
        </w:rPr>
        <w:t xml:space="preserve">3) – 1 </w:t>
      </w:r>
      <w:r>
        <w:rPr>
          <w:bCs/>
          <w:sz w:val="20"/>
        </w:rPr>
        <w:t>ед</w:t>
      </w:r>
      <w:r>
        <w:rPr>
          <w:bCs/>
          <w:sz w:val="20"/>
          <w:lang w:val="en-US"/>
        </w:rPr>
        <w:t>.;</w:t>
      </w:r>
    </w:p>
    <w:p>
      <w:pPr>
        <w:pStyle w:val="ListParagraph"/>
        <w:numPr>
          <w:ilvl w:val="0"/>
          <w:numId w:val="15"/>
        </w:numPr>
        <w:suppressAutoHyphens w:val="true"/>
        <w:spacing w:lineRule="auto" w:line="240"/>
        <w:rPr>
          <w:bCs/>
          <w:sz w:val="20"/>
          <w:lang w:val="en-US"/>
        </w:rPr>
      </w:pPr>
      <w:r>
        <w:rPr>
          <w:bCs/>
          <w:sz w:val="20"/>
        </w:rPr>
        <w:t>ПО</w:t>
      </w:r>
      <w:r>
        <w:rPr>
          <w:bCs/>
          <w:sz w:val="20"/>
          <w:lang w:val="en-US"/>
        </w:rPr>
        <w:t xml:space="preserve"> ViPNet Client for Windows 4.x (</w:t>
      </w:r>
      <w:r>
        <w:rPr>
          <w:bCs/>
          <w:sz w:val="20"/>
        </w:rPr>
        <w:t>КС</w:t>
      </w:r>
      <w:r>
        <w:rPr>
          <w:bCs/>
          <w:sz w:val="20"/>
          <w:lang w:val="en-US"/>
        </w:rPr>
        <w:t xml:space="preserve">3) – 15 </w:t>
      </w:r>
      <w:r>
        <w:rPr>
          <w:bCs/>
          <w:sz w:val="20"/>
        </w:rPr>
        <w:t>ед</w:t>
      </w:r>
      <w:r>
        <w:rPr>
          <w:bCs/>
          <w:sz w:val="20"/>
          <w:lang w:val="en-US"/>
        </w:rPr>
        <w:t>.;</w:t>
      </w:r>
    </w:p>
    <w:p>
      <w:pPr>
        <w:pStyle w:val="ListParagraph"/>
        <w:numPr>
          <w:ilvl w:val="0"/>
          <w:numId w:val="15"/>
        </w:numPr>
        <w:suppressAutoHyphens w:val="true"/>
        <w:spacing w:lineRule="auto" w:line="240"/>
        <w:rPr>
          <w:bCs/>
          <w:sz w:val="20"/>
          <w:lang w:val="en-US"/>
        </w:rPr>
      </w:pPr>
      <w:r>
        <w:rPr>
          <w:bCs/>
          <w:sz w:val="20"/>
        </w:rPr>
        <w:t>ПАК</w:t>
      </w:r>
      <w:r>
        <w:rPr>
          <w:bCs/>
          <w:sz w:val="20"/>
          <w:lang w:val="en-US"/>
        </w:rPr>
        <w:t xml:space="preserve"> ViPNet Coordinator HW1000 – 42 </w:t>
      </w:r>
      <w:r>
        <w:rPr>
          <w:bCs/>
          <w:sz w:val="20"/>
        </w:rPr>
        <w:t>ед</w:t>
      </w:r>
      <w:r>
        <w:rPr>
          <w:bCs/>
          <w:sz w:val="20"/>
          <w:lang w:val="en-US"/>
        </w:rPr>
        <w:t>.;</w:t>
      </w:r>
    </w:p>
    <w:p>
      <w:pPr>
        <w:pStyle w:val="ListParagraph"/>
        <w:numPr>
          <w:ilvl w:val="0"/>
          <w:numId w:val="15"/>
        </w:numPr>
        <w:suppressAutoHyphens w:val="true"/>
        <w:spacing w:lineRule="auto" w:line="240"/>
        <w:rPr>
          <w:bCs/>
          <w:sz w:val="20"/>
          <w:lang w:val="en-US"/>
        </w:rPr>
      </w:pPr>
      <w:r>
        <w:rPr>
          <w:bCs/>
          <w:sz w:val="20"/>
        </w:rPr>
        <w:t>ПАК</w:t>
      </w:r>
      <w:r>
        <w:rPr>
          <w:bCs/>
          <w:sz w:val="20"/>
          <w:lang w:val="en-US"/>
        </w:rPr>
        <w:t xml:space="preserve"> ViPNet Coordinator HW100 C – 139 </w:t>
      </w:r>
      <w:r>
        <w:rPr>
          <w:bCs/>
          <w:sz w:val="20"/>
        </w:rPr>
        <w:t>ед</w:t>
      </w:r>
      <w:r>
        <w:rPr>
          <w:bCs/>
          <w:sz w:val="20"/>
          <w:lang w:val="en-US"/>
        </w:rPr>
        <w:t>.;</w:t>
      </w:r>
    </w:p>
    <w:p>
      <w:pPr>
        <w:pStyle w:val="ListParagraph"/>
        <w:numPr>
          <w:ilvl w:val="0"/>
          <w:numId w:val="15"/>
        </w:numPr>
        <w:suppressAutoHyphens w:val="true"/>
        <w:spacing w:lineRule="auto" w:line="240"/>
        <w:rPr>
          <w:sz w:val="20"/>
          <w:lang w:val="en-US"/>
        </w:rPr>
      </w:pPr>
      <w:r>
        <w:rPr>
          <w:sz w:val="20"/>
        </w:rPr>
        <w:t>ПО</w:t>
      </w:r>
      <w:r>
        <w:rPr>
          <w:sz w:val="20"/>
          <w:lang w:val="en-US"/>
        </w:rPr>
        <w:t xml:space="preserve"> ViPNet Client for Linux – 1 </w:t>
      </w:r>
      <w:r>
        <w:rPr>
          <w:sz w:val="20"/>
        </w:rPr>
        <w:t>ед</w:t>
      </w:r>
      <w:r>
        <w:rPr>
          <w:sz w:val="20"/>
          <w:lang w:val="en-US"/>
        </w:rPr>
        <w:t>.</w:t>
      </w:r>
    </w:p>
    <w:p>
      <w:pPr>
        <w:pStyle w:val="Normal"/>
        <w:suppressAutoHyphens w:val="true"/>
        <w:spacing w:lineRule="auto" w:line="240"/>
        <w:ind w:hanging="0" w:start="1069"/>
        <w:rPr>
          <w:bCs/>
          <w:sz w:val="20"/>
        </w:rPr>
      </w:pPr>
      <w:r>
        <w:rPr>
          <w:bCs/>
          <w:sz w:val="20"/>
        </w:rPr>
        <w:t>В составе КЦОД функционируют:</w:t>
      </w:r>
    </w:p>
    <w:p>
      <w:pPr>
        <w:pStyle w:val="ListParagraph"/>
        <w:numPr>
          <w:ilvl w:val="0"/>
          <w:numId w:val="21"/>
        </w:numPr>
        <w:suppressAutoHyphens w:val="true"/>
        <w:spacing w:lineRule="auto" w:line="240"/>
        <w:rPr>
          <w:bCs/>
          <w:sz w:val="20"/>
        </w:rPr>
      </w:pPr>
      <w:r>
        <w:rPr>
          <w:bCs/>
          <w:sz w:val="20"/>
        </w:rPr>
        <w:t>серверный зал (г.Ставрополь, ул. Мира, 290 здание коммерческого ЦОД, ТКШ10) с комплексом вычислительных средств, средств хранения данных и систем виртуализации (физический сервер DEPO Storm 3500A2R – 3 шт., среда виртуализации Numa vServer.)</w:t>
      </w:r>
    </w:p>
    <w:p>
      <w:pPr>
        <w:pStyle w:val="Normal"/>
        <w:spacing w:lineRule="auto" w:line="240"/>
        <w:rPr>
          <w:color w:val="auto"/>
          <w:sz w:val="20"/>
        </w:rPr>
      </w:pPr>
      <w:r>
        <w:rPr>
          <w:color w:val="auto"/>
          <w:sz w:val="20"/>
        </w:rPr>
        <w:t xml:space="preserve">Вышеперечисленные технические и программные средства защиты информации установлены и функционируют в ПАО ««Ростелеком»» по адресу, указанному в разделе </w:t>
      </w:r>
      <w:r>
        <w:rPr>
          <w:color w:val="auto"/>
          <w:sz w:val="20"/>
        </w:rPr>
        <w:fldChar w:fldCharType="begin"/>
      </w:r>
      <w:r>
        <w:rPr>
          <w:color w:val="auto"/>
          <w:sz w:val="20"/>
        </w:rPr>
        <w:instrText xml:space="preserve"> REF _Ref146791589 \r \r \h </w:instrText>
      </w:r>
      <w:r>
        <w:rPr>
          <w:color w:val="auto"/>
          <w:sz w:val="20"/>
        </w:rPr>
        <w:fldChar w:fldCharType="separate"/>
      </w:r>
      <w:r>
        <w:rPr>
          <w:color w:val="auto"/>
          <w:sz w:val="20"/>
        </w:rPr>
        <w:t>Ошибка: источник перекрёстной ссылки не найден</w:t>
      </w:r>
      <w:r>
        <w:rPr>
          <w:color w:val="auto"/>
          <w:sz w:val="20"/>
        </w:rPr>
        <w:fldChar w:fldCharType="end"/>
      </w:r>
      <w:r>
        <w:rPr>
          <w:color w:val="auto"/>
          <w:sz w:val="20"/>
        </w:rPr>
        <w:t xml:space="preserve"> настоящего приложения к техническому заданию.</w:t>
      </w:r>
    </w:p>
    <w:p>
      <w:pPr>
        <w:pStyle w:val="Heading1"/>
        <w:pageBreakBefore w:val="false"/>
        <w:numPr>
          <w:ilvl w:val="0"/>
          <w:numId w:val="6"/>
        </w:numPr>
        <w:tabs>
          <w:tab w:val="clear" w:pos="993"/>
        </w:tabs>
        <w:spacing w:lineRule="auto" w:line="240" w:before="240" w:after="0"/>
        <w:ind w:hanging="357" w:start="1066"/>
        <w:rPr>
          <w:color w:val="auto"/>
          <w:sz w:val="20"/>
        </w:rPr>
      </w:pPr>
      <w:bookmarkStart w:id="1" w:name="_Ref146805815"/>
      <w:r>
        <w:rPr>
          <w:color w:val="auto"/>
          <w:sz w:val="20"/>
        </w:rPr>
        <w:t>Требования к оказанию услуг</w:t>
      </w:r>
      <w:bookmarkEnd w:id="1"/>
    </w:p>
    <w:p>
      <w:pPr>
        <w:pStyle w:val="Heading2"/>
        <w:numPr>
          <w:ilvl w:val="1"/>
          <w:numId w:val="6"/>
        </w:numPr>
        <w:ind w:firstLine="709" w:start="0"/>
        <w:rPr>
          <w:b/>
          <w:bCs/>
          <w:i w:val="false"/>
          <w:iCs/>
          <w:color w:val="auto"/>
          <w:sz w:val="20"/>
        </w:rPr>
      </w:pPr>
      <w:bookmarkStart w:id="2" w:name="_Ref146798359"/>
      <w:r>
        <w:rPr>
          <w:b/>
          <w:bCs/>
          <w:i w:val="false"/>
          <w:iCs/>
          <w:color w:val="auto"/>
          <w:sz w:val="20"/>
        </w:rPr>
        <w:t>Общие требования</w:t>
      </w:r>
      <w:bookmarkEnd w:id="2"/>
    </w:p>
    <w:p>
      <w:pPr>
        <w:pStyle w:val="Normal"/>
        <w:spacing w:lineRule="auto" w:line="240"/>
        <w:rPr>
          <w:color w:val="auto"/>
          <w:sz w:val="20"/>
        </w:rPr>
      </w:pPr>
      <w:r>
        <w:rPr>
          <w:color w:val="auto"/>
          <w:sz w:val="20"/>
        </w:rPr>
        <w:t>Услуги по техническому сопровождению средств криптографической защиты информации выполняются в соответствии с требованиями нормативно-методической документации ФСТЭК России, ФСБ России и действующей нормативно-правовой документации Российской Федерации в области защиты информации.</w:t>
      </w:r>
    </w:p>
    <w:p>
      <w:pPr>
        <w:pStyle w:val="Normal"/>
        <w:spacing w:lineRule="auto" w:line="240"/>
        <w:rPr>
          <w:color w:val="auto"/>
          <w:sz w:val="20"/>
        </w:rPr>
      </w:pPr>
      <w:r>
        <w:rPr>
          <w:color w:val="auto"/>
          <w:sz w:val="20"/>
        </w:rPr>
        <w:t>Для удалённого устранения инцидентов Исполнитель выполняет подключение к обслуживаемому оборудованию Заказчика с помощью сертифицированных средств криптографической защиты информации, функционирующих с имеющимся у Заказчика программно-аппаратным комплексом ViPNet, путём подключения к защищённой сети ViPNet № 1697 с использованием ПО ViPNet Client, который Заказчик предоставляет Исполнителю для временного использования на период выполнения работ по договору.</w:t>
      </w:r>
    </w:p>
    <w:p>
      <w:pPr>
        <w:pStyle w:val="Normal"/>
        <w:spacing w:lineRule="auto" w:line="240"/>
        <w:rPr>
          <w:color w:val="auto"/>
          <w:sz w:val="20"/>
        </w:rPr>
      </w:pPr>
      <w:r>
        <w:rPr>
          <w:color w:val="auto"/>
          <w:sz w:val="20"/>
        </w:rPr>
        <w:t>В случае невозможности устранения инцидента в режиме удалённого доступа осуществляется выезд в соответствии с порядком, приведённым в пункте 7.1.3 настоящего приложения к техническому заданию.</w:t>
      </w:r>
    </w:p>
    <w:p>
      <w:pPr>
        <w:pStyle w:val="Heading3"/>
        <w:numPr>
          <w:ilvl w:val="2"/>
          <w:numId w:val="6"/>
        </w:numPr>
        <w:tabs>
          <w:tab w:val="clear" w:pos="709"/>
        </w:tabs>
        <w:spacing w:lineRule="auto" w:line="240" w:before="120" w:after="0"/>
        <w:ind w:hanging="0" w:start="709"/>
        <w:rPr>
          <w:b/>
          <w:bCs/>
          <w:iCs/>
          <w:color w:val="auto"/>
          <w:sz w:val="20"/>
        </w:rPr>
      </w:pPr>
      <w:bookmarkStart w:id="3" w:name="_Ref146807664"/>
      <w:r>
        <w:rPr>
          <w:b/>
          <w:bCs/>
          <w:iCs/>
          <w:color w:val="auto"/>
          <w:sz w:val="20"/>
        </w:rPr>
        <w:t>Требования к порядку взаимодействия</w:t>
      </w:r>
      <w:bookmarkEnd w:id="3"/>
    </w:p>
    <w:p>
      <w:pPr>
        <w:pStyle w:val="Normal"/>
        <w:spacing w:lineRule="auto" w:line="240"/>
        <w:rPr>
          <w:color w:val="auto"/>
          <w:sz w:val="20"/>
        </w:rPr>
      </w:pPr>
      <w:r>
        <w:rPr>
          <w:color w:val="auto"/>
          <w:sz w:val="20"/>
        </w:rPr>
        <w:t>При оказании услуг по техническому сопровождению средств криптографической защиты информации Исполнитель обеспечивает Заказчику оказание услуг на основании обращений.</w:t>
      </w:r>
    </w:p>
    <w:p>
      <w:pPr>
        <w:pStyle w:val="Normal"/>
        <w:spacing w:lineRule="auto" w:line="240"/>
        <w:rPr>
          <w:color w:val="auto"/>
          <w:sz w:val="20"/>
        </w:rPr>
      </w:pPr>
      <w:r>
        <w:rPr>
          <w:color w:val="auto"/>
          <w:sz w:val="20"/>
        </w:rPr>
        <w:t>Интерфейсами взаимодействия Исполнителя с Заказчиком выступают следующие каналы связи:</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дистанционная система управления обращениями;</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телефон «горячей линии»;</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электронная почта.</w:t>
      </w:r>
    </w:p>
    <w:p>
      <w:pPr>
        <w:pStyle w:val="Normal"/>
        <w:spacing w:lineRule="auto" w:line="240"/>
        <w:rPr>
          <w:color w:val="auto"/>
          <w:sz w:val="20"/>
        </w:rPr>
      </w:pPr>
      <w:r>
        <w:rPr>
          <w:color w:val="auto"/>
          <w:sz w:val="20"/>
        </w:rPr>
        <w:t>После заключения договора Заказчик предоставляет Исполнителю список адресов электронной почты, включая перечень уполномоченных лиц со стороны Заказчика, имеющих право подтверждения закрытия заявок. Исполнитель в течение 3 (трёх) рабочих дней с даты заключения договора предоставляет Заказчику доступ к дистанционной системе управления обращениями, позволяющей им создавать и отслеживать ход выполнения своих обращений.</w:t>
      </w:r>
    </w:p>
    <w:p>
      <w:pPr>
        <w:pStyle w:val="Normal"/>
        <w:spacing w:lineRule="auto" w:line="240"/>
        <w:rPr>
          <w:color w:val="auto"/>
          <w:sz w:val="20"/>
        </w:rPr>
      </w:pPr>
      <w:r>
        <w:rPr>
          <w:color w:val="auto"/>
          <w:sz w:val="20"/>
        </w:rPr>
        <w:t>При помощи дистанционной системы управления обращениями реализована возможность создания обращений нескольких типов.</w:t>
      </w:r>
    </w:p>
    <w:p>
      <w:pPr>
        <w:pStyle w:val="Normal"/>
        <w:spacing w:lineRule="auto" w:line="240"/>
        <w:rPr>
          <w:color w:val="auto"/>
          <w:sz w:val="20"/>
        </w:rPr>
      </w:pPr>
      <w:r>
        <w:rPr>
          <w:color w:val="auto"/>
          <w:sz w:val="20"/>
        </w:rPr>
        <w:t>Дистанционная система управления обращениями содержит:</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форму для создания обращения на оказание технической поддержки;</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реестр обращений на оказание технической поддержки.</w:t>
      </w:r>
    </w:p>
    <w:p>
      <w:pPr>
        <w:pStyle w:val="Normal"/>
        <w:spacing w:lineRule="auto" w:line="240"/>
        <w:rPr>
          <w:color w:val="auto"/>
          <w:sz w:val="20"/>
        </w:rPr>
      </w:pPr>
      <w:r>
        <w:rPr>
          <w:color w:val="auto"/>
          <w:sz w:val="20"/>
        </w:rPr>
        <w:t>Форма для создания обращения содержит поля для ввода темы обращения и описания проблемы.</w:t>
      </w:r>
    </w:p>
    <w:p>
      <w:pPr>
        <w:pStyle w:val="Normal"/>
        <w:spacing w:lineRule="auto" w:line="240"/>
        <w:rPr>
          <w:color w:val="auto"/>
          <w:sz w:val="20"/>
        </w:rPr>
      </w:pPr>
      <w:r>
        <w:rPr>
          <w:color w:val="auto"/>
          <w:sz w:val="20"/>
        </w:rPr>
        <w:t xml:space="preserve">В рамках дистанционной системы управления обращениями реестр обращений в техническую поддержку содержит перечень обращений, формируемых пользователем, и включает в себя следующие поля: номер обращения, тема обращения, состояние обращения, дата создания. При обработке обращения на разных этапах (принятие в работу, завершение работ по обращению), все этапы сопровождаются автоматическими уведомлениями инициатора обращения. </w:t>
      </w:r>
    </w:p>
    <w:p>
      <w:pPr>
        <w:pStyle w:val="Normal"/>
        <w:spacing w:lineRule="auto" w:line="240"/>
        <w:rPr>
          <w:color w:val="auto"/>
          <w:sz w:val="20"/>
        </w:rPr>
      </w:pPr>
      <w:r>
        <w:rPr>
          <w:color w:val="auto"/>
          <w:sz w:val="20"/>
        </w:rPr>
        <w:t xml:space="preserve">При инициировании обращения по телефону Исполнитель обеспечивает телефонную консультацию Заказчика с 09:00 до 18:00 по рабочим дням время МСК. </w:t>
      </w:r>
    </w:p>
    <w:p>
      <w:pPr>
        <w:pStyle w:val="Normal"/>
        <w:spacing w:lineRule="auto" w:line="240"/>
        <w:rPr>
          <w:color w:val="auto"/>
          <w:sz w:val="20"/>
        </w:rPr>
      </w:pPr>
      <w:r>
        <w:rPr>
          <w:color w:val="auto"/>
          <w:sz w:val="20"/>
        </w:rPr>
        <w:t>Исполнителем предусмотрена возможность принятия обращений по электронной почте.</w:t>
      </w:r>
    </w:p>
    <w:p>
      <w:pPr>
        <w:pStyle w:val="Normal"/>
        <w:spacing w:lineRule="auto" w:line="240"/>
        <w:rPr>
          <w:color w:val="auto"/>
          <w:sz w:val="20"/>
        </w:rPr>
      </w:pPr>
      <w:r>
        <w:rPr>
          <w:color w:val="auto"/>
          <w:sz w:val="20"/>
        </w:rPr>
        <w:t>При обращении, инициируемом по телефону или электронной почте, специалистом Исполнителя возможен запрос дополнительной информации у пользователя-Инициатора обращения:</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 xml:space="preserve">контактные сведения инициатора обращения такие, как Ф.И.О., контактный телефон или </w:t>
      </w:r>
      <w:r>
        <w:rPr>
          <w:color w:val="auto"/>
          <w:sz w:val="20"/>
          <w:lang w:val="en-US"/>
        </w:rPr>
        <w:t>e</w:t>
      </w:r>
      <w:r>
        <w:rPr>
          <w:color w:val="auto"/>
          <w:sz w:val="20"/>
        </w:rPr>
        <w:t>-</w:t>
      </w:r>
      <w:r>
        <w:rPr>
          <w:color w:val="auto"/>
          <w:sz w:val="20"/>
          <w:lang w:val="en-US"/>
        </w:rPr>
        <w:t>mail</w:t>
      </w:r>
      <w:r>
        <w:rPr>
          <w:color w:val="auto"/>
          <w:sz w:val="20"/>
        </w:rPr>
        <w:t>;</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описание обращения;</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скриншоты, лог-файлы, другая техническая информация, упрощающая расследование инцидента;</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регистрационный номер первичного обращения в случае повторного обращения.</w:t>
      </w:r>
    </w:p>
    <w:p>
      <w:pPr>
        <w:pStyle w:val="ListParagraph"/>
        <w:spacing w:lineRule="auto" w:line="240"/>
        <w:ind w:firstLine="709" w:start="0"/>
        <w:rPr>
          <w:color w:val="auto"/>
          <w:sz w:val="20"/>
        </w:rPr>
      </w:pPr>
      <w:r>
        <w:rPr>
          <w:color w:val="auto"/>
          <w:sz w:val="20"/>
        </w:rPr>
        <w:t xml:space="preserve">Обработка обращений, поступивших к Исполнителю по другим каналам, не указанным в п. </w:t>
      </w:r>
      <w:r>
        <w:rPr>
          <w:color w:val="auto"/>
          <w:sz w:val="20"/>
        </w:rPr>
        <w:fldChar w:fldCharType="begin"/>
      </w:r>
      <w:r>
        <w:rPr>
          <w:color w:val="auto"/>
          <w:sz w:val="20"/>
        </w:rPr>
        <w:instrText xml:space="preserve"> REF _Ref146807664 \r \r \h </w:instrText>
      </w:r>
      <w:r>
        <w:rPr>
          <w:color w:val="auto"/>
          <w:sz w:val="20"/>
        </w:rPr>
        <w:fldChar w:fldCharType="separate"/>
      </w:r>
      <w:r>
        <w:rPr>
          <w:color w:val="auto"/>
          <w:sz w:val="20"/>
        </w:rPr>
        <w:t>7.1.1</w:t>
      </w:r>
      <w:r>
        <w:rPr>
          <w:color w:val="auto"/>
          <w:sz w:val="20"/>
        </w:rPr>
        <w:fldChar w:fldCharType="end"/>
      </w:r>
      <w:r>
        <w:rPr>
          <w:color w:val="auto"/>
          <w:sz w:val="20"/>
        </w:rPr>
        <w:t>, не предусмотрена настоящим техническим заданием.</w:t>
      </w:r>
    </w:p>
    <w:p>
      <w:pPr>
        <w:pStyle w:val="Normal"/>
        <w:spacing w:lineRule="auto" w:line="240"/>
        <w:rPr>
          <w:color w:val="FF0000"/>
          <w:sz w:val="20"/>
        </w:rPr>
      </w:pPr>
      <w:r>
        <w:rPr>
          <w:color w:val="auto"/>
          <w:sz w:val="20"/>
        </w:rPr>
        <w:t xml:space="preserve">После уточнения информации по обращению возможно его проклассифицирование о чём информируется Инициатор обращения. Приоритет обращения повышается только по согласованию с уполномоченным представителем Заказчика, указанным в разделе </w:t>
      </w:r>
      <w:r>
        <w:rPr>
          <w:color w:val="auto"/>
          <w:sz w:val="20"/>
        </w:rPr>
        <w:fldChar w:fldCharType="begin"/>
      </w:r>
      <w:r>
        <w:rPr>
          <w:color w:val="auto"/>
          <w:sz w:val="20"/>
        </w:rPr>
        <w:instrText xml:space="preserve"> REF _Ref188882163 \r \r \h </w:instrText>
      </w:r>
      <w:r>
        <w:rPr>
          <w:color w:val="auto"/>
          <w:sz w:val="20"/>
        </w:rPr>
        <w:fldChar w:fldCharType="separate"/>
      </w:r>
      <w:r>
        <w:rPr>
          <w:color w:val="auto"/>
          <w:sz w:val="20"/>
        </w:rPr>
        <w:t>Ошибка: источник перекрёстной ссылки не найден</w:t>
      </w:r>
      <w:r>
        <w:rPr>
          <w:color w:val="auto"/>
          <w:sz w:val="20"/>
        </w:rPr>
        <w:fldChar w:fldCharType="end"/>
      </w:r>
      <w:r>
        <w:rPr>
          <w:color w:val="auto"/>
          <w:sz w:val="20"/>
        </w:rPr>
        <w:t xml:space="preserve"> настоящего приложения к техническому заданию. </w:t>
      </w:r>
    </w:p>
    <w:p>
      <w:pPr>
        <w:pStyle w:val="Normal"/>
        <w:spacing w:lineRule="auto" w:line="240"/>
        <w:rPr>
          <w:color w:val="auto"/>
          <w:sz w:val="20"/>
        </w:rPr>
      </w:pPr>
      <w:r>
        <w:rPr>
          <w:color w:val="auto"/>
          <w:sz w:val="20"/>
        </w:rPr>
        <w:t xml:space="preserve">Исполнитель регистрирует и классифицирует обращение, уведомляет Инициатора, и исполняет данное обращение в порядке, оговоренном в п. </w:t>
      </w:r>
      <w:r>
        <w:rPr>
          <w:color w:val="auto"/>
          <w:sz w:val="20"/>
        </w:rPr>
        <w:fldChar w:fldCharType="begin"/>
      </w:r>
      <w:r>
        <w:rPr>
          <w:color w:val="auto"/>
          <w:sz w:val="20"/>
        </w:rPr>
        <w:instrText xml:space="preserve"> REF _Ref164153941 \r \r \h </w:instrText>
      </w:r>
      <w:r>
        <w:rPr>
          <w:color w:val="auto"/>
          <w:sz w:val="20"/>
        </w:rPr>
        <w:fldChar w:fldCharType="separate"/>
      </w:r>
      <w:r>
        <w:rPr>
          <w:color w:val="auto"/>
          <w:sz w:val="20"/>
        </w:rPr>
        <w:t>7.1.2</w:t>
      </w:r>
      <w:r>
        <w:rPr>
          <w:color w:val="auto"/>
          <w:sz w:val="20"/>
        </w:rPr>
        <w:fldChar w:fldCharType="end"/>
      </w:r>
      <w:r>
        <w:rPr>
          <w:color w:val="auto"/>
          <w:sz w:val="20"/>
        </w:rPr>
        <w:t xml:space="preserve"> настоящего приложения к техническому заданию, в соответствии с контрольными сроками реагирования, установленными в Таблица </w:t>
      </w:r>
      <w:r>
        <w:rPr>
          <w:color w:val="auto"/>
          <w:sz w:val="20"/>
        </w:rPr>
        <w:fldChar w:fldCharType="begin"/>
      </w:r>
      <w:r>
        <w:rPr>
          <w:color w:val="auto"/>
          <w:sz w:val="20"/>
        </w:rPr>
        <w:instrText xml:space="preserve"> REF _Ref188953528 \h </w:instrText>
      </w:r>
      <w:r>
        <w:rPr>
          <w:color w:val="auto"/>
          <w:sz w:val="20"/>
        </w:rPr>
        <w:fldChar w:fldCharType="separate"/>
      </w:r>
      <w:r>
        <w:rPr>
          <w:color w:val="auto"/>
          <w:sz w:val="20"/>
        </w:rPr>
        <w:t>Таблица 2</w:t>
      </w:r>
      <w:r>
        <w:rPr>
          <w:color w:val="auto"/>
          <w:sz w:val="20"/>
        </w:rPr>
        <w:fldChar w:fldCharType="end"/>
      </w:r>
      <w:r>
        <w:rPr>
          <w:color w:val="auto"/>
          <w:sz w:val="20"/>
        </w:rPr>
        <w:t xml:space="preserve"> настоящего приложения к техническому заданию.</w:t>
      </w:r>
    </w:p>
    <w:p>
      <w:pPr>
        <w:pStyle w:val="Normal"/>
        <w:spacing w:lineRule="auto" w:line="240"/>
        <w:rPr>
          <w:color w:val="auto"/>
          <w:sz w:val="20"/>
        </w:rPr>
      </w:pPr>
      <w:r>
        <w:rPr>
          <w:color w:val="auto"/>
          <w:sz w:val="20"/>
        </w:rPr>
        <w:t>Исполнитель имеет право приостановить выполнение Обращения на следующем основании:</w:t>
      </w:r>
    </w:p>
    <w:p>
      <w:pPr>
        <w:pStyle w:val="Normal"/>
        <w:tabs>
          <w:tab w:val="clear" w:pos="709"/>
          <w:tab w:val="left" w:pos="992" w:leader="none"/>
        </w:tabs>
        <w:spacing w:lineRule="auto" w:line="240"/>
        <w:rPr>
          <w:color w:val="auto"/>
          <w:sz w:val="20"/>
        </w:rPr>
      </w:pPr>
      <w:r>
        <w:rPr>
          <w:color w:val="auto"/>
          <w:sz w:val="20"/>
        </w:rPr>
        <w:t>•</w:t>
      </w:r>
      <w:r>
        <w:rPr>
          <w:color w:val="auto"/>
          <w:sz w:val="20"/>
        </w:rPr>
        <w:tab/>
        <w:t>непредставление Инициатором информации, необходимой для регистрации Обращения;</w:t>
      </w:r>
    </w:p>
    <w:p>
      <w:pPr>
        <w:pStyle w:val="Normal"/>
        <w:tabs>
          <w:tab w:val="clear" w:pos="709"/>
          <w:tab w:val="left" w:pos="992" w:leader="none"/>
        </w:tabs>
        <w:spacing w:lineRule="auto" w:line="240"/>
        <w:rPr>
          <w:color w:val="auto"/>
          <w:sz w:val="20"/>
        </w:rPr>
      </w:pPr>
      <w:r>
        <w:rPr>
          <w:color w:val="auto"/>
          <w:sz w:val="20"/>
        </w:rPr>
        <w:t>•</w:t>
      </w:r>
      <w:r>
        <w:rPr>
          <w:color w:val="auto"/>
          <w:sz w:val="20"/>
        </w:rPr>
        <w:tab/>
        <w:t>обращение содержит запрос на услуги, не предусмотренные настоящим приложением к техническому заданию.</w:t>
      </w:r>
    </w:p>
    <w:p>
      <w:pPr>
        <w:pStyle w:val="Normal"/>
        <w:spacing w:lineRule="auto" w:line="240"/>
        <w:rPr>
          <w:color w:val="auto"/>
          <w:sz w:val="20"/>
        </w:rPr>
      </w:pPr>
      <w:r>
        <w:rPr>
          <w:color w:val="auto"/>
          <w:sz w:val="20"/>
        </w:rPr>
        <w:t>В случае отклонения Обращения Исполнитель уведомляет Инициатора и уполномоченного представителя Заказчика с обязательным указанием причин. В случае несогласия Инициатора с результатами обработки обращения или претензией по качеству инициатор сообщает об этом в течение 1 (одного) рабочего дня с момента завершения обработки обращения, после чего существующее обращение открывается повторно, и его обработка продолжается. В случае отсутствия комментариев инициатора по истечении 1 (одного) рабочего дня с момента завершения обработки обращения Исполнителем, обращение считается закрытым.</w:t>
      </w:r>
    </w:p>
    <w:p>
      <w:pPr>
        <w:pStyle w:val="Heading3"/>
        <w:numPr>
          <w:ilvl w:val="2"/>
          <w:numId w:val="6"/>
        </w:numPr>
        <w:tabs>
          <w:tab w:val="clear" w:pos="709"/>
        </w:tabs>
        <w:spacing w:lineRule="auto" w:line="240" w:before="120" w:after="0"/>
        <w:ind w:hanging="5" w:start="709"/>
        <w:rPr>
          <w:b/>
          <w:bCs/>
          <w:iCs/>
          <w:color w:val="auto"/>
          <w:sz w:val="20"/>
        </w:rPr>
      </w:pPr>
      <w:bookmarkStart w:id="4" w:name="_Ref164153941"/>
      <w:r>
        <w:rPr>
          <w:b/>
          <w:bCs/>
          <w:iCs/>
          <w:color w:val="auto"/>
          <w:sz w:val="20"/>
        </w:rPr>
        <w:t>Очередность обработки обращений Исполнителем</w:t>
      </w:r>
      <w:bookmarkEnd w:id="4"/>
    </w:p>
    <w:p>
      <w:pPr>
        <w:pStyle w:val="Normal"/>
        <w:spacing w:lineRule="auto" w:line="240"/>
        <w:rPr>
          <w:color w:val="auto"/>
          <w:sz w:val="20"/>
        </w:rPr>
      </w:pPr>
      <w:r>
        <w:rPr>
          <w:color w:val="auto"/>
          <w:sz w:val="20"/>
        </w:rPr>
        <w:t xml:space="preserve">Приоритетность обработки обращений определяется отдельно для каждого типа обращения «Инцидент» и «Запрос на обслуживание». Обоснованием для назначения приоритета обращения служит уровень воздействия инцидента на рабочие процессы в защищённой сети и на работу пользователей средств защиты Заказчика. </w:t>
      </w:r>
    </w:p>
    <w:p>
      <w:pPr>
        <w:pStyle w:val="Normal"/>
        <w:spacing w:lineRule="auto" w:line="240"/>
        <w:rPr>
          <w:color w:val="auto"/>
          <w:sz w:val="20"/>
        </w:rPr>
      </w:pPr>
      <w:r>
        <w:rPr>
          <w:color w:val="auto"/>
          <w:sz w:val="20"/>
        </w:rPr>
        <w:t>По обращению типа «Инцидент» присваивается один из следующих приоритетов:</w:t>
      </w:r>
    </w:p>
    <w:p>
      <w:pPr>
        <w:pStyle w:val="Normal"/>
        <w:spacing w:lineRule="auto" w:line="240"/>
        <w:rPr>
          <w:color w:val="auto"/>
          <w:sz w:val="20"/>
        </w:rPr>
      </w:pPr>
      <w:r>
        <w:rPr>
          <w:color w:val="auto"/>
          <w:sz w:val="20"/>
        </w:rPr>
        <w:t>Критический – сбой затронул работу всех пользователей. Функционирование системы защиты информации нарушено, недоступность несет значительную угрозу непрерывности рабочего процесса Заказчика.</w:t>
      </w:r>
    </w:p>
    <w:p>
      <w:pPr>
        <w:pStyle w:val="Normal"/>
        <w:spacing w:lineRule="auto" w:line="240"/>
        <w:rPr>
          <w:color w:val="auto"/>
          <w:sz w:val="20"/>
        </w:rPr>
      </w:pPr>
      <w:r>
        <w:rPr>
          <w:color w:val="auto"/>
          <w:sz w:val="20"/>
        </w:rPr>
        <w:t>Высокий – серьезный инцидент, ведущий к невозможности выполнения или имеющий высокий риск нарушения непрерывности рабочего процесса Заказчика.</w:t>
      </w:r>
    </w:p>
    <w:p>
      <w:pPr>
        <w:pStyle w:val="Normal"/>
        <w:spacing w:lineRule="auto" w:line="240"/>
        <w:rPr>
          <w:color w:val="auto"/>
          <w:sz w:val="20"/>
        </w:rPr>
      </w:pPr>
      <w:r>
        <w:rPr>
          <w:color w:val="auto"/>
          <w:sz w:val="20"/>
        </w:rPr>
        <w:t>Средний – система защиты информации функционирует в штатном режиме, но часть функций работает некорректно. Инцидент не оказывает значительного влияния на выполнение текущих задач Заказчика.</w:t>
      </w:r>
    </w:p>
    <w:p>
      <w:pPr>
        <w:pStyle w:val="Normal"/>
        <w:spacing w:lineRule="auto" w:line="240"/>
        <w:rPr>
          <w:color w:val="auto"/>
          <w:sz w:val="20"/>
        </w:rPr>
      </w:pPr>
      <w:r>
        <w:rPr>
          <w:color w:val="auto"/>
          <w:sz w:val="20"/>
        </w:rPr>
        <w:t>Стандартный – система защиты информации функционирует в штатном режиме. Инцидент затрагивает СКЗИ одного пользователя и слабо влияет на выполнение текущих задач Заказчика.</w:t>
      </w:r>
    </w:p>
    <w:p>
      <w:pPr>
        <w:pStyle w:val="Normal"/>
        <w:spacing w:lineRule="auto" w:line="240"/>
        <w:rPr>
          <w:color w:val="auto"/>
          <w:sz w:val="20"/>
        </w:rPr>
      </w:pPr>
      <w:r>
        <w:rPr>
          <w:color w:val="auto"/>
          <w:sz w:val="20"/>
        </w:rPr>
        <w:t>Приоритет «Запроса на обслуживание» определяется на основе его влияния и срочности с помощью матрицы приоритетов. Влияние запроса указывает на потенциальный ущерб, который будет нанесен Заказчику (Инициатору запроса). Срочность запроса определяется Инициатором в соответствии с Таблицей 2 настоящего приложения к техническому заданию.</w:t>
      </w:r>
      <w:bookmarkStart w:id="5" w:name="_Ref188953498"/>
    </w:p>
    <w:p>
      <w:pPr>
        <w:pStyle w:val="Normal"/>
        <w:spacing w:lineRule="auto" w:line="240"/>
        <w:ind w:hanging="0"/>
        <w:jc w:val="end"/>
        <w:rPr>
          <w:i/>
          <w:color w:val="auto"/>
          <w:sz w:val="20"/>
        </w:rPr>
      </w:pPr>
      <w:r>
        <w:rPr>
          <w:i/>
          <w:color w:val="auto"/>
          <w:sz w:val="20"/>
        </w:rPr>
        <w:t xml:space="preserve">Таблица </w:t>
      </w:r>
      <w:r>
        <w:rPr>
          <w:i/>
          <w:color w:val="auto"/>
          <w:sz w:val="20"/>
        </w:rPr>
        <w:fldChar w:fldCharType="begin"/>
      </w:r>
      <w:r>
        <w:rPr>
          <w:i/>
          <w:color w:val="auto"/>
          <w:sz w:val="20"/>
        </w:rPr>
        <w:instrText xml:space="preserve"> SEQ Таблица \* ARABIC </w:instrText>
      </w:r>
      <w:r>
        <w:rPr>
          <w:i/>
          <w:color w:val="auto"/>
          <w:sz w:val="20"/>
        </w:rPr>
        <w:fldChar w:fldCharType="separate"/>
      </w:r>
      <w:r>
        <w:rPr>
          <w:i/>
          <w:color w:val="auto"/>
          <w:sz w:val="20"/>
        </w:rPr>
        <w:t>1</w:t>
      </w:r>
      <w:r>
        <w:rPr>
          <w:i/>
          <w:color w:val="auto"/>
          <w:sz w:val="20"/>
        </w:rPr>
        <w:fldChar w:fldCharType="end"/>
      </w:r>
      <w:bookmarkEnd w:id="5"/>
      <w:r>
        <w:rPr>
          <w:i/>
          <w:color w:val="auto"/>
          <w:sz w:val="20"/>
        </w:rPr>
        <w:t>. Критерии срочности запроса</w:t>
      </w:r>
      <w:r>
        <w:rPr>
          <w:color w:val="auto"/>
          <w:sz w:val="20"/>
        </w:rPr>
        <w:t xml:space="preserve"> </w:t>
      </w:r>
    </w:p>
    <w:tbl>
      <w:tblPr>
        <w:tblStyle w:val="affff9"/>
        <w:tblW w:w="1048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561"/>
        <w:gridCol w:w="2491"/>
        <w:gridCol w:w="2308"/>
        <w:gridCol w:w="3125"/>
      </w:tblGrid>
      <w:tr>
        <w:trPr/>
        <w:tc>
          <w:tcPr>
            <w:tcW w:w="2561" w:type="dxa"/>
            <w:tcBorders/>
            <w:shd w:color="auto" w:fill="D9D9D9" w:themeFill="background1" w:themeFillShade="d9" w:val="clear"/>
          </w:tcPr>
          <w:p>
            <w:pPr>
              <w:pStyle w:val="Normal"/>
              <w:widowControl/>
              <w:suppressAutoHyphens w:val="true"/>
              <w:spacing w:lineRule="auto" w:line="240" w:before="0" w:after="0"/>
              <w:ind w:hanging="0"/>
              <w:rPr>
                <w:color w:val="auto"/>
                <w:sz w:val="20"/>
              </w:rPr>
            </w:pPr>
            <w:r>
              <w:rPr>
                <w:rFonts w:eastAsia="Times New Roman" w:cs="Times New Roman"/>
                <w:color w:val="auto"/>
                <w:kern w:val="0"/>
                <w:sz w:val="20"/>
                <w:szCs w:val="20"/>
                <w:lang w:val="ru-RU" w:eastAsia="ru-RU" w:bidi="ar-SA"/>
              </w:rPr>
              <w:t>Влияние / Срочность</w:t>
            </w:r>
          </w:p>
        </w:tc>
        <w:tc>
          <w:tcPr>
            <w:tcW w:w="2491" w:type="dxa"/>
            <w:tcBorders/>
            <w:shd w:color="auto" w:fill="D9D9D9" w:themeFill="background1" w:themeFillShade="d9" w:val="clear"/>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Низкая</w:t>
            </w:r>
          </w:p>
        </w:tc>
        <w:tc>
          <w:tcPr>
            <w:tcW w:w="2308" w:type="dxa"/>
            <w:tcBorders/>
            <w:shd w:color="auto" w:fill="D9D9D9" w:themeFill="background1" w:themeFillShade="d9" w:val="clear"/>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Средняя</w:t>
            </w:r>
          </w:p>
        </w:tc>
        <w:tc>
          <w:tcPr>
            <w:tcW w:w="3125" w:type="dxa"/>
            <w:tcBorders/>
            <w:shd w:color="auto" w:fill="D9D9D9" w:themeFill="background1" w:themeFillShade="d9" w:val="clear"/>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Высокая</w:t>
            </w:r>
          </w:p>
        </w:tc>
      </w:tr>
      <w:tr>
        <w:trPr/>
        <w:tc>
          <w:tcPr>
            <w:tcW w:w="2561" w:type="dxa"/>
            <w:tcBorders/>
            <w:shd w:color="auto" w:fill="D9D9D9" w:themeFill="background1" w:themeFillShade="d9" w:val="clear"/>
          </w:tcPr>
          <w:p>
            <w:pPr>
              <w:pStyle w:val="Normal"/>
              <w:widowControl/>
              <w:suppressAutoHyphens w:val="true"/>
              <w:spacing w:lineRule="auto" w:line="240" w:before="0" w:after="0"/>
              <w:ind w:hanging="0"/>
              <w:rPr>
                <w:color w:val="auto"/>
                <w:sz w:val="20"/>
              </w:rPr>
            </w:pPr>
            <w:r>
              <w:rPr>
                <w:rFonts w:eastAsia="Times New Roman" w:cs="Times New Roman"/>
                <w:color w:val="auto"/>
                <w:kern w:val="0"/>
                <w:sz w:val="20"/>
                <w:szCs w:val="20"/>
                <w:lang w:val="ru-RU" w:eastAsia="ru-RU" w:bidi="ar-SA"/>
              </w:rPr>
              <w:t>Низкое</w:t>
            </w:r>
          </w:p>
        </w:tc>
        <w:tc>
          <w:tcPr>
            <w:tcW w:w="2491"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Стандартный</w:t>
            </w:r>
          </w:p>
        </w:tc>
        <w:tc>
          <w:tcPr>
            <w:tcW w:w="2308"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Стандартный</w:t>
            </w:r>
          </w:p>
        </w:tc>
        <w:tc>
          <w:tcPr>
            <w:tcW w:w="3125"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Средний</w:t>
            </w:r>
          </w:p>
        </w:tc>
      </w:tr>
      <w:tr>
        <w:trPr/>
        <w:tc>
          <w:tcPr>
            <w:tcW w:w="2561" w:type="dxa"/>
            <w:tcBorders/>
            <w:shd w:color="auto" w:fill="D9D9D9" w:themeFill="background1" w:themeFillShade="d9" w:val="clear"/>
          </w:tcPr>
          <w:p>
            <w:pPr>
              <w:pStyle w:val="Normal"/>
              <w:widowControl/>
              <w:suppressAutoHyphens w:val="true"/>
              <w:spacing w:lineRule="auto" w:line="240" w:before="0" w:after="0"/>
              <w:ind w:hanging="0"/>
              <w:rPr>
                <w:color w:val="auto"/>
                <w:sz w:val="20"/>
              </w:rPr>
            </w:pPr>
            <w:r>
              <w:rPr>
                <w:rFonts w:eastAsia="Times New Roman" w:cs="Times New Roman"/>
                <w:color w:val="auto"/>
                <w:kern w:val="0"/>
                <w:sz w:val="20"/>
                <w:szCs w:val="20"/>
                <w:lang w:val="ru-RU" w:eastAsia="ru-RU" w:bidi="ar-SA"/>
              </w:rPr>
              <w:t>Среднее</w:t>
            </w:r>
          </w:p>
        </w:tc>
        <w:tc>
          <w:tcPr>
            <w:tcW w:w="2491"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Стандартный</w:t>
            </w:r>
          </w:p>
        </w:tc>
        <w:tc>
          <w:tcPr>
            <w:tcW w:w="2308"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Средний</w:t>
            </w:r>
          </w:p>
        </w:tc>
        <w:tc>
          <w:tcPr>
            <w:tcW w:w="3125"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Средний</w:t>
            </w:r>
          </w:p>
        </w:tc>
      </w:tr>
      <w:tr>
        <w:trPr/>
        <w:tc>
          <w:tcPr>
            <w:tcW w:w="2561" w:type="dxa"/>
            <w:tcBorders/>
            <w:shd w:color="auto" w:fill="D9D9D9" w:themeFill="background1" w:themeFillShade="d9" w:val="clear"/>
          </w:tcPr>
          <w:p>
            <w:pPr>
              <w:pStyle w:val="Normal"/>
              <w:widowControl/>
              <w:suppressAutoHyphens w:val="true"/>
              <w:spacing w:lineRule="auto" w:line="240" w:before="0" w:after="0"/>
              <w:ind w:hanging="0"/>
              <w:rPr>
                <w:color w:val="auto"/>
                <w:sz w:val="20"/>
              </w:rPr>
            </w:pPr>
            <w:r>
              <w:rPr>
                <w:rFonts w:eastAsia="Times New Roman" w:cs="Times New Roman"/>
                <w:color w:val="auto"/>
                <w:kern w:val="0"/>
                <w:sz w:val="20"/>
                <w:szCs w:val="20"/>
                <w:lang w:val="ru-RU" w:eastAsia="ru-RU" w:bidi="ar-SA"/>
              </w:rPr>
              <w:t>Высокое</w:t>
            </w:r>
          </w:p>
        </w:tc>
        <w:tc>
          <w:tcPr>
            <w:tcW w:w="2491"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Средний</w:t>
            </w:r>
          </w:p>
        </w:tc>
        <w:tc>
          <w:tcPr>
            <w:tcW w:w="2308"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Средний</w:t>
            </w:r>
          </w:p>
        </w:tc>
        <w:tc>
          <w:tcPr>
            <w:tcW w:w="3125" w:type="dxa"/>
            <w:tcBorders/>
          </w:tcPr>
          <w:p>
            <w:pPr>
              <w:pStyle w:val="Normal"/>
              <w:widowControl/>
              <w:suppressAutoHyphens w:val="true"/>
              <w:spacing w:lineRule="auto" w:line="240" w:before="0" w:after="0"/>
              <w:ind w:hanging="0"/>
              <w:jc w:val="center"/>
              <w:rPr>
                <w:color w:val="auto"/>
                <w:sz w:val="20"/>
              </w:rPr>
            </w:pPr>
            <w:r>
              <w:rPr>
                <w:rFonts w:eastAsia="Times New Roman" w:cs="Times New Roman"/>
                <w:color w:val="auto"/>
                <w:kern w:val="0"/>
                <w:sz w:val="20"/>
                <w:szCs w:val="20"/>
                <w:lang w:val="ru-RU" w:eastAsia="ru-RU" w:bidi="ar-SA"/>
              </w:rPr>
              <w:t>Высокий</w:t>
            </w:r>
          </w:p>
        </w:tc>
      </w:tr>
    </w:tbl>
    <w:p>
      <w:pPr>
        <w:pStyle w:val="Normal"/>
        <w:spacing w:lineRule="auto" w:line="240"/>
        <w:rPr>
          <w:color w:val="auto"/>
          <w:sz w:val="20"/>
        </w:rPr>
      </w:pPr>
      <w:r>
        <w:rPr>
          <w:color w:val="auto"/>
          <w:sz w:val="20"/>
        </w:rPr>
        <w:t>Обращения обрабатываются Исполнителем с учетом приоритетов:</w:t>
      </w:r>
    </w:p>
    <w:p>
      <w:pPr>
        <w:pStyle w:val="ListParagraph"/>
        <w:numPr>
          <w:ilvl w:val="0"/>
          <w:numId w:val="3"/>
        </w:numPr>
        <w:tabs>
          <w:tab w:val="clear" w:pos="709"/>
          <w:tab w:val="left" w:pos="992" w:leader="none"/>
        </w:tabs>
        <w:spacing w:lineRule="auto" w:line="240"/>
        <w:ind w:firstLine="709" w:start="0"/>
        <w:rPr>
          <w:color w:val="auto"/>
          <w:sz w:val="20"/>
        </w:rPr>
      </w:pPr>
      <w:r>
        <w:rPr>
          <w:color w:val="auto"/>
          <w:sz w:val="20"/>
        </w:rPr>
        <w:t>в первую очередь обрабатываются обращения с приоритетом «Критический»;</w:t>
      </w:r>
    </w:p>
    <w:p>
      <w:pPr>
        <w:pStyle w:val="ListParagraph"/>
        <w:numPr>
          <w:ilvl w:val="0"/>
          <w:numId w:val="3"/>
        </w:numPr>
        <w:tabs>
          <w:tab w:val="clear" w:pos="709"/>
          <w:tab w:val="left" w:pos="992" w:leader="none"/>
        </w:tabs>
        <w:spacing w:lineRule="auto" w:line="240"/>
        <w:ind w:firstLine="709" w:start="0"/>
        <w:rPr>
          <w:color w:val="auto"/>
          <w:sz w:val="20"/>
        </w:rPr>
      </w:pPr>
      <w:r>
        <w:rPr>
          <w:color w:val="auto"/>
          <w:sz w:val="20"/>
        </w:rPr>
        <w:t>во вторую очередь обрабатываются Обращения с приоритетом «Высокий»;</w:t>
      </w:r>
    </w:p>
    <w:p>
      <w:pPr>
        <w:pStyle w:val="ListParagraph"/>
        <w:numPr>
          <w:ilvl w:val="0"/>
          <w:numId w:val="3"/>
        </w:numPr>
        <w:tabs>
          <w:tab w:val="clear" w:pos="709"/>
          <w:tab w:val="left" w:pos="992" w:leader="none"/>
        </w:tabs>
        <w:spacing w:lineRule="auto" w:line="240"/>
        <w:ind w:firstLine="709" w:start="0"/>
        <w:rPr>
          <w:color w:val="auto"/>
          <w:sz w:val="20"/>
        </w:rPr>
      </w:pPr>
      <w:r>
        <w:rPr>
          <w:color w:val="auto"/>
          <w:sz w:val="20"/>
        </w:rPr>
        <w:t>в третью очередь обрабатываются Обращения с приоритетом «Средний»;</w:t>
      </w:r>
    </w:p>
    <w:p>
      <w:pPr>
        <w:pStyle w:val="ListParagraph"/>
        <w:numPr>
          <w:ilvl w:val="0"/>
          <w:numId w:val="3"/>
        </w:numPr>
        <w:tabs>
          <w:tab w:val="clear" w:pos="709"/>
          <w:tab w:val="left" w:pos="992" w:leader="none"/>
        </w:tabs>
        <w:spacing w:lineRule="auto" w:line="240"/>
        <w:ind w:firstLine="709" w:start="0"/>
        <w:rPr>
          <w:color w:val="auto"/>
          <w:sz w:val="20"/>
        </w:rPr>
      </w:pPr>
      <w:r>
        <w:rPr>
          <w:color w:val="auto"/>
          <w:sz w:val="20"/>
        </w:rPr>
        <w:t>в случае отсутствия в очереди Обращений с приоритетами «Критический», «Высокий», «Средний», обрабатываются обращения с приоритетом «Стандартный».</w:t>
      </w:r>
    </w:p>
    <w:p>
      <w:pPr>
        <w:pStyle w:val="Normal"/>
        <w:spacing w:lineRule="auto" w:line="240"/>
        <w:rPr>
          <w:color w:val="auto"/>
          <w:sz w:val="20"/>
        </w:rPr>
      </w:pPr>
      <w:r>
        <w:rPr>
          <w:color w:val="auto"/>
          <w:sz w:val="20"/>
        </w:rPr>
        <w:t xml:space="preserve">Если в очереди находятся несколько обращений одинакового приоритета, в первую очередь обрабатывается обращение с ближайшим сроком исполнения. Нормативные сроки исполнения обращений указаны Таблице </w:t>
      </w:r>
      <w:r>
        <w:rPr>
          <w:color w:val="auto"/>
          <w:sz w:val="20"/>
        </w:rPr>
        <w:fldChar w:fldCharType="begin"/>
      </w:r>
      <w:r>
        <w:rPr>
          <w:color w:val="auto"/>
          <w:sz w:val="20"/>
        </w:rPr>
        <w:instrText xml:space="preserve"> REF _Ref188953528 \h </w:instrText>
      </w:r>
      <w:r>
        <w:rPr>
          <w:color w:val="auto"/>
          <w:sz w:val="20"/>
        </w:rPr>
        <w:fldChar w:fldCharType="separate"/>
      </w:r>
      <w:r>
        <w:rPr>
          <w:color w:val="auto"/>
          <w:sz w:val="20"/>
        </w:rPr>
        <w:t>Таблица 2</w:t>
      </w:r>
      <w:r>
        <w:rPr>
          <w:color w:val="auto"/>
          <w:sz w:val="20"/>
        </w:rPr>
        <w:fldChar w:fldCharType="end"/>
      </w:r>
      <w:r>
        <w:rPr>
          <w:color w:val="auto"/>
          <w:sz w:val="20"/>
        </w:rPr>
        <w:t xml:space="preserve"> настоящего приложения к техническому заданию.</w:t>
      </w:r>
    </w:p>
    <w:p>
      <w:pPr>
        <w:pStyle w:val="Normal"/>
        <w:spacing w:lineRule="auto" w:line="240"/>
        <w:ind w:hanging="0"/>
        <w:jc w:val="end"/>
        <w:rPr>
          <w:i/>
          <w:color w:val="auto"/>
          <w:sz w:val="20"/>
        </w:rPr>
      </w:pPr>
      <w:bookmarkStart w:id="6" w:name="_Ref188953528"/>
      <w:r>
        <w:rPr>
          <w:i/>
          <w:color w:val="auto"/>
          <w:sz w:val="20"/>
        </w:rPr>
        <w:t xml:space="preserve">Таблица </w:t>
      </w:r>
      <w:r>
        <w:rPr>
          <w:i/>
          <w:color w:val="auto"/>
          <w:sz w:val="20"/>
        </w:rPr>
        <w:fldChar w:fldCharType="begin"/>
      </w:r>
      <w:r>
        <w:rPr>
          <w:i/>
          <w:color w:val="auto"/>
          <w:sz w:val="20"/>
        </w:rPr>
        <w:instrText xml:space="preserve"> SEQ Таблица \* ARABIC </w:instrText>
      </w:r>
      <w:r>
        <w:rPr>
          <w:i/>
          <w:color w:val="auto"/>
          <w:sz w:val="20"/>
        </w:rPr>
        <w:fldChar w:fldCharType="separate"/>
      </w:r>
      <w:r>
        <w:rPr>
          <w:i/>
          <w:color w:val="auto"/>
          <w:sz w:val="20"/>
        </w:rPr>
        <w:t>2</w:t>
      </w:r>
      <w:r>
        <w:rPr>
          <w:i/>
          <w:color w:val="auto"/>
          <w:sz w:val="20"/>
        </w:rPr>
        <w:fldChar w:fldCharType="end"/>
      </w:r>
      <w:bookmarkEnd w:id="6"/>
      <w:r>
        <w:rPr>
          <w:i/>
          <w:color w:val="auto"/>
          <w:sz w:val="20"/>
        </w:rPr>
        <w:t>. Контрольные сроки</w:t>
      </w:r>
    </w:p>
    <w:tbl>
      <w:tblPr>
        <w:tblW w:w="1048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248"/>
        <w:gridCol w:w="1840"/>
        <w:gridCol w:w="4397"/>
      </w:tblGrid>
      <w:tr>
        <w:trPr/>
        <w:tc>
          <w:tcPr>
            <w:tcW w:w="608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b/>
                <w:bCs/>
                <w:color w:val="auto"/>
                <w:sz w:val="20"/>
              </w:rPr>
            </w:pPr>
            <w:r>
              <w:rPr>
                <w:b/>
                <w:bCs/>
                <w:color w:val="auto"/>
                <w:sz w:val="20"/>
              </w:rPr>
              <w:t>Наименование параметра</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b/>
                <w:bCs/>
                <w:color w:val="auto"/>
                <w:sz w:val="20"/>
              </w:rPr>
            </w:pPr>
            <w:r>
              <w:rPr>
                <w:b/>
                <w:bCs/>
                <w:color w:val="auto"/>
                <w:sz w:val="20"/>
              </w:rPr>
              <w:t xml:space="preserve">Требования </w:t>
            </w:r>
            <w:r>
              <w:rPr>
                <w:b/>
                <w:bCs/>
                <w:color w:val="auto"/>
                <w:sz w:val="20"/>
                <w:lang w:val="en-US"/>
              </w:rPr>
              <w:t>SLA</w:t>
            </w:r>
          </w:p>
        </w:tc>
      </w:tr>
      <w:tr>
        <w:trPr/>
        <w:tc>
          <w:tcPr>
            <w:tcW w:w="4248"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color w:val="auto"/>
                <w:sz w:val="20"/>
              </w:rPr>
            </w:pPr>
            <w:r>
              <w:rPr>
                <w:color w:val="auto"/>
                <w:sz w:val="20"/>
              </w:rPr>
              <w:t>Нормативные сроки реакции</w:t>
            </w:r>
            <w:r>
              <w:rPr>
                <w:color w:val="auto"/>
                <w:sz w:val="20"/>
                <w:vertAlign w:val="superscript"/>
              </w:rPr>
              <w:t>**</w:t>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Критический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0,5 рабочих часов</w:t>
            </w:r>
          </w:p>
        </w:tc>
      </w:tr>
      <w:tr>
        <w:trPr>
          <w:trHeight w:val="230" w:hRule="atLeast"/>
        </w:trPr>
        <w:tc>
          <w:tcPr>
            <w:tcW w:w="424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Высокий</w:t>
            </w:r>
          </w:p>
        </w:tc>
        <w:tc>
          <w:tcPr>
            <w:tcW w:w="439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2 рабочих часов</w:t>
            </w:r>
          </w:p>
        </w:tc>
      </w:tr>
      <w:tr>
        <w:trPr/>
        <w:tc>
          <w:tcPr>
            <w:tcW w:w="424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Средний</w:t>
            </w:r>
          </w:p>
        </w:tc>
        <w:tc>
          <w:tcPr>
            <w:tcW w:w="439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r>
          </w:p>
        </w:tc>
      </w:tr>
      <w:tr>
        <w:trPr>
          <w:trHeight w:val="259" w:hRule="atLeast"/>
        </w:trPr>
        <w:tc>
          <w:tcPr>
            <w:tcW w:w="424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Стандартный</w:t>
            </w:r>
          </w:p>
        </w:tc>
        <w:tc>
          <w:tcPr>
            <w:tcW w:w="439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r>
          </w:p>
        </w:tc>
      </w:tr>
      <w:tr>
        <w:trPr>
          <w:trHeight w:val="279" w:hRule="atLeast"/>
        </w:trPr>
        <w:tc>
          <w:tcPr>
            <w:tcW w:w="4248" w:type="dxa"/>
            <w:vMerge w:val="restart"/>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ind w:hanging="0"/>
              <w:jc w:val="start"/>
              <w:rPr>
                <w:color w:val="auto"/>
                <w:sz w:val="20"/>
              </w:rPr>
            </w:pPr>
            <w:r>
              <w:rPr>
                <w:color w:val="auto"/>
                <w:sz w:val="20"/>
              </w:rPr>
              <w:t>Нормативные сроки исполнения Инцидентов</w:t>
            </w:r>
            <w:r>
              <w:rPr>
                <w:color w:val="auto"/>
                <w:sz w:val="20"/>
                <w:vertAlign w:val="superscript"/>
              </w:rPr>
              <w:t>**</w:t>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Критический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3 рабочих часов</w:t>
            </w:r>
            <w:r>
              <w:rPr>
                <w:color w:val="auto"/>
                <w:sz w:val="20"/>
                <w:vertAlign w:val="superscript"/>
              </w:rPr>
              <w:t>*</w:t>
            </w:r>
          </w:p>
        </w:tc>
      </w:tr>
      <w:tr>
        <w:trPr>
          <w:trHeight w:val="284" w:hRule="atLeast"/>
        </w:trPr>
        <w:tc>
          <w:tcPr>
            <w:tcW w:w="4248" w:type="dxa"/>
            <w:vMerge w:val="continue"/>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ind w:hanging="0"/>
              <w:jc w:val="start"/>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Высокий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6 рабочих часов</w:t>
            </w:r>
            <w:r>
              <w:rPr>
                <w:color w:val="auto"/>
                <w:sz w:val="20"/>
                <w:vertAlign w:val="superscript"/>
              </w:rPr>
              <w:t>*</w:t>
            </w:r>
          </w:p>
        </w:tc>
      </w:tr>
      <w:tr>
        <w:trPr>
          <w:trHeight w:val="259" w:hRule="atLeast"/>
        </w:trPr>
        <w:tc>
          <w:tcPr>
            <w:tcW w:w="4248" w:type="dxa"/>
            <w:vMerge w:val="continue"/>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ind w:hanging="0"/>
              <w:jc w:val="start"/>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tcPr>
          <w:p>
            <w:pPr>
              <w:pStyle w:val="Normal"/>
              <w:spacing w:lineRule="auto" w:line="240"/>
              <w:ind w:hanging="0"/>
              <w:jc w:val="center"/>
              <w:rPr>
                <w:color w:val="auto"/>
                <w:sz w:val="20"/>
              </w:rPr>
            </w:pPr>
            <w:r>
              <w:rPr>
                <w:color w:val="auto"/>
                <w:sz w:val="20"/>
              </w:rPr>
              <w:t>Средний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16 рабочих часов</w:t>
            </w:r>
          </w:p>
        </w:tc>
      </w:tr>
      <w:tr>
        <w:trPr/>
        <w:tc>
          <w:tcPr>
            <w:tcW w:w="4248" w:type="dxa"/>
            <w:vMerge w:val="continue"/>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ind w:hanging="0"/>
              <w:jc w:val="start"/>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Стандартный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24 рабочих часов</w:t>
            </w:r>
          </w:p>
        </w:tc>
      </w:tr>
      <w:tr>
        <w:trPr/>
        <w:tc>
          <w:tcPr>
            <w:tcW w:w="4248" w:type="dxa"/>
            <w:vMerge w:val="restart"/>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ind w:hanging="0"/>
              <w:jc w:val="start"/>
              <w:rPr>
                <w:color w:val="auto"/>
                <w:sz w:val="20"/>
              </w:rPr>
            </w:pPr>
            <w:r>
              <w:rPr>
                <w:color w:val="auto"/>
                <w:sz w:val="20"/>
              </w:rPr>
              <w:t>Нормативные сроки исполнения Запросов на обслуживание</w:t>
            </w:r>
            <w:r>
              <w:rPr>
                <w:color w:val="auto"/>
                <w:sz w:val="20"/>
                <w:vertAlign w:val="superscript"/>
              </w:rPr>
              <w:t>**</w:t>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Высокий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4 рабочих часов</w:t>
            </w:r>
            <w:r>
              <w:rPr>
                <w:color w:val="auto"/>
                <w:sz w:val="20"/>
                <w:vertAlign w:val="superscript"/>
              </w:rPr>
              <w:t>*</w:t>
            </w:r>
          </w:p>
        </w:tc>
      </w:tr>
      <w:tr>
        <w:trPr/>
        <w:tc>
          <w:tcPr>
            <w:tcW w:w="4248" w:type="dxa"/>
            <w:vMerge w:val="continue"/>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ind w:hanging="0"/>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Средний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8 рабочих часов</w:t>
            </w:r>
            <w:r>
              <w:rPr>
                <w:color w:val="auto"/>
                <w:sz w:val="20"/>
                <w:vertAlign w:val="superscript"/>
              </w:rPr>
              <w:t>*</w:t>
            </w:r>
          </w:p>
        </w:tc>
      </w:tr>
      <w:tr>
        <w:trPr/>
        <w:tc>
          <w:tcPr>
            <w:tcW w:w="4248" w:type="dxa"/>
            <w:vMerge w:val="continue"/>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ind w:hanging="0"/>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Стандартный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48 рабочих часов</w:t>
            </w:r>
          </w:p>
        </w:tc>
      </w:tr>
      <w:tr>
        <w:trPr/>
        <w:tc>
          <w:tcPr>
            <w:tcW w:w="6088"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rPr>
                <w:color w:val="auto"/>
                <w:sz w:val="20"/>
              </w:rPr>
            </w:pPr>
            <w:r>
              <w:rPr>
                <w:color w:val="auto"/>
                <w:sz w:val="20"/>
              </w:rPr>
              <w:t>Консультирование</w:t>
            </w:r>
            <w:r>
              <w:rPr>
                <w:color w:val="auto"/>
                <w:sz w:val="20"/>
                <w:vertAlign w:val="superscript"/>
              </w:rPr>
              <w:t>**</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более 48 рабочих часов</w:t>
            </w:r>
          </w:p>
        </w:tc>
      </w:tr>
      <w:tr>
        <w:trPr/>
        <w:tc>
          <w:tcPr>
            <w:tcW w:w="4248"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color w:val="auto"/>
                <w:sz w:val="20"/>
              </w:rPr>
            </w:pPr>
            <w:r>
              <w:rPr>
                <w:color w:val="auto"/>
                <w:sz w:val="20"/>
              </w:rPr>
              <w:t>Контрольные сроки прибытия</w:t>
            </w:r>
            <w:r>
              <w:rPr>
                <w:color w:val="auto"/>
                <w:sz w:val="20"/>
                <w:vertAlign w:val="superscript"/>
              </w:rPr>
              <w:t>**</w:t>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Критический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позднее 1 рабочего часа</w:t>
            </w:r>
          </w:p>
        </w:tc>
      </w:tr>
      <w:tr>
        <w:trPr/>
        <w:tc>
          <w:tcPr>
            <w:tcW w:w="424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rPr>
                <w:color w:val="auto"/>
                <w:sz w:val="20"/>
              </w:rPr>
            </w:pPr>
            <w:r>
              <w:rPr>
                <w:color w:val="auto"/>
                <w:sz w:val="20"/>
              </w:rPr>
            </w:r>
          </w:p>
        </w:tc>
        <w:tc>
          <w:tcPr>
            <w:tcW w:w="184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center"/>
              <w:rPr>
                <w:color w:val="auto"/>
                <w:sz w:val="20"/>
              </w:rPr>
            </w:pPr>
            <w:r>
              <w:rPr>
                <w:color w:val="auto"/>
                <w:sz w:val="20"/>
              </w:rPr>
              <w:t>Высокий</w:t>
            </w:r>
          </w:p>
        </w:tc>
        <w:tc>
          <w:tcPr>
            <w:tcW w:w="439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start="312"/>
              <w:jc w:val="start"/>
              <w:rPr>
                <w:color w:val="auto"/>
                <w:sz w:val="20"/>
              </w:rPr>
            </w:pPr>
            <w:r>
              <w:rPr>
                <w:color w:val="auto"/>
                <w:sz w:val="20"/>
              </w:rPr>
              <w:t>Не позднее следующего за обращением рабочего дня</w:t>
            </w:r>
          </w:p>
        </w:tc>
      </w:tr>
    </w:tbl>
    <w:p>
      <w:pPr>
        <w:pStyle w:val="Normal"/>
        <w:spacing w:lineRule="auto" w:line="240" w:before="0" w:after="0"/>
        <w:contextualSpacing/>
        <w:rPr>
          <w:color w:val="auto"/>
          <w:sz w:val="20"/>
        </w:rPr>
      </w:pPr>
      <w:r>
        <w:rPr>
          <w:color w:val="auto"/>
          <w:sz w:val="20"/>
          <w:vertAlign w:val="superscript"/>
        </w:rPr>
        <w:t xml:space="preserve">*  </w:t>
      </w:r>
      <w:r>
        <w:rPr>
          <w:color w:val="auto"/>
          <w:sz w:val="20"/>
        </w:rPr>
        <w:t>В случаях, если для решения проблемы требуется принятие каких-либо действий от третьих лиц (не включающих Заказчика и Исполнителя), то контрольные сроки при этом не учитываются до совершения таких действий третьими лицами.</w:t>
      </w:r>
    </w:p>
    <w:p>
      <w:pPr>
        <w:pStyle w:val="Normal"/>
        <w:spacing w:lineRule="auto" w:line="240" w:before="0" w:after="0"/>
        <w:contextualSpacing/>
        <w:rPr>
          <w:color w:val="auto"/>
          <w:sz w:val="20"/>
        </w:rPr>
      </w:pPr>
      <w:r>
        <w:rPr>
          <w:color w:val="auto"/>
          <w:sz w:val="20"/>
          <w:vertAlign w:val="superscript"/>
        </w:rPr>
        <w:t>**</w:t>
      </w:r>
      <w:r>
        <w:rPr>
          <w:color w:val="auto"/>
          <w:sz w:val="20"/>
        </w:rPr>
        <w:t>Рабочее время с 09:00 до 18:00 (московское время).</w:t>
      </w:r>
    </w:p>
    <w:p>
      <w:pPr>
        <w:pStyle w:val="Normal"/>
        <w:spacing w:lineRule="auto" w:line="240"/>
        <w:rPr>
          <w:color w:val="auto"/>
          <w:sz w:val="20"/>
        </w:rPr>
      </w:pPr>
      <w:r>
        <w:rPr>
          <w:color w:val="auto"/>
          <w:sz w:val="20"/>
        </w:rPr>
        <w:t>Если «требования SLA» нарушаются, Инцидент выводится на другой уровень приоритета в сторону его повышения (для присвоения Инциденту приоритета «Высокий» и «Критический» в таком случае, необходимо подтверждение со стороны уполномоченного представителя Заказчика). Если в ходе устранения Инцидента с приоритетом «Критический» применено обходное решение - приоритет понижается до уровня «Высокий». В случаях, когда возникшие неполадки не удается устранить Заказчику своими силами, в том числе после получения консультаций, Исполнитель организовывает экстренный выезд специалистов в соответствии с требованиями раздела 7.1.3 настоящего приложения к техническому заданию.</w:t>
      </w:r>
    </w:p>
    <w:p>
      <w:pPr>
        <w:pStyle w:val="Normal"/>
        <w:spacing w:lineRule="auto" w:line="240"/>
        <w:rPr>
          <w:color w:val="auto"/>
          <w:sz w:val="20"/>
        </w:rPr>
      </w:pPr>
      <w:r>
        <w:rPr>
          <w:color w:val="auto"/>
          <w:sz w:val="20"/>
        </w:rPr>
        <w:t>Если «Запрос на обслуживание» связан с изменением межсетевых ключей, изменение состояния АП, участвующих в межсетевом взаимодействии с доверенными сетями, ведущих к нарушению межсетевого взаимодействия, Исполнитель заблаговременно (не позднее чём за 5 дней) до проведения работ, оповещают официальным письмом от имени Заказчика владельцев доверенных сетей о сроках проведения таких работ.</w:t>
      </w:r>
    </w:p>
    <w:p>
      <w:pPr>
        <w:pStyle w:val="Heading3"/>
        <w:numPr>
          <w:ilvl w:val="2"/>
          <w:numId w:val="6"/>
        </w:numPr>
        <w:tabs>
          <w:tab w:val="clear" w:pos="709"/>
        </w:tabs>
        <w:spacing w:lineRule="auto" w:line="240" w:before="120" w:after="0"/>
        <w:ind w:hanging="5" w:start="709"/>
        <w:rPr>
          <w:b/>
          <w:bCs/>
          <w:iCs/>
          <w:color w:val="auto"/>
          <w:sz w:val="20"/>
        </w:rPr>
      </w:pPr>
      <w:bookmarkStart w:id="7" w:name="_Ref146791614"/>
      <w:r>
        <w:rPr>
          <w:b/>
          <w:bCs/>
          <w:iCs/>
          <w:color w:val="auto"/>
          <w:sz w:val="20"/>
        </w:rPr>
        <w:t>Требования к выезду специалистов по адресу Заказчика</w:t>
      </w:r>
      <w:bookmarkEnd w:id="7"/>
    </w:p>
    <w:p>
      <w:pPr>
        <w:pStyle w:val="Normal"/>
        <w:spacing w:lineRule="auto" w:line="240"/>
        <w:rPr>
          <w:color w:val="auto"/>
          <w:sz w:val="20"/>
        </w:rPr>
      </w:pPr>
      <w:r>
        <w:rPr>
          <w:color w:val="auto"/>
          <w:sz w:val="20"/>
        </w:rPr>
        <w:t>Выезд специалистов Исполнителя по адресу Заказчика производится для проведения следующих мероприятий:</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устранения критических неисправностей в работе СКЗИ;</w:t>
      </w:r>
    </w:p>
    <w:p>
      <w:pPr>
        <w:pStyle w:val="ListParagraph"/>
        <w:numPr>
          <w:ilvl w:val="0"/>
          <w:numId w:val="1"/>
        </w:numPr>
        <w:tabs>
          <w:tab w:val="clear" w:pos="709"/>
          <w:tab w:val="left" w:pos="992" w:leader="none"/>
        </w:tabs>
        <w:spacing w:lineRule="auto" w:line="240"/>
        <w:ind w:firstLine="709" w:start="0"/>
        <w:rPr>
          <w:color w:val="auto"/>
          <w:sz w:val="20"/>
        </w:rPr>
      </w:pPr>
      <w:r>
        <w:rPr>
          <w:iCs/>
          <w:sz w:val="20"/>
        </w:rPr>
        <w:t>обновление версий СКЗИ и установка рекомендуемых производителем обновлений при выходе новых и исправленных версий.</w:t>
      </w:r>
    </w:p>
    <w:p>
      <w:pPr>
        <w:pStyle w:val="Normal"/>
        <w:spacing w:lineRule="auto" w:line="240"/>
        <w:rPr>
          <w:color w:val="auto"/>
          <w:sz w:val="20"/>
        </w:rPr>
      </w:pPr>
      <w:r>
        <w:rPr>
          <w:color w:val="auto"/>
          <w:sz w:val="20"/>
        </w:rPr>
        <w:t xml:space="preserve">Решение о необходимости выезда по адресу Заказчика принимается специалистом Исполнителя, ответственным за решение проблемы, на основании данных, полученных от Заказчика либо по результатам проведения предварительного расследования инцидента. Исполнитель обеспечивает уровень оперативности выполнения работ путем гарантированного прибытия специалиста на адрес проведения работ не позднее контрольных сроков прибытия, определённых в Таблице </w:t>
      </w:r>
      <w:r>
        <w:rPr>
          <w:color w:val="auto"/>
          <w:sz w:val="20"/>
        </w:rPr>
        <w:fldChar w:fldCharType="begin"/>
      </w:r>
      <w:r>
        <w:rPr>
          <w:color w:val="auto"/>
          <w:sz w:val="20"/>
        </w:rPr>
        <w:instrText xml:space="preserve"> REF _Ref188953528 \h </w:instrText>
      </w:r>
      <w:r>
        <w:rPr>
          <w:color w:val="auto"/>
          <w:sz w:val="20"/>
        </w:rPr>
        <w:fldChar w:fldCharType="separate"/>
      </w:r>
      <w:r>
        <w:rPr>
          <w:color w:val="auto"/>
          <w:sz w:val="20"/>
        </w:rPr>
        <w:t>Таблица 2</w:t>
      </w:r>
      <w:r>
        <w:rPr>
          <w:color w:val="auto"/>
          <w:sz w:val="20"/>
        </w:rPr>
        <w:fldChar w:fldCharType="end"/>
      </w:r>
      <w:r>
        <w:rPr>
          <w:color w:val="auto"/>
          <w:sz w:val="20"/>
        </w:rPr>
        <w:t xml:space="preserve"> настоящего приложения к техническому заданию.</w:t>
      </w:r>
    </w:p>
    <w:p>
      <w:pPr>
        <w:pStyle w:val="Normal"/>
        <w:spacing w:lineRule="auto" w:line="240"/>
        <w:rPr>
          <w:color w:val="auto"/>
          <w:sz w:val="20"/>
        </w:rPr>
      </w:pPr>
      <w:r>
        <w:rPr>
          <w:color w:val="auto"/>
          <w:sz w:val="20"/>
        </w:rPr>
        <w:t>По результатам оказанных услуг составляется акт, согласованный с Заказчиком, который подписывается со стороны Исполнителя сотрудником, оказывавшим услугу, со стороны Заказчика лицом, инициировавшим обращение или уполномоченным представителем Заказчика. В акте фиксируются оказанные услуги и общее время оказанных услуг по адресу Заказчика специалистом Исполнителя.</w:t>
      </w:r>
    </w:p>
    <w:p>
      <w:pPr>
        <w:pStyle w:val="Normal"/>
        <w:spacing w:lineRule="auto" w:line="240"/>
        <w:rPr>
          <w:color w:val="auto"/>
          <w:sz w:val="20"/>
        </w:rPr>
      </w:pPr>
      <w:r>
        <w:rPr>
          <w:color w:val="auto"/>
          <w:sz w:val="20"/>
        </w:rPr>
        <w:t>Выполнение работ по сервисному ремонту неисправного ПАК не предусмотрено в рамках настоящего технического задания.</w:t>
      </w:r>
    </w:p>
    <w:p>
      <w:pPr>
        <w:pStyle w:val="Heading2"/>
        <w:numPr>
          <w:ilvl w:val="0"/>
          <w:numId w:val="22"/>
        </w:numPr>
        <w:rPr>
          <w:b/>
          <w:bCs/>
          <w:i w:val="false"/>
          <w:iCs/>
          <w:color w:val="auto"/>
          <w:sz w:val="20"/>
        </w:rPr>
      </w:pPr>
      <w:bookmarkStart w:id="8" w:name="_Ref146806192"/>
      <w:r>
        <w:rPr>
          <w:b/>
          <w:bCs/>
          <w:i w:val="false"/>
          <w:iCs/>
          <w:color w:val="auto"/>
          <w:sz w:val="20"/>
        </w:rPr>
        <w:t xml:space="preserve">Требования к услугам </w:t>
      </w:r>
      <w:bookmarkEnd w:id="8"/>
      <w:r>
        <w:rPr>
          <w:b/>
          <w:bCs/>
          <w:i w:val="false"/>
          <w:iCs/>
          <w:color w:val="auto"/>
          <w:sz w:val="20"/>
        </w:rPr>
        <w:t>по техническому сопровождению средств криптографической защиты информации</w:t>
      </w:r>
    </w:p>
    <w:p>
      <w:pPr>
        <w:pStyle w:val="Normal"/>
        <w:spacing w:lineRule="auto" w:line="240"/>
        <w:rPr>
          <w:color w:val="auto"/>
          <w:sz w:val="20"/>
        </w:rPr>
      </w:pPr>
      <w:r>
        <w:rPr>
          <w:color w:val="auto"/>
          <w:sz w:val="20"/>
        </w:rPr>
        <w:t>Услуги оказываются в течение срока оказания услуг, указанного в разделе 5.</w:t>
      </w:r>
    </w:p>
    <w:p>
      <w:pPr>
        <w:pStyle w:val="Normal"/>
        <w:spacing w:lineRule="auto" w:line="240"/>
        <w:rPr>
          <w:color w:val="auto"/>
          <w:sz w:val="20"/>
        </w:rPr>
      </w:pPr>
      <w:r>
        <w:rPr>
          <w:color w:val="auto"/>
          <w:sz w:val="20"/>
        </w:rPr>
        <w:t xml:space="preserve">Услуги по техническому сопровождению средств криптографической защиты информации осуществляются в соответствии с порядком оказания услуг, приведенным в разделе </w:t>
      </w:r>
      <w:r>
        <w:rPr>
          <w:color w:val="auto"/>
          <w:sz w:val="20"/>
        </w:rPr>
        <w:fldChar w:fldCharType="begin"/>
      </w:r>
      <w:r>
        <w:rPr>
          <w:color w:val="auto"/>
          <w:sz w:val="20"/>
        </w:rPr>
        <w:instrText xml:space="preserve"> REF _Ref146798359 \r \r \h </w:instrText>
      </w:r>
      <w:r>
        <w:rPr>
          <w:color w:val="auto"/>
          <w:sz w:val="20"/>
        </w:rPr>
        <w:fldChar w:fldCharType="separate"/>
      </w:r>
      <w:r>
        <w:rPr>
          <w:color w:val="auto"/>
          <w:sz w:val="20"/>
        </w:rPr>
        <w:t>7.1</w:t>
      </w:r>
      <w:r>
        <w:rPr>
          <w:color w:val="auto"/>
          <w:sz w:val="20"/>
        </w:rPr>
        <w:fldChar w:fldCharType="end"/>
      </w:r>
      <w:r>
        <w:rPr>
          <w:color w:val="auto"/>
          <w:sz w:val="20"/>
        </w:rPr>
        <w:t xml:space="preserve"> настоящего приложения к техническому заданию, в отношении СКЗИ, состав которых указан в разделе </w:t>
      </w:r>
      <w:r>
        <w:rPr>
          <w:color w:val="auto"/>
          <w:sz w:val="20"/>
        </w:rPr>
        <w:fldChar w:fldCharType="begin"/>
      </w:r>
      <w:r>
        <w:rPr>
          <w:color w:val="auto"/>
          <w:sz w:val="20"/>
        </w:rPr>
        <w:instrText xml:space="preserve"> REF _Ref188881791 \r \r \h </w:instrText>
      </w:r>
      <w:r>
        <w:rPr>
          <w:color w:val="auto"/>
          <w:sz w:val="20"/>
        </w:rPr>
        <w:fldChar w:fldCharType="separate"/>
      </w:r>
      <w:r>
        <w:rPr>
          <w:color w:val="auto"/>
          <w:sz w:val="20"/>
        </w:rPr>
        <w:t>6</w:t>
      </w:r>
      <w:r>
        <w:rPr>
          <w:color w:val="auto"/>
          <w:sz w:val="20"/>
        </w:rPr>
        <w:fldChar w:fldCharType="end"/>
      </w:r>
      <w:r>
        <w:rPr>
          <w:color w:val="auto"/>
          <w:sz w:val="20"/>
        </w:rPr>
        <w:t xml:space="preserve"> настоящего приложения к техническому заданию.</w:t>
      </w:r>
    </w:p>
    <w:p>
      <w:pPr>
        <w:pStyle w:val="Normal"/>
        <w:spacing w:lineRule="auto" w:line="240"/>
        <w:rPr>
          <w:color w:val="auto"/>
          <w:sz w:val="20"/>
        </w:rPr>
      </w:pPr>
      <w:r>
        <w:rPr>
          <w:color w:val="auto"/>
          <w:sz w:val="20"/>
        </w:rPr>
        <w:t>Услуги по техническому сопровождению средств криптографической защиты информации включают в себя:</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устранение инцидентов и сбоев СКЗИ с выездом специалиста Исполнителя на территорию Заказчика, консультации и рекомендации по устранению неполадок и сбоев СКЗИ;</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проведение плановых работ;</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проведение регламентного и профилактического обслуживания;</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обновление версий СКЗИ и установка рекомендуемых производителем обновлений при выходе новых и исправленных версий;</w:t>
      </w:r>
    </w:p>
    <w:p>
      <w:pPr>
        <w:pStyle w:val="ListParagraph"/>
        <w:numPr>
          <w:ilvl w:val="0"/>
          <w:numId w:val="1"/>
        </w:numPr>
        <w:tabs>
          <w:tab w:val="clear" w:pos="709"/>
          <w:tab w:val="left" w:pos="992" w:leader="none"/>
        </w:tabs>
        <w:spacing w:lineRule="auto" w:line="240"/>
        <w:ind w:firstLine="709" w:start="0"/>
        <w:rPr>
          <w:color w:val="auto"/>
          <w:sz w:val="20"/>
        </w:rPr>
      </w:pPr>
      <w:r>
        <w:rPr>
          <w:color w:val="auto"/>
          <w:sz w:val="20"/>
        </w:rPr>
        <w:t>телефонные консультации по устранению неполадок.</w:t>
      </w:r>
    </w:p>
    <w:p>
      <w:pPr>
        <w:pStyle w:val="Normal"/>
        <w:spacing w:lineRule="auto" w:line="240"/>
        <w:rPr>
          <w:iCs/>
          <w:sz w:val="20"/>
        </w:rPr>
      </w:pPr>
      <w:r>
        <w:rPr>
          <w:iCs/>
          <w:sz w:val="20"/>
        </w:rPr>
        <w:t>К плановым работам относится:</w:t>
      </w:r>
    </w:p>
    <w:p>
      <w:pPr>
        <w:pStyle w:val="Normal"/>
        <w:spacing w:lineRule="auto" w:line="240"/>
        <w:rPr>
          <w:sz w:val="20"/>
        </w:rPr>
      </w:pPr>
      <w:r>
        <w:rPr>
          <w:sz w:val="20"/>
        </w:rPr>
        <w:t>Администрирование защищённой сети ViPNet № 1697 и выполнение запросов на обслуживание. Выполнение работ по администрированию защищённой сети ViPNet сети № 1697 включает в себя:</w:t>
      </w:r>
    </w:p>
    <w:p>
      <w:pPr>
        <w:pStyle w:val="ListParagraph"/>
        <w:numPr>
          <w:ilvl w:val="0"/>
          <w:numId w:val="18"/>
        </w:numPr>
        <w:spacing w:lineRule="auto" w:line="240" w:before="0" w:after="0"/>
        <w:ind w:firstLine="709" w:start="0"/>
        <w:contextualSpacing/>
        <w:rPr>
          <w:sz w:val="20"/>
        </w:rPr>
      </w:pPr>
      <w:r>
        <w:rPr>
          <w:sz w:val="20"/>
        </w:rPr>
        <w:t>настройку и изменение правил туннелирования;</w:t>
      </w:r>
    </w:p>
    <w:p>
      <w:pPr>
        <w:pStyle w:val="ListParagraph"/>
        <w:numPr>
          <w:ilvl w:val="0"/>
          <w:numId w:val="18"/>
        </w:numPr>
        <w:spacing w:lineRule="auto" w:line="240" w:before="0" w:after="0"/>
        <w:ind w:firstLine="709" w:start="0"/>
        <w:contextualSpacing/>
        <w:rPr>
          <w:sz w:val="20"/>
        </w:rPr>
      </w:pPr>
      <w:r>
        <w:rPr>
          <w:sz w:val="20"/>
        </w:rPr>
        <w:t>изменение настроек трансляции сетевых адресов (NAT);</w:t>
      </w:r>
    </w:p>
    <w:p>
      <w:pPr>
        <w:pStyle w:val="ListParagraph"/>
        <w:numPr>
          <w:ilvl w:val="0"/>
          <w:numId w:val="18"/>
        </w:numPr>
        <w:spacing w:lineRule="auto" w:line="240" w:before="0" w:after="0"/>
        <w:ind w:firstLine="709" w:start="0"/>
        <w:contextualSpacing/>
        <w:rPr>
          <w:sz w:val="20"/>
        </w:rPr>
      </w:pPr>
      <w:r>
        <w:rPr>
          <w:sz w:val="20"/>
        </w:rPr>
        <w:t>настройку связей и задание полномочий пользователей сети;</w:t>
      </w:r>
    </w:p>
    <w:p>
      <w:pPr>
        <w:pStyle w:val="ListParagraph"/>
        <w:numPr>
          <w:ilvl w:val="0"/>
          <w:numId w:val="18"/>
        </w:numPr>
        <w:spacing w:lineRule="auto" w:line="240" w:before="0" w:after="0"/>
        <w:ind w:firstLine="709" w:start="0"/>
        <w:contextualSpacing/>
        <w:rPr>
          <w:sz w:val="20"/>
        </w:rPr>
      </w:pPr>
      <w:r>
        <w:rPr>
          <w:sz w:val="20"/>
        </w:rPr>
        <w:t>генерацию существующих дистрибутивов ключевой информации узлов защищённой сети;</w:t>
      </w:r>
    </w:p>
    <w:p>
      <w:pPr>
        <w:pStyle w:val="ListParagraph"/>
        <w:numPr>
          <w:ilvl w:val="0"/>
          <w:numId w:val="18"/>
        </w:numPr>
        <w:spacing w:lineRule="auto" w:line="240" w:before="0" w:after="0"/>
        <w:ind w:firstLine="709" w:start="0"/>
        <w:contextualSpacing/>
        <w:rPr>
          <w:sz w:val="20"/>
        </w:rPr>
      </w:pPr>
      <w:r>
        <w:rPr>
          <w:sz w:val="20"/>
        </w:rPr>
        <w:t>обновление списка отозванных сертификатов, переиздание сертификатов пользователей;</w:t>
      </w:r>
    </w:p>
    <w:p>
      <w:pPr>
        <w:pStyle w:val="ListParagraph"/>
        <w:numPr>
          <w:ilvl w:val="0"/>
          <w:numId w:val="18"/>
        </w:numPr>
        <w:spacing w:lineRule="auto" w:line="240" w:before="0" w:after="0"/>
        <w:ind w:firstLine="709" w:start="0"/>
        <w:contextualSpacing/>
        <w:rPr>
          <w:sz w:val="20"/>
        </w:rPr>
      </w:pPr>
      <w:r>
        <w:rPr>
          <w:sz w:val="20"/>
        </w:rPr>
        <w:t>переименование абонентских пунктов;</w:t>
      </w:r>
    </w:p>
    <w:p>
      <w:pPr>
        <w:pStyle w:val="ListParagraph"/>
        <w:numPr>
          <w:ilvl w:val="0"/>
          <w:numId w:val="18"/>
        </w:numPr>
        <w:spacing w:lineRule="auto" w:line="240" w:before="0" w:after="0"/>
        <w:ind w:firstLine="709" w:start="0"/>
        <w:contextualSpacing/>
        <w:rPr>
          <w:sz w:val="20"/>
        </w:rPr>
      </w:pPr>
      <w:r>
        <w:rPr>
          <w:sz w:val="20"/>
        </w:rPr>
        <w:t>формирование и отправка справочной информации на узлы защищённой сети;</w:t>
      </w:r>
    </w:p>
    <w:p>
      <w:pPr>
        <w:pStyle w:val="ListParagraph"/>
        <w:numPr>
          <w:ilvl w:val="0"/>
          <w:numId w:val="18"/>
        </w:numPr>
        <w:spacing w:lineRule="auto" w:line="240" w:before="0" w:after="0"/>
        <w:ind w:firstLine="709" w:start="0"/>
        <w:contextualSpacing/>
        <w:rPr>
          <w:sz w:val="20"/>
        </w:rPr>
      </w:pPr>
      <w:r>
        <w:rPr>
          <w:sz w:val="20"/>
        </w:rPr>
        <w:t>настройку конфигурации узлов сети;</w:t>
      </w:r>
    </w:p>
    <w:p>
      <w:pPr>
        <w:pStyle w:val="ListParagraph"/>
        <w:numPr>
          <w:ilvl w:val="0"/>
          <w:numId w:val="18"/>
        </w:numPr>
        <w:spacing w:lineRule="auto" w:line="240" w:before="0" w:after="0"/>
        <w:ind w:firstLine="709" w:start="0"/>
        <w:contextualSpacing/>
        <w:rPr>
          <w:sz w:val="20"/>
        </w:rPr>
      </w:pPr>
      <w:r>
        <w:rPr>
          <w:sz w:val="20"/>
        </w:rPr>
        <w:t>инициализацию справочно-ключевой информации;</w:t>
      </w:r>
    </w:p>
    <w:p>
      <w:pPr>
        <w:pStyle w:val="ListParagraph"/>
        <w:numPr>
          <w:ilvl w:val="0"/>
          <w:numId w:val="18"/>
        </w:numPr>
        <w:spacing w:lineRule="auto" w:line="240" w:before="0" w:after="0"/>
        <w:ind w:firstLine="709" w:start="0"/>
        <w:contextualSpacing/>
        <w:rPr>
          <w:sz w:val="20"/>
        </w:rPr>
      </w:pPr>
      <w:r>
        <w:rPr>
          <w:sz w:val="20"/>
        </w:rPr>
        <w:t>поддержку межсетевых взаимодействий с другими ViPNet сетями, включая:</w:t>
      </w:r>
    </w:p>
    <w:p>
      <w:pPr>
        <w:pStyle w:val="Normal"/>
        <w:numPr>
          <w:ilvl w:val="0"/>
          <w:numId w:val="19"/>
        </w:numPr>
        <w:spacing w:lineRule="auto" w:line="240" w:before="0" w:after="0"/>
        <w:ind w:firstLine="709" w:start="0"/>
        <w:contextualSpacing/>
        <w:rPr>
          <w:sz w:val="20"/>
        </w:rPr>
      </w:pPr>
      <w:r>
        <w:rPr>
          <w:sz w:val="20"/>
        </w:rPr>
        <w:t>обработку импорта от смежных ViPNet сетей;</w:t>
      </w:r>
    </w:p>
    <w:p>
      <w:pPr>
        <w:pStyle w:val="Normal"/>
        <w:numPr>
          <w:ilvl w:val="0"/>
          <w:numId w:val="19"/>
        </w:numPr>
        <w:spacing w:lineRule="auto" w:line="240" w:before="0" w:after="0"/>
        <w:ind w:firstLine="709" w:start="0"/>
        <w:contextualSpacing/>
        <w:rPr>
          <w:sz w:val="20"/>
        </w:rPr>
      </w:pPr>
      <w:r>
        <w:rPr>
          <w:sz w:val="20"/>
        </w:rPr>
        <w:t>обновление связей с узлами смежных ViPNet сетей;</w:t>
      </w:r>
    </w:p>
    <w:p>
      <w:pPr>
        <w:pStyle w:val="Normal"/>
        <w:numPr>
          <w:ilvl w:val="0"/>
          <w:numId w:val="19"/>
        </w:numPr>
        <w:spacing w:lineRule="auto" w:line="240" w:before="0" w:after="0"/>
        <w:ind w:firstLine="709" w:start="0"/>
        <w:contextualSpacing/>
        <w:rPr>
          <w:sz w:val="20"/>
        </w:rPr>
      </w:pPr>
      <w:r>
        <w:rPr>
          <w:sz w:val="20"/>
        </w:rPr>
        <w:t>создание ответного экспорта для смежных ViPNet сетей;</w:t>
      </w:r>
    </w:p>
    <w:p>
      <w:pPr>
        <w:pStyle w:val="Normal"/>
        <w:numPr>
          <w:ilvl w:val="0"/>
          <w:numId w:val="19"/>
        </w:numPr>
        <w:spacing w:lineRule="auto" w:line="240" w:before="0" w:after="0"/>
        <w:ind w:firstLine="709" w:start="0"/>
        <w:contextualSpacing/>
        <w:rPr>
          <w:sz w:val="20"/>
        </w:rPr>
      </w:pPr>
      <w:r>
        <w:rPr>
          <w:sz w:val="20"/>
        </w:rPr>
        <w:t>итоговое тестирование СКЗИ ViPNet.</w:t>
      </w:r>
    </w:p>
    <w:p>
      <w:pPr>
        <w:pStyle w:val="Normal"/>
        <w:spacing w:lineRule="auto" w:line="240"/>
        <w:rPr>
          <w:color w:val="auto"/>
          <w:sz w:val="20"/>
        </w:rPr>
      </w:pPr>
      <w:r>
        <w:rPr>
          <w:color w:val="auto"/>
          <w:sz w:val="20"/>
        </w:rPr>
        <w:t>Проведение регламентного и профилактического обслуживания осуществляются не менее одного раза в месяц на объекте Заказчика. График проведения регламентного и профилактического обслуживания определяется Исполнителем и предоставляется в адрес Заказчика в течение 3 (трёх) рабочих дней с даты заключения договора, утверждается Заказчиком в течение 2 (двух) рабочих дней с момента предоставления графика Исполнителем. Заказчик вправе согласовать с Исполнителем иное время проведения работ в пределах 2 (двух) рабочих дней от утвержденной даты.</w:t>
      </w:r>
    </w:p>
    <w:p>
      <w:pPr>
        <w:pStyle w:val="Normal"/>
        <w:spacing w:lineRule="auto" w:line="240"/>
        <w:rPr>
          <w:color w:val="auto"/>
          <w:sz w:val="20"/>
        </w:rPr>
      </w:pPr>
      <w:r>
        <w:rPr>
          <w:color w:val="auto"/>
          <w:sz w:val="20"/>
        </w:rPr>
        <w:t>Исполнитель выполняет регламентное и профилактическое обслуживание, не причиняя неудобств сотрудникам Заказчика и не нарушая их рабочий процесс.</w:t>
      </w:r>
    </w:p>
    <w:p>
      <w:pPr>
        <w:pStyle w:val="Normal"/>
        <w:spacing w:lineRule="auto" w:line="240"/>
        <w:rPr>
          <w:color w:val="auto"/>
          <w:sz w:val="20"/>
        </w:rPr>
      </w:pPr>
      <w:r>
        <w:rPr>
          <w:color w:val="auto"/>
          <w:sz w:val="20"/>
        </w:rPr>
        <w:t>Регламентное и профилактическое обслуживание предусматривает выполнение следующего объема работ:</w:t>
      </w:r>
    </w:p>
    <w:p>
      <w:pPr>
        <w:pStyle w:val="Normal"/>
        <w:spacing w:lineRule="auto" w:line="240"/>
        <w:rPr>
          <w:b/>
          <w:bCs/>
          <w:i/>
          <w:color w:val="auto"/>
          <w:sz w:val="20"/>
          <w:lang w:val="en-US"/>
        </w:rPr>
      </w:pPr>
      <w:r>
        <w:rPr>
          <w:b/>
          <w:bCs/>
          <w:i/>
          <w:color w:val="auto"/>
          <w:sz w:val="20"/>
        </w:rPr>
        <w:t>для</w:t>
      </w:r>
      <w:r>
        <w:rPr>
          <w:b/>
          <w:bCs/>
          <w:i/>
          <w:color w:val="auto"/>
          <w:sz w:val="20"/>
          <w:lang w:val="en-US"/>
        </w:rPr>
        <w:t xml:space="preserve"> </w:t>
      </w:r>
      <w:r>
        <w:rPr>
          <w:b/>
          <w:bCs/>
          <w:i/>
          <w:color w:val="auto"/>
          <w:sz w:val="20"/>
        </w:rPr>
        <w:t>ПАК</w:t>
      </w:r>
      <w:r>
        <w:rPr>
          <w:b/>
          <w:bCs/>
          <w:i/>
          <w:color w:val="auto"/>
          <w:sz w:val="20"/>
          <w:lang w:val="en-US"/>
        </w:rPr>
        <w:t xml:space="preserve"> «ViPNet Coordinator HW»:</w:t>
      </w:r>
    </w:p>
    <w:p>
      <w:pPr>
        <w:pStyle w:val="ListParagraph"/>
        <w:numPr>
          <w:ilvl w:val="0"/>
          <w:numId w:val="17"/>
        </w:numPr>
        <w:tabs>
          <w:tab w:val="clear" w:pos="709"/>
          <w:tab w:val="left" w:pos="992" w:leader="none"/>
        </w:tabs>
        <w:spacing w:lineRule="auto" w:line="240"/>
        <w:rPr>
          <w:color w:val="auto"/>
          <w:sz w:val="20"/>
        </w:rPr>
      </w:pPr>
      <w:r>
        <w:rPr>
          <w:color w:val="auto"/>
          <w:sz w:val="20"/>
        </w:rPr>
        <w:t>анализ параметров функционирования координатора и, при необходимости, их изменение;</w:t>
      </w:r>
    </w:p>
    <w:p>
      <w:pPr>
        <w:pStyle w:val="ListParagraph"/>
        <w:numPr>
          <w:ilvl w:val="0"/>
          <w:numId w:val="17"/>
        </w:numPr>
        <w:tabs>
          <w:tab w:val="clear" w:pos="709"/>
          <w:tab w:val="left" w:pos="992" w:leader="none"/>
        </w:tabs>
        <w:spacing w:lineRule="auto" w:line="240"/>
        <w:rPr>
          <w:color w:val="auto"/>
          <w:sz w:val="20"/>
        </w:rPr>
      </w:pPr>
      <w:r>
        <w:rPr>
          <w:color w:val="auto"/>
          <w:sz w:val="20"/>
        </w:rPr>
        <w:t>проверка прохождения служебных пакетов службы mftp;</w:t>
      </w:r>
    </w:p>
    <w:p>
      <w:pPr>
        <w:pStyle w:val="ListParagraph"/>
        <w:numPr>
          <w:ilvl w:val="0"/>
          <w:numId w:val="17"/>
        </w:numPr>
        <w:tabs>
          <w:tab w:val="clear" w:pos="709"/>
          <w:tab w:val="left" w:pos="992" w:leader="none"/>
        </w:tabs>
        <w:spacing w:lineRule="auto" w:line="240"/>
        <w:rPr>
          <w:color w:val="auto"/>
          <w:sz w:val="20"/>
        </w:rPr>
      </w:pPr>
      <w:r>
        <w:rPr>
          <w:color w:val="auto"/>
          <w:sz w:val="20"/>
        </w:rPr>
        <w:t>проверка логов оборудования;</w:t>
      </w:r>
    </w:p>
    <w:p>
      <w:pPr>
        <w:pStyle w:val="ListParagraph"/>
        <w:numPr>
          <w:ilvl w:val="0"/>
          <w:numId w:val="17"/>
        </w:numPr>
        <w:tabs>
          <w:tab w:val="clear" w:pos="709"/>
          <w:tab w:val="left" w:pos="992" w:leader="none"/>
        </w:tabs>
        <w:spacing w:lineRule="auto" w:line="240"/>
        <w:rPr>
          <w:color w:val="auto"/>
          <w:sz w:val="20"/>
        </w:rPr>
      </w:pPr>
      <w:r>
        <w:rPr>
          <w:color w:val="auto"/>
          <w:sz w:val="20"/>
        </w:rPr>
        <w:t>проверка работы всех служб;</w:t>
      </w:r>
    </w:p>
    <w:p>
      <w:pPr>
        <w:pStyle w:val="ListParagraph"/>
        <w:numPr>
          <w:ilvl w:val="0"/>
          <w:numId w:val="17"/>
        </w:numPr>
        <w:tabs>
          <w:tab w:val="clear" w:pos="709"/>
          <w:tab w:val="left" w:pos="992" w:leader="none"/>
        </w:tabs>
        <w:spacing w:lineRule="auto" w:line="240"/>
        <w:rPr>
          <w:color w:val="auto"/>
          <w:sz w:val="20"/>
        </w:rPr>
      </w:pPr>
      <w:r>
        <w:rPr>
          <w:color w:val="auto"/>
          <w:sz w:val="20"/>
        </w:rPr>
        <w:t>анализ журналов аудита, фильтрации трафика и журналов регистрации сетевых пакетов;</w:t>
      </w:r>
    </w:p>
    <w:p>
      <w:pPr>
        <w:pStyle w:val="ListParagraph"/>
        <w:numPr>
          <w:ilvl w:val="0"/>
          <w:numId w:val="17"/>
        </w:numPr>
        <w:tabs>
          <w:tab w:val="clear" w:pos="709"/>
          <w:tab w:val="left" w:pos="992" w:leader="none"/>
        </w:tabs>
        <w:spacing w:lineRule="auto" w:line="240"/>
        <w:rPr>
          <w:color w:val="auto"/>
          <w:sz w:val="20"/>
        </w:rPr>
      </w:pPr>
      <w:r>
        <w:rPr>
          <w:color w:val="auto"/>
          <w:sz w:val="20"/>
        </w:rPr>
        <w:t>проверка целостности программного компонента оборудования и файлов конфигурации;</w:t>
      </w:r>
    </w:p>
    <w:p>
      <w:pPr>
        <w:pStyle w:val="ListParagraph"/>
        <w:numPr>
          <w:ilvl w:val="0"/>
          <w:numId w:val="17"/>
        </w:numPr>
        <w:tabs>
          <w:tab w:val="clear" w:pos="709"/>
          <w:tab w:val="left" w:pos="992" w:leader="none"/>
        </w:tabs>
        <w:spacing w:lineRule="auto" w:line="240"/>
        <w:rPr>
          <w:color w:val="auto"/>
          <w:sz w:val="20"/>
        </w:rPr>
      </w:pPr>
      <w:r>
        <w:rPr>
          <w:color w:val="auto"/>
          <w:sz w:val="20"/>
        </w:rPr>
        <w:t>создание резервной копии конфигурации.</w:t>
      </w:r>
    </w:p>
    <w:p>
      <w:pPr>
        <w:pStyle w:val="ListParagraph"/>
        <w:tabs>
          <w:tab w:val="clear" w:pos="709"/>
          <w:tab w:val="left" w:pos="992" w:leader="none"/>
        </w:tabs>
        <w:spacing w:lineRule="auto" w:line="240"/>
        <w:ind w:hanging="0" w:start="709"/>
        <w:rPr>
          <w:b/>
          <w:bCs/>
          <w:i/>
          <w:iCs/>
          <w:color w:val="auto"/>
          <w:sz w:val="20"/>
          <w:lang w:val="en-US"/>
        </w:rPr>
      </w:pPr>
      <w:r>
        <w:rPr>
          <w:b/>
          <w:bCs/>
          <w:i/>
          <w:iCs/>
          <w:color w:val="auto"/>
          <w:sz w:val="20"/>
        </w:rPr>
        <w:t>Для</w:t>
      </w:r>
      <w:r>
        <w:rPr>
          <w:b/>
          <w:bCs/>
          <w:i/>
          <w:iCs/>
          <w:color w:val="auto"/>
          <w:sz w:val="20"/>
          <w:lang w:val="en-US"/>
        </w:rPr>
        <w:t xml:space="preserve"> </w:t>
      </w:r>
      <w:r>
        <w:rPr>
          <w:b/>
          <w:bCs/>
          <w:i/>
          <w:iCs/>
          <w:color w:val="auto"/>
          <w:sz w:val="20"/>
        </w:rPr>
        <w:t>ПО</w:t>
      </w:r>
      <w:r>
        <w:rPr>
          <w:b/>
          <w:bCs/>
          <w:i/>
          <w:iCs/>
          <w:color w:val="auto"/>
          <w:sz w:val="20"/>
          <w:lang w:val="en-US"/>
        </w:rPr>
        <w:t xml:space="preserve"> Administrator/</w:t>
      </w:r>
      <w:r>
        <w:rPr>
          <w:b/>
          <w:bCs/>
          <w:i/>
          <w:iCs/>
          <w:color w:val="auto"/>
          <w:sz w:val="20"/>
        </w:rPr>
        <w:t>ПО</w:t>
      </w:r>
      <w:r>
        <w:rPr>
          <w:b/>
          <w:bCs/>
          <w:i/>
          <w:iCs/>
          <w:color w:val="auto"/>
          <w:sz w:val="20"/>
          <w:lang w:val="en-US"/>
        </w:rPr>
        <w:t xml:space="preserve"> ViPNet Prime:</w:t>
      </w:r>
    </w:p>
    <w:p>
      <w:pPr>
        <w:pStyle w:val="ListParagraph"/>
        <w:numPr>
          <w:ilvl w:val="0"/>
          <w:numId w:val="16"/>
        </w:numPr>
        <w:tabs>
          <w:tab w:val="clear" w:pos="709"/>
          <w:tab w:val="left" w:pos="992" w:leader="none"/>
        </w:tabs>
        <w:spacing w:lineRule="auto" w:line="240"/>
        <w:rPr>
          <w:color w:val="auto"/>
          <w:sz w:val="20"/>
        </w:rPr>
      </w:pPr>
      <w:r>
        <w:rPr>
          <w:color w:val="auto"/>
          <w:sz w:val="20"/>
        </w:rPr>
        <w:t>создание снимка, резервных копий конфигурации защищённой сети ViPNet № 1697;</w:t>
      </w:r>
    </w:p>
    <w:p>
      <w:pPr>
        <w:pStyle w:val="ListParagraph"/>
        <w:numPr>
          <w:ilvl w:val="0"/>
          <w:numId w:val="16"/>
        </w:numPr>
        <w:tabs>
          <w:tab w:val="clear" w:pos="709"/>
          <w:tab w:val="left" w:pos="992" w:leader="none"/>
        </w:tabs>
        <w:spacing w:lineRule="auto" w:line="240"/>
        <w:rPr>
          <w:color w:val="auto"/>
          <w:sz w:val="20"/>
        </w:rPr>
      </w:pPr>
      <w:r>
        <w:rPr>
          <w:color w:val="auto"/>
          <w:sz w:val="20"/>
        </w:rPr>
        <w:t>плановые обновления ключей шифрования, справочников;</w:t>
      </w:r>
    </w:p>
    <w:p>
      <w:pPr>
        <w:pStyle w:val="ListParagraph"/>
        <w:numPr>
          <w:ilvl w:val="0"/>
          <w:numId w:val="16"/>
        </w:numPr>
        <w:tabs>
          <w:tab w:val="clear" w:pos="709"/>
          <w:tab w:val="left" w:pos="992" w:leader="none"/>
        </w:tabs>
        <w:spacing w:lineRule="auto" w:line="240"/>
        <w:rPr>
          <w:color w:val="auto"/>
          <w:sz w:val="20"/>
        </w:rPr>
      </w:pPr>
      <w:r>
        <w:rPr>
          <w:color w:val="auto"/>
          <w:sz w:val="20"/>
        </w:rPr>
        <w:t>проверка корректной работы всех компонентов сети ViPNet № 1697.</w:t>
      </w:r>
      <w:bookmarkStart w:id="9" w:name="_Ref158814191"/>
      <w:bookmarkStart w:id="10" w:name="_Ref164258992"/>
      <w:bookmarkStart w:id="11" w:name="_Ref159246822"/>
      <w:bookmarkStart w:id="12" w:name="_Ref164159825"/>
      <w:bookmarkEnd w:id="9"/>
      <w:bookmarkEnd w:id="10"/>
      <w:bookmarkEnd w:id="11"/>
      <w:bookmarkEnd w:id="12"/>
    </w:p>
    <w:p>
      <w:pPr>
        <w:pStyle w:val="ListParagraph"/>
        <w:numPr>
          <w:ilvl w:val="0"/>
          <w:numId w:val="22"/>
        </w:numPr>
        <w:spacing w:before="240" w:after="0"/>
        <w:rPr>
          <w:b/>
          <w:bCs/>
          <w:sz w:val="20"/>
        </w:rPr>
      </w:pPr>
      <w:r>
        <w:rPr>
          <w:b/>
          <w:bCs/>
          <w:sz w:val="20"/>
        </w:rPr>
        <w:t>Требования к услугам органа криптографической защиты информации</w:t>
      </w:r>
    </w:p>
    <w:p>
      <w:pPr>
        <w:pStyle w:val="Normal"/>
        <w:spacing w:lineRule="auto" w:line="240"/>
        <w:rPr>
          <w:sz w:val="20"/>
        </w:rPr>
      </w:pPr>
      <w:r>
        <w:rPr>
          <w:sz w:val="20"/>
        </w:rPr>
        <w:t>Услуги оказываются в течение срока оказания услуг, указанного в разделе 5.</w:t>
      </w:r>
    </w:p>
    <w:p>
      <w:pPr>
        <w:pStyle w:val="Normal"/>
        <w:spacing w:lineRule="auto" w:line="240"/>
        <w:rPr>
          <w:sz w:val="20"/>
        </w:rPr>
      </w:pPr>
      <w:r>
        <w:rPr>
          <w:sz w:val="20"/>
        </w:rPr>
        <w:t>Оказание услуг органа криптографической защиты информации включает в себя следующие работы (осуществляемые по запросу ответственного лица Заказчика):</w:t>
      </w:r>
    </w:p>
    <w:p>
      <w:pPr>
        <w:pStyle w:val="Normal"/>
        <w:numPr>
          <w:ilvl w:val="0"/>
          <w:numId w:val="23"/>
        </w:numPr>
        <w:suppressAutoHyphens w:val="true"/>
        <w:spacing w:lineRule="auto" w:line="240"/>
        <w:ind w:firstLine="510" w:start="0"/>
        <w:jc w:val="start"/>
        <w:rPr>
          <w:sz w:val="20"/>
        </w:rPr>
      </w:pPr>
      <w:r>
        <w:rPr>
          <w:sz w:val="20"/>
        </w:rPr>
        <w:t>Проверка выполнения требований к организации режима охраны и размещению специального помещения, в котором установлены средства криптографической защиты информации и (или) осуществляется их эксплуатация.</w:t>
      </w:r>
    </w:p>
    <w:p>
      <w:pPr>
        <w:pStyle w:val="Normal"/>
        <w:numPr>
          <w:ilvl w:val="0"/>
          <w:numId w:val="23"/>
        </w:numPr>
        <w:suppressAutoHyphens w:val="true"/>
        <w:spacing w:lineRule="auto" w:line="240"/>
        <w:ind w:firstLine="510" w:start="0"/>
        <w:jc w:val="start"/>
        <w:rPr>
          <w:sz w:val="20"/>
        </w:rPr>
      </w:pPr>
      <w:r>
        <w:rPr>
          <w:sz w:val="20"/>
        </w:rPr>
        <w:t>Определение подразделений и лиц, эксплуатирующих средства криптографической защиты информации.</w:t>
      </w:r>
    </w:p>
    <w:p>
      <w:pPr>
        <w:pStyle w:val="Normal"/>
        <w:numPr>
          <w:ilvl w:val="0"/>
          <w:numId w:val="23"/>
        </w:numPr>
        <w:suppressAutoHyphens w:val="true"/>
        <w:spacing w:lineRule="auto" w:line="240"/>
        <w:ind w:firstLine="510" w:start="0"/>
        <w:jc w:val="start"/>
        <w:rPr>
          <w:sz w:val="20"/>
        </w:rPr>
      </w:pPr>
      <w:r>
        <w:rPr>
          <w:sz w:val="20"/>
        </w:rPr>
        <w:t>Ведение учёта физических лиц, непосредственно допущенных к работе со средствами криптографической защиты информации.</w:t>
      </w:r>
    </w:p>
    <w:p>
      <w:pPr>
        <w:pStyle w:val="Normal"/>
        <w:numPr>
          <w:ilvl w:val="0"/>
          <w:numId w:val="23"/>
        </w:numPr>
        <w:suppressAutoHyphens w:val="true"/>
        <w:spacing w:lineRule="auto" w:line="240"/>
        <w:ind w:firstLine="510" w:start="0"/>
        <w:jc w:val="start"/>
        <w:rPr>
          <w:sz w:val="20"/>
        </w:rPr>
      </w:pPr>
      <w:r>
        <w:rPr>
          <w:sz w:val="20"/>
        </w:rPr>
        <w:t>Сбор, систематизация и актуализация сведений о предоставленных пользователям правах доступа к средствам криптографической защиты информации и информационным ресурсам, защищаемым с их использованием.</w:t>
      </w:r>
    </w:p>
    <w:p>
      <w:pPr>
        <w:pStyle w:val="Normal"/>
        <w:numPr>
          <w:ilvl w:val="0"/>
          <w:numId w:val="23"/>
        </w:numPr>
        <w:suppressAutoHyphens w:val="true"/>
        <w:spacing w:lineRule="auto" w:line="240"/>
        <w:ind w:firstLine="510" w:start="0"/>
        <w:jc w:val="start"/>
        <w:rPr>
          <w:sz w:val="20"/>
        </w:rPr>
      </w:pPr>
      <w:r>
        <w:rPr>
          <w:sz w:val="20"/>
        </w:rPr>
        <w:t>Ведение поэкземплярного учёта используемых средств криптографической защиты информации, а также эксплуатационной и технической документации к ним.</w:t>
      </w:r>
    </w:p>
    <w:p>
      <w:pPr>
        <w:pStyle w:val="Normal"/>
        <w:numPr>
          <w:ilvl w:val="0"/>
          <w:numId w:val="23"/>
        </w:numPr>
        <w:suppressAutoHyphens w:val="true"/>
        <w:spacing w:lineRule="auto" w:line="240"/>
        <w:ind w:firstLine="510" w:start="0"/>
        <w:jc w:val="start"/>
        <w:rPr>
          <w:sz w:val="20"/>
        </w:rPr>
      </w:pPr>
      <w:r>
        <w:rPr>
          <w:sz w:val="20"/>
        </w:rPr>
        <w:t>Сопровождение комплекта организационно-распорядительной документации по эксплуатации средств криптографической защиты информации в соответствии с требованиями Приказа ФАПСИ № 152.</w:t>
      </w:r>
    </w:p>
    <w:p>
      <w:pPr>
        <w:pStyle w:val="Normal"/>
        <w:numPr>
          <w:ilvl w:val="0"/>
          <w:numId w:val="23"/>
        </w:numPr>
        <w:suppressAutoHyphens w:val="true"/>
        <w:spacing w:lineRule="auto" w:line="240"/>
        <w:ind w:firstLine="510" w:start="0"/>
        <w:jc w:val="start"/>
        <w:rPr>
          <w:sz w:val="20"/>
        </w:rPr>
      </w:pPr>
      <w:r>
        <w:rPr>
          <w:sz w:val="20"/>
        </w:rPr>
        <w:t>Проведение инструктажа новых пользователей, включающего:</w:t>
      </w:r>
    </w:p>
    <w:p>
      <w:pPr>
        <w:pStyle w:val="Normal"/>
        <w:suppressAutoHyphens w:val="true"/>
        <w:spacing w:lineRule="auto" w:line="240"/>
        <w:jc w:val="start"/>
        <w:rPr>
          <w:sz w:val="20"/>
        </w:rPr>
      </w:pPr>
      <w:r>
        <w:rPr>
          <w:sz w:val="20"/>
        </w:rPr>
        <w:t xml:space="preserve">– </w:t>
      </w:r>
      <w:r>
        <w:rPr>
          <w:sz w:val="20"/>
        </w:rPr>
        <w:t>разъяснение нормативно-правовых аспектов работы со средствами криптографической защиты информации;</w:t>
      </w:r>
    </w:p>
    <w:p>
      <w:pPr>
        <w:pStyle w:val="Normal"/>
        <w:suppressAutoHyphens w:val="true"/>
        <w:spacing w:lineRule="auto" w:line="240"/>
        <w:jc w:val="start"/>
        <w:rPr>
          <w:sz w:val="20"/>
        </w:rPr>
      </w:pPr>
      <w:r>
        <w:rPr>
          <w:sz w:val="20"/>
        </w:rPr>
        <w:t xml:space="preserve">– </w:t>
      </w:r>
      <w:r>
        <w:rPr>
          <w:sz w:val="20"/>
        </w:rPr>
        <w:t>ознакомление с правилами и порядком эксплуатации средств криптографической защиты информации;</w:t>
      </w:r>
    </w:p>
    <w:p>
      <w:pPr>
        <w:pStyle w:val="Normal"/>
        <w:suppressAutoHyphens w:val="true"/>
        <w:spacing w:lineRule="auto" w:line="240"/>
        <w:rPr>
          <w:sz w:val="20"/>
        </w:rPr>
      </w:pPr>
      <w:r>
        <w:rPr>
          <w:sz w:val="20"/>
        </w:rPr>
        <w:t xml:space="preserve">– </w:t>
      </w:r>
      <w:r>
        <w:rPr>
          <w:sz w:val="20"/>
        </w:rPr>
        <w:t>разъяснение порядка действий при возникновении нештатных ситуаций, а также при утрате, неисправности или возможной компрометации ключевых документов.</w:t>
      </w:r>
    </w:p>
    <w:p>
      <w:pPr>
        <w:pStyle w:val="Normal"/>
        <w:numPr>
          <w:ilvl w:val="0"/>
          <w:numId w:val="23"/>
        </w:numPr>
        <w:suppressAutoHyphens w:val="true"/>
        <w:spacing w:lineRule="auto" w:line="240"/>
        <w:ind w:firstLine="510" w:start="0"/>
        <w:jc w:val="start"/>
        <w:rPr>
          <w:sz w:val="20"/>
        </w:rPr>
      </w:pPr>
      <w:r>
        <w:rPr>
          <w:sz w:val="20"/>
        </w:rPr>
        <w:t>Проведение зачётов у пользователей по результатам инструктажа для определения возможности их допуска к самостоятельной работе со средствами криптографической защиты информации.</w:t>
      </w:r>
    </w:p>
    <w:p>
      <w:pPr>
        <w:pStyle w:val="Normal"/>
        <w:numPr>
          <w:ilvl w:val="0"/>
          <w:numId w:val="23"/>
        </w:numPr>
        <w:suppressAutoHyphens w:val="true"/>
        <w:spacing w:lineRule="auto" w:line="240"/>
        <w:ind w:firstLine="510" w:start="0"/>
        <w:jc w:val="start"/>
        <w:rPr>
          <w:sz w:val="20"/>
        </w:rPr>
      </w:pPr>
      <w:r>
        <w:rPr>
          <w:sz w:val="20"/>
        </w:rPr>
        <w:t>Подготовка заключений о возможности допуска пользователей к самостоятельной работе со средствами криптографической защиты информации.</w:t>
      </w:r>
    </w:p>
    <w:p>
      <w:pPr>
        <w:pStyle w:val="Normal"/>
        <w:numPr>
          <w:ilvl w:val="0"/>
          <w:numId w:val="23"/>
        </w:numPr>
        <w:suppressAutoHyphens w:val="true"/>
        <w:spacing w:lineRule="auto" w:line="240"/>
        <w:ind w:firstLine="454" w:start="0"/>
        <w:jc w:val="start"/>
        <w:rPr>
          <w:sz w:val="20"/>
        </w:rPr>
      </w:pPr>
      <w:r>
        <w:rPr>
          <w:sz w:val="20"/>
        </w:rPr>
        <w:t>Подготовка заключений о возможности эксплуатации средств криптографической защиты информации.</w:t>
      </w:r>
    </w:p>
    <w:p>
      <w:pPr>
        <w:pStyle w:val="Normal"/>
        <w:spacing w:lineRule="auto" w:line="240"/>
        <w:rPr>
          <w:sz w:val="20"/>
        </w:rPr>
      </w:pPr>
      <w:r>
        <w:rPr>
          <w:sz w:val="20"/>
        </w:rPr>
        <w:t>В течение срока оказания услуг Исполнителем по запросу ответственного лица Заказчика обеспечивается актуализация (либо разработка в случае отсутствия) следующего перечня организационно-распорядительной документации:</w:t>
      </w:r>
    </w:p>
    <w:p>
      <w:pPr>
        <w:pStyle w:val="ListParagraph"/>
        <w:numPr>
          <w:ilvl w:val="0"/>
          <w:numId w:val="28"/>
        </w:numPr>
        <w:suppressAutoHyphens w:val="true"/>
        <w:spacing w:lineRule="auto" w:line="240"/>
        <w:jc w:val="start"/>
        <w:rPr>
          <w:sz w:val="20"/>
        </w:rPr>
      </w:pPr>
      <w:r>
        <w:rPr>
          <w:sz w:val="20"/>
        </w:rPr>
        <w:t>перечень подразделений и лиц, эксплуатирующих средства криптографической защиты информации;</w:t>
      </w:r>
    </w:p>
    <w:p>
      <w:pPr>
        <w:pStyle w:val="ListParagraph"/>
        <w:numPr>
          <w:ilvl w:val="0"/>
          <w:numId w:val="28"/>
        </w:numPr>
        <w:suppressAutoHyphens w:val="true"/>
        <w:spacing w:lineRule="auto" w:line="240"/>
        <w:jc w:val="start"/>
        <w:rPr>
          <w:sz w:val="20"/>
        </w:rPr>
      </w:pPr>
      <w:r>
        <w:rPr>
          <w:sz w:val="20"/>
        </w:rPr>
        <w:t>перечень физических лиц, непосредственно допущенных к работе со средствами криптографической защиты информации;</w:t>
      </w:r>
    </w:p>
    <w:p>
      <w:pPr>
        <w:pStyle w:val="ListParagraph"/>
        <w:numPr>
          <w:ilvl w:val="0"/>
          <w:numId w:val="28"/>
        </w:numPr>
        <w:suppressAutoHyphens w:val="true"/>
        <w:spacing w:lineRule="auto" w:line="240"/>
        <w:jc w:val="start"/>
        <w:rPr>
          <w:sz w:val="20"/>
        </w:rPr>
      </w:pPr>
      <w:r>
        <w:rPr>
          <w:sz w:val="20"/>
        </w:rPr>
        <w:t>сведения о предоставленных пользователям правах доступа;</w:t>
      </w:r>
    </w:p>
    <w:p>
      <w:pPr>
        <w:pStyle w:val="ListParagraph"/>
        <w:numPr>
          <w:ilvl w:val="0"/>
          <w:numId w:val="28"/>
        </w:numPr>
        <w:suppressAutoHyphens w:val="true"/>
        <w:spacing w:lineRule="auto" w:line="240"/>
        <w:jc w:val="start"/>
        <w:rPr>
          <w:sz w:val="20"/>
        </w:rPr>
      </w:pPr>
      <w:r>
        <w:rPr>
          <w:sz w:val="20"/>
        </w:rPr>
        <w:t>журнал поэкземплярного учёта средств криптографической защиты информации, эксплуатационной и технической документации к ним;</w:t>
      </w:r>
    </w:p>
    <w:p>
      <w:pPr>
        <w:pStyle w:val="ListParagraph"/>
        <w:numPr>
          <w:ilvl w:val="0"/>
          <w:numId w:val="28"/>
        </w:numPr>
        <w:suppressAutoHyphens w:val="true"/>
        <w:spacing w:lineRule="auto" w:line="240"/>
        <w:jc w:val="start"/>
        <w:rPr>
          <w:sz w:val="20"/>
        </w:rPr>
      </w:pPr>
      <w:r>
        <w:rPr>
          <w:sz w:val="20"/>
        </w:rPr>
        <w:t>комплект организационно-распорядительной документации по эксплуатации средств криптографической защиты информации;</w:t>
      </w:r>
    </w:p>
    <w:p>
      <w:pPr>
        <w:pStyle w:val="ListParagraph"/>
        <w:numPr>
          <w:ilvl w:val="0"/>
          <w:numId w:val="28"/>
        </w:numPr>
        <w:suppressAutoHyphens w:val="true"/>
        <w:spacing w:lineRule="auto" w:line="240"/>
        <w:jc w:val="start"/>
        <w:rPr>
          <w:sz w:val="20"/>
        </w:rPr>
      </w:pPr>
      <w:r>
        <w:rPr>
          <w:sz w:val="20"/>
        </w:rPr>
        <w:t>перечень вопросов для проведения зачётов пользователей средств криптографической защиты информации;</w:t>
      </w:r>
    </w:p>
    <w:p>
      <w:pPr>
        <w:pStyle w:val="ListParagraph"/>
        <w:numPr>
          <w:ilvl w:val="0"/>
          <w:numId w:val="28"/>
        </w:numPr>
        <w:suppressAutoHyphens w:val="true"/>
        <w:spacing w:lineRule="auto" w:line="240"/>
        <w:jc w:val="start"/>
        <w:rPr>
          <w:sz w:val="20"/>
        </w:rPr>
      </w:pPr>
      <w:r>
        <w:rPr>
          <w:sz w:val="20"/>
        </w:rPr>
        <w:t>протоколы принятия зачётов у пользователей средств криптографической защиты информации;</w:t>
      </w:r>
    </w:p>
    <w:p>
      <w:pPr>
        <w:pStyle w:val="ListParagraph"/>
        <w:numPr>
          <w:ilvl w:val="0"/>
          <w:numId w:val="28"/>
        </w:numPr>
        <w:suppressAutoHyphens w:val="true"/>
        <w:spacing w:lineRule="auto" w:line="240"/>
        <w:jc w:val="start"/>
        <w:rPr>
          <w:sz w:val="20"/>
        </w:rPr>
      </w:pPr>
      <w:r>
        <w:rPr>
          <w:sz w:val="20"/>
        </w:rPr>
        <w:t>заключения о возможности допуска пользователей к самостоятельной работе со средствами криптографической защиты информации;</w:t>
      </w:r>
    </w:p>
    <w:p>
      <w:pPr>
        <w:pStyle w:val="ListParagraph"/>
        <w:numPr>
          <w:ilvl w:val="0"/>
          <w:numId w:val="28"/>
        </w:numPr>
        <w:suppressAutoHyphens w:val="true"/>
        <w:spacing w:lineRule="auto" w:line="240"/>
        <w:jc w:val="start"/>
        <w:rPr>
          <w:sz w:val="20"/>
        </w:rPr>
      </w:pPr>
      <w:r>
        <w:rPr>
          <w:sz w:val="20"/>
        </w:rPr>
        <w:t>заключения о возможности эксплуатации средств криптографической защиты информации;</w:t>
      </w:r>
    </w:p>
    <w:p>
      <w:pPr>
        <w:pStyle w:val="ListParagraph"/>
        <w:numPr>
          <w:ilvl w:val="0"/>
          <w:numId w:val="28"/>
        </w:numPr>
        <w:suppressAutoHyphens w:val="true"/>
        <w:spacing w:lineRule="auto" w:line="240"/>
        <w:jc w:val="start"/>
        <w:rPr>
          <w:sz w:val="20"/>
        </w:rPr>
      </w:pPr>
      <w:r>
        <w:rPr>
          <w:sz w:val="20"/>
        </w:rPr>
        <w:t>документы и материалы, подтверждающие результаты проверки выполнения требований к организации режима охраны и размещению специального помещения.</w:t>
      </w:r>
    </w:p>
    <w:p>
      <w:pPr>
        <w:pStyle w:val="ListParagraph"/>
        <w:numPr>
          <w:ilvl w:val="0"/>
          <w:numId w:val="22"/>
        </w:numPr>
        <w:spacing w:lineRule="auto" w:line="240" w:before="240" w:after="0"/>
        <w:rPr>
          <w:b/>
          <w:bCs/>
          <w:sz w:val="20"/>
        </w:rPr>
      </w:pPr>
      <w:r>
        <w:rPr>
          <w:b/>
          <w:bCs/>
          <w:sz w:val="20"/>
        </w:rPr>
        <w:t>Требования к техническому сопровождению системы виртуализации</w:t>
      </w:r>
    </w:p>
    <w:p>
      <w:pPr>
        <w:pStyle w:val="Normal"/>
        <w:spacing w:lineRule="auto" w:line="240"/>
        <w:rPr>
          <w:sz w:val="20"/>
        </w:rPr>
      </w:pPr>
      <w:r>
        <w:rPr>
          <w:sz w:val="20"/>
        </w:rPr>
        <w:t>Услуги оказываются в течение срока оказания услуг, указанного в разделе 5.</w:t>
      </w:r>
    </w:p>
    <w:p>
      <w:pPr>
        <w:pStyle w:val="Normal"/>
        <w:spacing w:lineRule="auto" w:line="240"/>
        <w:rPr>
          <w:sz w:val="20"/>
        </w:rPr>
      </w:pPr>
      <w:r>
        <w:rPr>
          <w:sz w:val="20"/>
        </w:rPr>
        <w:t>В рамках оказания услуг Исполнитель выполняет следующие работы:</w:t>
      </w:r>
    </w:p>
    <w:p>
      <w:pPr>
        <w:pStyle w:val="Normal"/>
        <w:spacing w:lineRule="auto" w:line="240"/>
        <w:ind w:hanging="0" w:start="709"/>
        <w:rPr>
          <w:sz w:val="20"/>
        </w:rPr>
      </w:pPr>
      <w:r>
        <w:rPr>
          <w:b/>
          <w:bCs/>
          <w:sz w:val="20"/>
        </w:rPr>
        <w:t>Администрирование системы виртуализации</w:t>
      </w:r>
      <w:r>
        <w:rPr>
          <w:sz w:val="20"/>
        </w:rPr>
        <w:t>, включая:</w:t>
      </w:r>
    </w:p>
    <w:p>
      <w:pPr>
        <w:pStyle w:val="ListParagraph"/>
        <w:numPr>
          <w:ilvl w:val="1"/>
          <w:numId w:val="24"/>
        </w:numPr>
        <w:spacing w:lineRule="auto" w:line="240"/>
        <w:ind w:firstLine="709" w:start="0"/>
        <w:rPr>
          <w:sz w:val="20"/>
        </w:rPr>
      </w:pPr>
      <w:r>
        <w:rPr>
          <w:sz w:val="20"/>
        </w:rPr>
        <w:t>проверку и анализ текущей конфигурации;</w:t>
      </w:r>
    </w:p>
    <w:p>
      <w:pPr>
        <w:pStyle w:val="ListParagraph"/>
        <w:numPr>
          <w:ilvl w:val="1"/>
          <w:numId w:val="24"/>
        </w:numPr>
        <w:spacing w:lineRule="auto" w:line="240"/>
        <w:ind w:firstLine="709" w:start="0"/>
        <w:rPr>
          <w:sz w:val="20"/>
        </w:rPr>
      </w:pPr>
      <w:r>
        <w:rPr>
          <w:sz w:val="20"/>
        </w:rPr>
        <w:t>управление параметрами виртуальной инфраструктуры;</w:t>
      </w:r>
    </w:p>
    <w:p>
      <w:pPr>
        <w:pStyle w:val="ListParagraph"/>
        <w:numPr>
          <w:ilvl w:val="1"/>
          <w:numId w:val="24"/>
        </w:numPr>
        <w:spacing w:lineRule="auto" w:line="240"/>
        <w:ind w:firstLine="709" w:start="0"/>
        <w:rPr>
          <w:sz w:val="20"/>
        </w:rPr>
      </w:pPr>
      <w:r>
        <w:rPr>
          <w:sz w:val="20"/>
        </w:rPr>
        <w:t>управление виртуальными машинами в пределах предоставленных полномочий;</w:t>
      </w:r>
    </w:p>
    <w:p>
      <w:pPr>
        <w:pStyle w:val="ListParagraph"/>
        <w:numPr>
          <w:ilvl w:val="1"/>
          <w:numId w:val="24"/>
        </w:numPr>
        <w:spacing w:lineRule="auto" w:line="240"/>
        <w:ind w:firstLine="709" w:start="0"/>
        <w:rPr>
          <w:sz w:val="20"/>
        </w:rPr>
      </w:pPr>
      <w:r>
        <w:rPr>
          <w:sz w:val="20"/>
        </w:rPr>
        <w:t>запуск, остановку, перезапуск и перенос виртуальных машин;</w:t>
      </w:r>
    </w:p>
    <w:p>
      <w:pPr>
        <w:pStyle w:val="ListParagraph"/>
        <w:numPr>
          <w:ilvl w:val="1"/>
          <w:numId w:val="24"/>
        </w:numPr>
        <w:spacing w:lineRule="auto" w:line="240"/>
        <w:ind w:firstLine="709" w:start="0"/>
        <w:rPr>
          <w:sz w:val="20"/>
        </w:rPr>
      </w:pPr>
      <w:r>
        <w:rPr>
          <w:sz w:val="20"/>
        </w:rPr>
        <w:t>распределение вычислительных ресурсов между виртуальными машинами;</w:t>
      </w:r>
    </w:p>
    <w:p>
      <w:pPr>
        <w:pStyle w:val="ListParagraph"/>
        <w:numPr>
          <w:ilvl w:val="1"/>
          <w:numId w:val="24"/>
        </w:numPr>
        <w:spacing w:lineRule="auto" w:line="240"/>
        <w:ind w:firstLine="709" w:start="0"/>
        <w:rPr>
          <w:sz w:val="20"/>
        </w:rPr>
      </w:pPr>
      <w:r>
        <w:rPr>
          <w:sz w:val="20"/>
        </w:rPr>
        <w:t>настройку и корректировку параметров виртуальных процессоров, оперативной памяти, виртуальных дисков и сетевых интерфейсов;</w:t>
      </w:r>
    </w:p>
    <w:p>
      <w:pPr>
        <w:pStyle w:val="ListParagraph"/>
        <w:numPr>
          <w:ilvl w:val="1"/>
          <w:numId w:val="24"/>
        </w:numPr>
        <w:spacing w:lineRule="auto" w:line="240"/>
        <w:ind w:firstLine="709" w:start="0"/>
        <w:rPr>
          <w:sz w:val="20"/>
        </w:rPr>
      </w:pPr>
      <w:r>
        <w:rPr>
          <w:sz w:val="20"/>
        </w:rPr>
        <w:t>управление шаблонами и образами виртуальных машин;</w:t>
      </w:r>
    </w:p>
    <w:p>
      <w:pPr>
        <w:pStyle w:val="ListParagraph"/>
        <w:numPr>
          <w:ilvl w:val="1"/>
          <w:numId w:val="24"/>
        </w:numPr>
        <w:spacing w:lineRule="auto" w:line="240"/>
        <w:ind w:firstLine="709" w:start="0"/>
        <w:rPr>
          <w:sz w:val="20"/>
        </w:rPr>
      </w:pPr>
      <w:r>
        <w:rPr>
          <w:sz w:val="20"/>
        </w:rPr>
        <w:t>контроль состояния кластеров и механизмов миграции виртуальных машин;</w:t>
      </w:r>
    </w:p>
    <w:p>
      <w:pPr>
        <w:pStyle w:val="ListParagraph"/>
        <w:numPr>
          <w:ilvl w:val="1"/>
          <w:numId w:val="24"/>
        </w:numPr>
        <w:spacing w:lineRule="auto" w:line="240"/>
        <w:ind w:firstLine="709" w:start="0"/>
        <w:rPr>
          <w:sz w:val="20"/>
        </w:rPr>
      </w:pPr>
      <w:r>
        <w:rPr>
          <w:sz w:val="20"/>
        </w:rPr>
        <w:t>контроль использования ресурсов и предупреждение их дефицита.</w:t>
      </w:r>
    </w:p>
    <w:p>
      <w:pPr>
        <w:pStyle w:val="Normal"/>
        <w:spacing w:lineRule="auto" w:line="240"/>
        <w:ind w:hanging="0" w:start="709"/>
        <w:rPr>
          <w:sz w:val="20"/>
        </w:rPr>
      </w:pPr>
      <w:r>
        <w:rPr>
          <w:b/>
          <w:bCs/>
          <w:sz w:val="20"/>
        </w:rPr>
        <w:t>Техническое сопровождение виртуальных машин</w:t>
      </w:r>
      <w:r>
        <w:rPr>
          <w:sz w:val="20"/>
        </w:rPr>
        <w:t>, включая:</w:t>
      </w:r>
    </w:p>
    <w:p>
      <w:pPr>
        <w:pStyle w:val="ListParagraph"/>
        <w:numPr>
          <w:ilvl w:val="1"/>
          <w:numId w:val="25"/>
        </w:numPr>
        <w:spacing w:lineRule="auto" w:line="240"/>
        <w:ind w:firstLine="709" w:start="0"/>
        <w:rPr>
          <w:sz w:val="20"/>
        </w:rPr>
      </w:pPr>
      <w:r>
        <w:rPr>
          <w:sz w:val="20"/>
        </w:rPr>
        <w:t>создание, изменение и удаление виртуальных машин по заявкам Заказчика;</w:t>
      </w:r>
    </w:p>
    <w:p>
      <w:pPr>
        <w:pStyle w:val="ListParagraph"/>
        <w:numPr>
          <w:ilvl w:val="1"/>
          <w:numId w:val="25"/>
        </w:numPr>
        <w:spacing w:lineRule="auto" w:line="240"/>
        <w:ind w:firstLine="709" w:start="0"/>
        <w:rPr>
          <w:sz w:val="20"/>
        </w:rPr>
      </w:pPr>
      <w:r>
        <w:rPr>
          <w:sz w:val="20"/>
        </w:rPr>
        <w:t>подключение и отключение виртуальных дисков и виртуальных сетевых интерфейсов;</w:t>
      </w:r>
    </w:p>
    <w:p>
      <w:pPr>
        <w:pStyle w:val="ListParagraph"/>
        <w:numPr>
          <w:ilvl w:val="1"/>
          <w:numId w:val="25"/>
        </w:numPr>
        <w:spacing w:lineRule="auto" w:line="240"/>
        <w:ind w:firstLine="709" w:start="0"/>
        <w:rPr>
          <w:sz w:val="20"/>
        </w:rPr>
      </w:pPr>
      <w:r>
        <w:rPr>
          <w:sz w:val="20"/>
        </w:rPr>
        <w:t>изменение параметров виртуальных машин в соответствии с согласованными требованиями;</w:t>
      </w:r>
    </w:p>
    <w:p>
      <w:pPr>
        <w:pStyle w:val="ListParagraph"/>
        <w:numPr>
          <w:ilvl w:val="1"/>
          <w:numId w:val="25"/>
        </w:numPr>
        <w:spacing w:lineRule="auto" w:line="240"/>
        <w:ind w:firstLine="709" w:start="0"/>
        <w:rPr>
          <w:sz w:val="20"/>
        </w:rPr>
      </w:pPr>
      <w:r>
        <w:rPr>
          <w:sz w:val="20"/>
        </w:rPr>
        <w:t>перенос виртуальных машин между узлами виртуализации;</w:t>
      </w:r>
    </w:p>
    <w:p>
      <w:pPr>
        <w:pStyle w:val="ListParagraph"/>
        <w:numPr>
          <w:ilvl w:val="1"/>
          <w:numId w:val="25"/>
        </w:numPr>
        <w:spacing w:lineRule="auto" w:line="240"/>
        <w:ind w:firstLine="709" w:start="0"/>
        <w:rPr>
          <w:sz w:val="20"/>
        </w:rPr>
      </w:pPr>
      <w:r>
        <w:rPr>
          <w:sz w:val="20"/>
        </w:rPr>
        <w:t>восстановление работоспособности виртуальных машин после сбоев;</w:t>
      </w:r>
    </w:p>
    <w:p>
      <w:pPr>
        <w:pStyle w:val="ListParagraph"/>
        <w:numPr>
          <w:ilvl w:val="1"/>
          <w:numId w:val="25"/>
        </w:numPr>
        <w:spacing w:lineRule="auto" w:line="240"/>
        <w:ind w:firstLine="709" w:start="0"/>
        <w:rPr>
          <w:sz w:val="20"/>
        </w:rPr>
      </w:pPr>
      <w:r>
        <w:rPr>
          <w:sz w:val="20"/>
        </w:rPr>
        <w:t>участие в диагностике неисправностей операционных систем и прикладного программного обеспечения в части, связанной с функционированием виртуальной среды.</w:t>
      </w:r>
    </w:p>
    <w:p>
      <w:pPr>
        <w:pStyle w:val="Normal"/>
        <w:spacing w:lineRule="auto" w:line="240"/>
        <w:ind w:hanging="0" w:start="709"/>
        <w:rPr>
          <w:sz w:val="20"/>
        </w:rPr>
      </w:pPr>
      <w:r>
        <w:rPr>
          <w:b/>
          <w:bCs/>
          <w:sz w:val="20"/>
        </w:rPr>
        <w:t>Сопровождение виртуальной сетевой инфраструктуры</w:t>
      </w:r>
      <w:r>
        <w:rPr>
          <w:sz w:val="20"/>
        </w:rPr>
        <w:t>, включая:</w:t>
      </w:r>
    </w:p>
    <w:p>
      <w:pPr>
        <w:pStyle w:val="Normal"/>
        <w:numPr>
          <w:ilvl w:val="1"/>
          <w:numId w:val="26"/>
        </w:numPr>
        <w:spacing w:lineRule="auto" w:line="240"/>
        <w:ind w:firstLine="709" w:start="0"/>
        <w:rPr>
          <w:sz w:val="20"/>
        </w:rPr>
      </w:pPr>
      <w:r>
        <w:rPr>
          <w:sz w:val="20"/>
        </w:rPr>
        <w:t>контроль доступности виртуальных коммутаторов и сетевых соединений;</w:t>
      </w:r>
    </w:p>
    <w:p>
      <w:pPr>
        <w:pStyle w:val="Normal"/>
        <w:numPr>
          <w:ilvl w:val="1"/>
          <w:numId w:val="26"/>
        </w:numPr>
        <w:spacing w:lineRule="auto" w:line="240"/>
        <w:ind w:firstLine="709" w:start="0"/>
        <w:rPr>
          <w:sz w:val="20"/>
        </w:rPr>
      </w:pPr>
      <w:r>
        <w:rPr>
          <w:sz w:val="20"/>
        </w:rPr>
        <w:t>проверку параметров виртуальных сетей;</w:t>
      </w:r>
    </w:p>
    <w:p>
      <w:pPr>
        <w:pStyle w:val="Normal"/>
        <w:numPr>
          <w:ilvl w:val="1"/>
          <w:numId w:val="26"/>
        </w:numPr>
        <w:spacing w:lineRule="auto" w:line="240"/>
        <w:ind w:firstLine="709" w:start="0"/>
        <w:rPr>
          <w:sz w:val="20"/>
        </w:rPr>
      </w:pPr>
      <w:r>
        <w:rPr>
          <w:sz w:val="20"/>
        </w:rPr>
        <w:t>контроль сетевых подключений виртуальных машин;</w:t>
      </w:r>
    </w:p>
    <w:p>
      <w:pPr>
        <w:pStyle w:val="Normal"/>
        <w:numPr>
          <w:ilvl w:val="1"/>
          <w:numId w:val="26"/>
        </w:numPr>
        <w:spacing w:lineRule="auto" w:line="240"/>
        <w:ind w:firstLine="709" w:start="0"/>
        <w:rPr>
          <w:sz w:val="20"/>
        </w:rPr>
      </w:pPr>
      <w:r>
        <w:rPr>
          <w:sz w:val="20"/>
        </w:rPr>
        <w:t>участие в диагностике нарушений сетевого взаимодействия;</w:t>
      </w:r>
    </w:p>
    <w:p>
      <w:pPr>
        <w:pStyle w:val="Normal"/>
        <w:numPr>
          <w:ilvl w:val="1"/>
          <w:numId w:val="26"/>
        </w:numPr>
        <w:spacing w:lineRule="auto" w:line="240"/>
        <w:ind w:firstLine="709" w:start="0"/>
        <w:rPr>
          <w:sz w:val="20"/>
        </w:rPr>
      </w:pPr>
      <w:r>
        <w:rPr>
          <w:sz w:val="20"/>
        </w:rPr>
        <w:t>проверку корректности подключения виртуальных машин к требуемым сетевым сегментам.</w:t>
      </w:r>
    </w:p>
    <w:p>
      <w:pPr>
        <w:pStyle w:val="Normal"/>
        <w:spacing w:lineRule="auto" w:line="240"/>
        <w:ind w:hanging="0" w:start="709"/>
        <w:rPr>
          <w:sz w:val="20"/>
        </w:rPr>
      </w:pPr>
      <w:r>
        <w:rPr>
          <w:b/>
          <w:bCs/>
          <w:sz w:val="20"/>
        </w:rPr>
        <w:t>Диагностика и устранение неисправностей</w:t>
      </w:r>
      <w:r>
        <w:rPr>
          <w:sz w:val="20"/>
        </w:rPr>
        <w:t>, включая:</w:t>
      </w:r>
    </w:p>
    <w:p>
      <w:pPr>
        <w:pStyle w:val="Normal"/>
        <w:numPr>
          <w:ilvl w:val="1"/>
          <w:numId w:val="27"/>
        </w:numPr>
        <w:spacing w:lineRule="auto" w:line="240"/>
        <w:ind w:firstLine="709" w:start="0"/>
        <w:rPr>
          <w:sz w:val="20"/>
        </w:rPr>
      </w:pPr>
      <w:r>
        <w:rPr>
          <w:sz w:val="20"/>
        </w:rPr>
        <w:t>приём и регистрацию обращений Заказчика;</w:t>
      </w:r>
    </w:p>
    <w:p>
      <w:pPr>
        <w:pStyle w:val="Normal"/>
        <w:numPr>
          <w:ilvl w:val="1"/>
          <w:numId w:val="27"/>
        </w:numPr>
        <w:spacing w:lineRule="auto" w:line="240"/>
        <w:ind w:firstLine="709" w:start="0"/>
        <w:rPr>
          <w:sz w:val="20"/>
        </w:rPr>
      </w:pPr>
      <w:r>
        <w:rPr>
          <w:sz w:val="20"/>
        </w:rPr>
        <w:t>классификацию обращений и определение приоритета неисправности;</w:t>
      </w:r>
    </w:p>
    <w:p>
      <w:pPr>
        <w:pStyle w:val="Normal"/>
        <w:numPr>
          <w:ilvl w:val="1"/>
          <w:numId w:val="27"/>
        </w:numPr>
        <w:spacing w:lineRule="auto" w:line="240"/>
        <w:ind w:firstLine="709" w:start="0"/>
        <w:rPr>
          <w:sz w:val="20"/>
        </w:rPr>
      </w:pPr>
      <w:r>
        <w:rPr>
          <w:sz w:val="20"/>
        </w:rPr>
        <w:t>анализ журналов событий и диагностической информации;</w:t>
      </w:r>
    </w:p>
    <w:p>
      <w:pPr>
        <w:pStyle w:val="Normal"/>
        <w:numPr>
          <w:ilvl w:val="1"/>
          <w:numId w:val="27"/>
        </w:numPr>
        <w:spacing w:lineRule="auto" w:line="240"/>
        <w:ind w:firstLine="709" w:start="0"/>
        <w:rPr>
          <w:sz w:val="20"/>
        </w:rPr>
      </w:pPr>
      <w:r>
        <w:rPr>
          <w:sz w:val="20"/>
        </w:rPr>
        <w:t>установление причин сбоев;</w:t>
      </w:r>
    </w:p>
    <w:p>
      <w:pPr>
        <w:pStyle w:val="Normal"/>
        <w:numPr>
          <w:ilvl w:val="1"/>
          <w:numId w:val="27"/>
        </w:numPr>
        <w:spacing w:lineRule="auto" w:line="240"/>
        <w:ind w:firstLine="709" w:start="0"/>
        <w:rPr>
          <w:sz w:val="20"/>
        </w:rPr>
      </w:pPr>
      <w:r>
        <w:rPr>
          <w:sz w:val="20"/>
        </w:rPr>
        <w:t>выполнение мероприятий по восстановлению работоспособности;</w:t>
      </w:r>
    </w:p>
    <w:p>
      <w:pPr>
        <w:pStyle w:val="Normal"/>
        <w:numPr>
          <w:ilvl w:val="1"/>
          <w:numId w:val="27"/>
        </w:numPr>
        <w:spacing w:lineRule="auto" w:line="240"/>
        <w:ind w:firstLine="709" w:start="0"/>
        <w:rPr>
          <w:sz w:val="20"/>
        </w:rPr>
      </w:pPr>
      <w:r>
        <w:rPr>
          <w:sz w:val="20"/>
        </w:rPr>
        <w:t>взаимодействие с производителями оборудования и программного обеспечения при необходимости;</w:t>
      </w:r>
    </w:p>
    <w:p>
      <w:pPr>
        <w:pStyle w:val="Normal"/>
        <w:numPr>
          <w:ilvl w:val="1"/>
          <w:numId w:val="27"/>
        </w:numPr>
        <w:spacing w:lineRule="auto" w:line="240"/>
        <w:ind w:firstLine="709" w:start="0"/>
        <w:rPr>
          <w:sz w:val="20"/>
        </w:rPr>
      </w:pPr>
      <w:r>
        <w:rPr>
          <w:sz w:val="20"/>
        </w:rPr>
        <w:t>информирование Заказчика о ходе и результатах устранения неисправности.</w:t>
      </w:r>
    </w:p>
    <w:sectPr>
      <w:type w:val="nextPage"/>
      <w:pgSz w:w="11906" w:h="16838"/>
      <w:pgMar w:left="851" w:right="568" w:gutter="0" w:header="0" w:top="567" w:footer="0" w:bottom="709"/>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Times New Roman">
    <w:charset w:val="01" w:characterSet="utf-8"/>
    <w:family w:val="roman"/>
    <w:pitch w:val="variable"/>
  </w:font>
  <w:font w:name="Cambria">
    <w:charset w:val="01" w:characterSet="utf-8"/>
    <w:family w:val="roman"/>
    <w:pitch w:val="variable"/>
  </w:font>
  <w:font w:name="Arial">
    <w:charset w:val="01" w:characterSet="utf-8"/>
    <w:family w:val="swiss"/>
    <w:pitch w:val="variable"/>
  </w:font>
  <w:font w:name="XO Thames">
    <w:charset w:val="01" w:characterSet="utf-8"/>
    <w:family w:val="roman"/>
    <w:pitch w:val="variable"/>
  </w:font>
  <w:font w:name="Tahoma">
    <w:charset w:val="01" w:characterSet="utf-8"/>
    <w:family w:val="swiss"/>
    <w:pitch w:val="variable"/>
  </w:font>
  <w:font w:name="GOST">
    <w:charset w:val="01" w:characterSet="utf-8"/>
    <w:family w:val="swiss"/>
    <w:pitch w:val="variable"/>
  </w:font>
  <w:font w:name="Courier New">
    <w:charset w:val="01" w:characterSet="utf-8"/>
    <w:family w:val="roman"/>
    <w:pitch w:val="variable"/>
  </w:font>
  <w:font w:name="Verdana">
    <w:charset w:val="01" w:characterSet="utf-8"/>
    <w:family w:val="swiss"/>
    <w:pitch w:val="variable"/>
  </w:font>
  <w:font w:name="Montserrat SemiBold">
    <w:charset w:val="01" w:characterSet="utf-8"/>
    <w:family w:val="swiss"/>
    <w:pitch w:val="variable"/>
  </w:font>
  <w:font w:name="Montserrat">
    <w:charset w:val="01" w:characterSet="utf-8"/>
    <w:family w:val="swiss"/>
    <w:pitch w:val="variable"/>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046" w:hanging="360"/>
      </w:pPr>
      <w:rPr>
        <w:rFonts w:ascii="Symbol" w:hAnsi="Symbol" w:cs="Symbol" w:hint="default"/>
      </w:rPr>
    </w:lvl>
    <w:lvl w:ilvl="1">
      <w:start w:val="1"/>
      <w:numFmt w:val="bullet"/>
      <w:lvlText w:val="o"/>
      <w:lvlJc w:val="start"/>
      <w:pPr>
        <w:tabs>
          <w:tab w:val="num" w:pos="0"/>
        </w:tabs>
        <w:ind w:start="2857" w:hanging="360"/>
      </w:pPr>
      <w:rPr>
        <w:rFonts w:ascii="Courier New" w:hAnsi="Courier New" w:cs="Courier New" w:hint="default"/>
      </w:rPr>
    </w:lvl>
    <w:lvl w:ilvl="2">
      <w:start w:val="1"/>
      <w:numFmt w:val="bullet"/>
      <w:lvlText w:val=""/>
      <w:lvlJc w:val="start"/>
      <w:pPr>
        <w:tabs>
          <w:tab w:val="num" w:pos="0"/>
        </w:tabs>
        <w:ind w:start="3577" w:hanging="360"/>
      </w:pPr>
      <w:rPr>
        <w:rFonts w:ascii="Wingdings" w:hAnsi="Wingdings" w:cs="Wingdings" w:hint="default"/>
      </w:rPr>
    </w:lvl>
    <w:lvl w:ilvl="3">
      <w:start w:val="1"/>
      <w:numFmt w:val="bullet"/>
      <w:lvlText w:val=""/>
      <w:lvlJc w:val="start"/>
      <w:pPr>
        <w:tabs>
          <w:tab w:val="num" w:pos="0"/>
        </w:tabs>
        <w:ind w:start="4297" w:hanging="360"/>
      </w:pPr>
      <w:rPr>
        <w:rFonts w:ascii="Symbol" w:hAnsi="Symbol" w:cs="Symbol" w:hint="default"/>
      </w:rPr>
    </w:lvl>
    <w:lvl w:ilvl="4">
      <w:start w:val="1"/>
      <w:numFmt w:val="bullet"/>
      <w:lvlText w:val="o"/>
      <w:lvlJc w:val="start"/>
      <w:pPr>
        <w:tabs>
          <w:tab w:val="num" w:pos="0"/>
        </w:tabs>
        <w:ind w:start="5017" w:hanging="360"/>
      </w:pPr>
      <w:rPr>
        <w:rFonts w:ascii="Courier New" w:hAnsi="Courier New" w:cs="Courier New" w:hint="default"/>
      </w:rPr>
    </w:lvl>
    <w:lvl w:ilvl="5">
      <w:start w:val="1"/>
      <w:numFmt w:val="bullet"/>
      <w:lvlText w:val=""/>
      <w:lvlJc w:val="start"/>
      <w:pPr>
        <w:tabs>
          <w:tab w:val="num" w:pos="0"/>
        </w:tabs>
        <w:ind w:start="5737" w:hanging="360"/>
      </w:pPr>
      <w:rPr>
        <w:rFonts w:ascii="Wingdings" w:hAnsi="Wingdings" w:cs="Wingdings" w:hint="default"/>
      </w:rPr>
    </w:lvl>
    <w:lvl w:ilvl="6">
      <w:start w:val="1"/>
      <w:numFmt w:val="bullet"/>
      <w:lvlText w:val=""/>
      <w:lvlJc w:val="start"/>
      <w:pPr>
        <w:tabs>
          <w:tab w:val="num" w:pos="0"/>
        </w:tabs>
        <w:ind w:start="6457" w:hanging="360"/>
      </w:pPr>
      <w:rPr>
        <w:rFonts w:ascii="Symbol" w:hAnsi="Symbol" w:cs="Symbol" w:hint="default"/>
      </w:rPr>
    </w:lvl>
    <w:lvl w:ilvl="7">
      <w:start w:val="1"/>
      <w:numFmt w:val="bullet"/>
      <w:lvlText w:val="o"/>
      <w:lvlJc w:val="start"/>
      <w:pPr>
        <w:tabs>
          <w:tab w:val="num" w:pos="0"/>
        </w:tabs>
        <w:ind w:start="7177" w:hanging="360"/>
      </w:pPr>
      <w:rPr>
        <w:rFonts w:ascii="Courier New" w:hAnsi="Courier New" w:cs="Courier New" w:hint="default"/>
      </w:rPr>
    </w:lvl>
    <w:lvl w:ilvl="8">
      <w:start w:val="1"/>
      <w:numFmt w:val="bullet"/>
      <w:lvlText w:val=""/>
      <w:lvlJc w:val="start"/>
      <w:pPr>
        <w:tabs>
          <w:tab w:val="num" w:pos="0"/>
        </w:tabs>
        <w:ind w:start="7897" w:hanging="360"/>
      </w:pPr>
      <w:rPr>
        <w:rFonts w:ascii="Wingdings" w:hAnsi="Wingdings" w:cs="Wingdings" w:hint="default"/>
      </w:rPr>
    </w:lvl>
  </w:abstractNum>
  <w:abstractNum w:abstractNumId="2">
    <w:lvl w:ilvl="0">
      <w:start w:val="1"/>
      <w:numFmt w:val="bullet"/>
      <w:lvlText w:val=""/>
      <w:lvlJc w:val="start"/>
      <w:pPr>
        <w:tabs>
          <w:tab w:val="num" w:pos="0"/>
        </w:tabs>
        <w:ind w:start="1429" w:hanging="360"/>
      </w:pPr>
      <w:rPr>
        <w:rFonts w:ascii="Symbol" w:hAnsi="Symbol" w:cs="Symbol" w:hint="default"/>
        <w:color w:val="000000"/>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3">
    <w:lvl w:ilvl="0">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1069" w:hanging="360"/>
      </w:pPr>
      <w:rPr>
        <w:rFonts w:ascii="Symbol" w:hAnsi="Symbol" w:cs="Symbol" w:hint="default"/>
      </w:rPr>
    </w:lvl>
    <w:lvl w:ilvl="1">
      <w:start w:val="1"/>
      <w:numFmt w:val="bullet"/>
      <w:lvlText w:val=""/>
      <w:lvlJc w:val="start"/>
      <w:pPr>
        <w:tabs>
          <w:tab w:val="num" w:pos="0"/>
        </w:tabs>
        <w:ind w:start="2149" w:hanging="360"/>
      </w:pPr>
      <w:rPr>
        <w:rFonts w:ascii="Symbol" w:hAnsi="Symbol" w:cs="Symbol"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5">
    <w:lvl w:ilvl="0">
      <w:start w:val="1"/>
      <w:numFmt w:val="bullet"/>
      <w:lvlText w:val="–"/>
      <w:lvlJc w:val="start"/>
      <w:pPr>
        <w:tabs>
          <w:tab w:val="num" w:pos="717"/>
        </w:tabs>
        <w:ind w:start="717" w:hanging="360"/>
      </w:pPr>
      <w:rPr>
        <w:rFonts w:ascii="Arial" w:hAnsi="Arial" w:cs="Arial" w:hint="default"/>
        <w:sz w:val="16"/>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6">
    <w:lvl w:ilvl="0">
      <w:start w:val="1"/>
      <w:numFmt w:val="decimal"/>
      <w:lvlText w:val="%1"/>
      <w:lvlJc w:val="start"/>
      <w:pPr>
        <w:tabs>
          <w:tab w:val="num" w:pos="0"/>
        </w:tabs>
        <w:ind w:start="1069" w:hanging="360"/>
      </w:pPr>
      <w:rPr>
        <w:b/>
        <w:i w:val="false"/>
        <w:sz w:val="20"/>
        <w:szCs w:val="20"/>
      </w:rPr>
    </w:lvl>
    <w:lvl w:ilvl="1">
      <w:start w:val="1"/>
      <w:numFmt w:val="decimal"/>
      <w:lvlText w:val="%1.%2"/>
      <w:lvlJc w:val="start"/>
      <w:pPr>
        <w:tabs>
          <w:tab w:val="num" w:pos="2127"/>
        </w:tabs>
        <w:ind w:start="2127" w:hanging="425"/>
      </w:pPr>
      <w:rPr>
        <w:rFonts w:ascii="Times New Roman" w:hAnsi="Times New Roman"/>
        <w:b/>
        <w:bCs w:val="false"/>
        <w:i w:val="false"/>
        <w:sz w:val="20"/>
        <w:szCs w:val="20"/>
      </w:rPr>
    </w:lvl>
    <w:lvl w:ilvl="2">
      <w:start w:val="1"/>
      <w:numFmt w:val="decimal"/>
      <w:lvlText w:val="%1.%2.%3"/>
      <w:lvlJc w:val="start"/>
      <w:pPr>
        <w:tabs>
          <w:tab w:val="num" w:pos="1421"/>
        </w:tabs>
        <w:ind w:start="1421" w:hanging="709"/>
      </w:pPr>
      <w:rPr>
        <w:rFonts w:ascii="Times New Roman" w:hAnsi="Times New Roman"/>
        <w:b/>
        <w:bCs w:val="false"/>
        <w:i w:val="false"/>
        <w:iCs w:val="false"/>
        <w:sz w:val="20"/>
        <w:szCs w:val="20"/>
      </w:rPr>
    </w:lvl>
    <w:lvl w:ilvl="3">
      <w:start w:val="1"/>
      <w:numFmt w:val="decimal"/>
      <w:lvlText w:val="%1.%2.%3.%4"/>
      <w:lvlJc w:val="start"/>
      <w:pPr>
        <w:tabs>
          <w:tab w:val="num" w:pos="1474"/>
        </w:tabs>
        <w:ind w:start="1474" w:hanging="765"/>
      </w:pPr>
      <w:rPr>
        <w:rFonts w:ascii="Times New Roman" w:hAnsi="Times New Roman"/>
        <w:sz w:val="28"/>
      </w:rPr>
    </w:lvl>
    <w:lvl w:ilvl="4">
      <w:start w:val="1"/>
      <w:numFmt w:val="decimal"/>
      <w:lvlText w:val="%1.%2.%3.%4.%5"/>
      <w:lvlJc w:val="start"/>
      <w:pPr>
        <w:tabs>
          <w:tab w:val="num" w:pos="2155"/>
        </w:tabs>
        <w:ind w:start="2155" w:hanging="1162"/>
      </w:pPr>
      <w:rPr>
        <w:rFonts w:ascii="Times New Roman" w:hAnsi="Times New Roman"/>
        <w:b w:val="false"/>
        <w:i w:val="false"/>
        <w:sz w:val="28"/>
      </w:rPr>
    </w:lvl>
    <w:lvl w:ilvl="5">
      <w:start w:val="1"/>
      <w:numFmt w:val="decimal"/>
      <w:lvlText w:val="%1.%2.%3.%4.%5.%6."/>
      <w:lvlJc w:val="start"/>
      <w:pPr>
        <w:tabs>
          <w:tab w:val="num" w:pos="2872"/>
        </w:tabs>
        <w:ind w:start="2728" w:hanging="936"/>
      </w:pPr>
      <w:rPr/>
    </w:lvl>
    <w:lvl w:ilvl="6">
      <w:start w:val="1"/>
      <w:numFmt w:val="decimal"/>
      <w:lvlText w:val="%1.%2.%3.%4.%5.%6.%7."/>
      <w:lvlJc w:val="start"/>
      <w:pPr>
        <w:tabs>
          <w:tab w:val="num" w:pos="3592"/>
        </w:tabs>
        <w:ind w:start="3232" w:hanging="1080"/>
      </w:pPr>
      <w:rPr/>
    </w:lvl>
    <w:lvl w:ilvl="7">
      <w:start w:val="1"/>
      <w:numFmt w:val="decimal"/>
      <w:lvlText w:val="%1.%2.%3.%4.%5.%6.%7.%8."/>
      <w:lvlJc w:val="start"/>
      <w:pPr>
        <w:tabs>
          <w:tab w:val="num" w:pos="3952"/>
        </w:tabs>
        <w:ind w:start="3736" w:hanging="1224"/>
      </w:pPr>
      <w:rPr/>
    </w:lvl>
    <w:lvl w:ilvl="8">
      <w:start w:val="1"/>
      <w:numFmt w:val="decimal"/>
      <w:lvlText w:val="%1.%2.%3.%4.%5.%6.%7.%8.%9."/>
      <w:lvlJc w:val="start"/>
      <w:pPr>
        <w:tabs>
          <w:tab w:val="num" w:pos="4672"/>
        </w:tabs>
        <w:ind w:start="4312" w:hanging="1440"/>
      </w:pPr>
      <w:rPr/>
    </w:lvl>
  </w:abstractNum>
  <w:abstractNum w:abstractNumId="7">
    <w:lvl w:ilvl="0">
      <w:start w:val="1"/>
      <w:numFmt w:val="decimal"/>
      <w:lvlText w:val="%1."/>
      <w:lvlJc w:val="start"/>
      <w:pPr>
        <w:tabs>
          <w:tab w:val="num" w:pos="360"/>
        </w:tabs>
        <w:ind w:start="360" w:hanging="360"/>
      </w:pPr>
      <w:rPr/>
    </w:lvl>
    <w:lvl w:ilvl="1">
      <w:start w:val="1"/>
      <w:numFmt w:val="decimal"/>
      <w:lvlText w:val="%1.%2."/>
      <w:lvlJc w:val="start"/>
      <w:pPr>
        <w:tabs>
          <w:tab w:val="num" w:pos="792"/>
        </w:tabs>
        <w:ind w:start="792" w:hanging="432"/>
      </w:pPr>
      <w:rPr/>
    </w:lvl>
    <w:lvl w:ilvl="2">
      <w:start w:val="1"/>
      <w:numFmt w:val="decimal"/>
      <w:lvlText w:val="%1.%2.%3."/>
      <w:lvlJc w:val="start"/>
      <w:pPr>
        <w:tabs>
          <w:tab w:val="num" w:pos="1440"/>
        </w:tabs>
        <w:ind w:start="1224" w:hanging="504"/>
      </w:pPr>
      <w:rPr/>
    </w:lvl>
    <w:lvl w:ilvl="3">
      <w:start w:val="1"/>
      <w:numFmt w:val="decimal"/>
      <w:lvlText w:val="%1.%2.%3.%4."/>
      <w:lvlJc w:val="start"/>
      <w:pPr>
        <w:tabs>
          <w:tab w:val="num" w:pos="180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288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680"/>
        </w:tabs>
        <w:ind w:start="4320" w:hanging="1440"/>
      </w:pPr>
      <w:rPr/>
    </w:lvl>
  </w:abstractNum>
  <w:abstractNum w:abstractNumId="8">
    <w:lvl w:ilvl="0">
      <w:start w:val="1"/>
      <w:numFmt w:val="bullet"/>
      <w:lvlText w:val="–"/>
      <w:lvlJc w:val="start"/>
      <w:pPr>
        <w:tabs>
          <w:tab w:val="num" w:pos="360"/>
        </w:tabs>
        <w:ind w:start="360" w:hanging="360"/>
      </w:pPr>
      <w:rPr>
        <w:rFonts w:ascii="Times New Roman" w:hAnsi="Times New Roman" w:cs="Times New Roman" w:hint="default"/>
        <w:sz w:val="16"/>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9">
    <w:lvl w:ilvl="0">
      <w:start w:val="1"/>
      <w:numFmt w:val="bullet"/>
      <w:lvlText w:val=""/>
      <w:lvlJc w:val="start"/>
      <w:pPr>
        <w:tabs>
          <w:tab w:val="num" w:pos="5039"/>
        </w:tabs>
        <w:ind w:start="5039" w:hanging="360"/>
      </w:pPr>
      <w:rPr>
        <w:rFonts w:ascii="Symbol" w:hAnsi="Symbol" w:cs="Symbol" w:hint="default"/>
      </w:rPr>
    </w:lvl>
    <w:lvl w:ilvl="1">
      <w:start w:val="1"/>
      <w:numFmt w:val="bullet"/>
      <w:lvlText w:val=""/>
      <w:lvlJc w:val="start"/>
      <w:pPr>
        <w:tabs>
          <w:tab w:val="num" w:pos="2149"/>
        </w:tabs>
        <w:ind w:start="2149" w:hanging="360"/>
      </w:pPr>
      <w:rPr>
        <w:rFonts w:ascii="Symbol" w:hAnsi="Symbol" w:cs="Symbol" w:hint="default"/>
      </w:rPr>
    </w:lvl>
    <w:lvl w:ilvl="2">
      <w:start w:val="1"/>
      <w:numFmt w:val="bullet"/>
      <w:lvlText w:val=""/>
      <w:lvlJc w:val="start"/>
      <w:pPr>
        <w:tabs>
          <w:tab w:val="num" w:pos="2869"/>
        </w:tabs>
        <w:ind w:start="2869" w:hanging="360"/>
      </w:pPr>
      <w:rPr>
        <w:rFonts w:ascii="Wingdings" w:hAnsi="Wingdings" w:cs="Wingdings" w:hint="default"/>
      </w:rPr>
    </w:lvl>
    <w:lvl w:ilvl="3">
      <w:start w:val="1"/>
      <w:numFmt w:val="bullet"/>
      <w:lvlText w:val=""/>
      <w:lvlJc w:val="start"/>
      <w:pPr>
        <w:tabs>
          <w:tab w:val="num" w:pos="3589"/>
        </w:tabs>
        <w:ind w:start="3589" w:hanging="360"/>
      </w:pPr>
      <w:rPr>
        <w:rFonts w:ascii="Symbol" w:hAnsi="Symbol" w:cs="Symbol" w:hint="default"/>
      </w:rPr>
    </w:lvl>
    <w:lvl w:ilvl="4">
      <w:start w:val="1"/>
      <w:numFmt w:val="bullet"/>
      <w:lvlText w:val="o"/>
      <w:lvlJc w:val="start"/>
      <w:pPr>
        <w:tabs>
          <w:tab w:val="num" w:pos="4309"/>
        </w:tabs>
        <w:ind w:start="4309" w:hanging="360"/>
      </w:pPr>
      <w:rPr>
        <w:rFonts w:ascii="Courier New" w:hAnsi="Courier New" w:cs="Courier New" w:hint="default"/>
      </w:rPr>
    </w:lvl>
    <w:lvl w:ilvl="5">
      <w:start w:val="1"/>
      <w:numFmt w:val="bullet"/>
      <w:lvlText w:val=""/>
      <w:lvlJc w:val="start"/>
      <w:pPr>
        <w:tabs>
          <w:tab w:val="num" w:pos="5029"/>
        </w:tabs>
        <w:ind w:start="5029" w:hanging="360"/>
      </w:pPr>
      <w:rPr>
        <w:rFonts w:ascii="Wingdings" w:hAnsi="Wingdings" w:cs="Wingdings" w:hint="default"/>
      </w:rPr>
    </w:lvl>
    <w:lvl w:ilvl="6">
      <w:start w:val="1"/>
      <w:numFmt w:val="bullet"/>
      <w:lvlText w:val=""/>
      <w:lvlJc w:val="start"/>
      <w:pPr>
        <w:tabs>
          <w:tab w:val="num" w:pos="5749"/>
        </w:tabs>
        <w:ind w:start="5749" w:hanging="360"/>
      </w:pPr>
      <w:rPr>
        <w:rFonts w:ascii="Symbol" w:hAnsi="Symbol" w:cs="Symbol" w:hint="default"/>
      </w:rPr>
    </w:lvl>
    <w:lvl w:ilvl="7">
      <w:start w:val="1"/>
      <w:numFmt w:val="bullet"/>
      <w:lvlText w:val="o"/>
      <w:lvlJc w:val="start"/>
      <w:pPr>
        <w:tabs>
          <w:tab w:val="num" w:pos="6469"/>
        </w:tabs>
        <w:ind w:start="6469" w:hanging="360"/>
      </w:pPr>
      <w:rPr>
        <w:rFonts w:ascii="Courier New" w:hAnsi="Courier New" w:cs="Courier New" w:hint="default"/>
      </w:rPr>
    </w:lvl>
    <w:lvl w:ilvl="8">
      <w:start w:val="1"/>
      <w:numFmt w:val="bullet"/>
      <w:lvlText w:val=""/>
      <w:lvlJc w:val="start"/>
      <w:pPr>
        <w:tabs>
          <w:tab w:val="num" w:pos="7189"/>
        </w:tabs>
        <w:ind w:start="7189" w:hanging="360"/>
      </w:pPr>
      <w:rPr>
        <w:rFonts w:ascii="Wingdings" w:hAnsi="Wingdings" w:cs="Wingdings" w:hint="default"/>
      </w:rPr>
    </w:lvl>
  </w:abstractNum>
  <w:abstractNum w:abstractNumId="10">
    <w:lvl w:ilvl="0">
      <w:start w:val="1"/>
      <w:numFmt w:val="russianLower"/>
      <w:lvlText w:val="%1)"/>
      <w:lvlJc w:val="start"/>
      <w:pPr>
        <w:tabs>
          <w:tab w:val="num" w:pos="0"/>
        </w:tabs>
        <w:ind w:start="1069" w:hanging="360"/>
      </w:pPr>
      <w:rPr/>
    </w:lvl>
    <w:lvl w:ilvl="1">
      <w:start w:val="1"/>
      <w:numFmt w:val="lowerLetter"/>
      <w:lvlText w:val="%2."/>
      <w:lvlJc w:val="start"/>
      <w:pPr>
        <w:tabs>
          <w:tab w:val="num" w:pos="0"/>
        </w:tabs>
        <w:ind w:start="1789" w:hanging="360"/>
      </w:pPr>
      <w:rPr/>
    </w:lvl>
    <w:lvl w:ilvl="2">
      <w:start w:val="1"/>
      <w:numFmt w:val="lowerRoman"/>
      <w:lvlText w:val="%3."/>
      <w:lvlJc w:val="end"/>
      <w:pPr>
        <w:tabs>
          <w:tab w:val="num" w:pos="0"/>
        </w:tabs>
        <w:ind w:start="2509" w:hanging="180"/>
      </w:pPr>
      <w:rPr/>
    </w:lvl>
    <w:lvl w:ilvl="3">
      <w:start w:val="1"/>
      <w:numFmt w:val="decimal"/>
      <w:lvlText w:val="%4."/>
      <w:lvlJc w:val="start"/>
      <w:pPr>
        <w:tabs>
          <w:tab w:val="num" w:pos="0"/>
        </w:tabs>
        <w:ind w:start="3229" w:hanging="360"/>
      </w:pPr>
      <w:rPr/>
    </w:lvl>
    <w:lvl w:ilvl="4">
      <w:start w:val="1"/>
      <w:numFmt w:val="lowerLetter"/>
      <w:lvlText w:val="%5."/>
      <w:lvlJc w:val="start"/>
      <w:pPr>
        <w:tabs>
          <w:tab w:val="num" w:pos="0"/>
        </w:tabs>
        <w:ind w:start="3949" w:hanging="360"/>
      </w:pPr>
      <w:rPr/>
    </w:lvl>
    <w:lvl w:ilvl="5">
      <w:start w:val="1"/>
      <w:numFmt w:val="lowerRoman"/>
      <w:lvlText w:val="%6."/>
      <w:lvlJc w:val="end"/>
      <w:pPr>
        <w:tabs>
          <w:tab w:val="num" w:pos="0"/>
        </w:tabs>
        <w:ind w:start="4669" w:hanging="180"/>
      </w:pPr>
      <w:rPr/>
    </w:lvl>
    <w:lvl w:ilvl="6">
      <w:start w:val="1"/>
      <w:numFmt w:val="decimal"/>
      <w:lvlText w:val="%7."/>
      <w:lvlJc w:val="start"/>
      <w:pPr>
        <w:tabs>
          <w:tab w:val="num" w:pos="0"/>
        </w:tabs>
        <w:ind w:start="5389" w:hanging="360"/>
      </w:pPr>
      <w:rPr/>
    </w:lvl>
    <w:lvl w:ilvl="7">
      <w:start w:val="1"/>
      <w:numFmt w:val="lowerLetter"/>
      <w:lvlText w:val="%8."/>
      <w:lvlJc w:val="start"/>
      <w:pPr>
        <w:tabs>
          <w:tab w:val="num" w:pos="0"/>
        </w:tabs>
        <w:ind w:start="6109" w:hanging="360"/>
      </w:pPr>
      <w:rPr/>
    </w:lvl>
    <w:lvl w:ilvl="8">
      <w:start w:val="1"/>
      <w:numFmt w:val="lowerRoman"/>
      <w:lvlText w:val="%9."/>
      <w:lvlJc w:val="end"/>
      <w:pPr>
        <w:tabs>
          <w:tab w:val="num" w:pos="0"/>
        </w:tabs>
        <w:ind w:start="6829" w:hanging="180"/>
      </w:pPr>
      <w:rPr/>
    </w:lvl>
  </w:abstractNum>
  <w:abstractNum w:abstractNumId="11">
    <w:lvl w:ilvl="0">
      <w:start w:val="1"/>
      <w:numFmt w:val="decimal"/>
      <w:lvlText w:val="%1."/>
      <w:lvlJc w:val="start"/>
      <w:pPr>
        <w:tabs>
          <w:tab w:val="num" w:pos="1429"/>
        </w:tabs>
        <w:ind w:start="1429" w:hanging="360"/>
      </w:pPr>
      <w:rPr>
        <w:rFonts w:ascii="GOST" w:hAnsi="GOST"/>
        <w:b w:val="false"/>
        <w:i w:val="false"/>
        <w:sz w:val="24"/>
      </w:rPr>
    </w:lvl>
    <w:lvl w:ilvl="1">
      <w:start w:val="1"/>
      <w:numFmt w:val="bullet"/>
      <w:lvlText w:val=""/>
      <w:lvlJc w:val="start"/>
      <w:pPr>
        <w:tabs>
          <w:tab w:val="num" w:pos="2149"/>
        </w:tabs>
        <w:ind w:start="2149" w:hanging="360"/>
      </w:pPr>
      <w:rPr>
        <w:rFonts w:ascii="Symbol" w:hAnsi="Symbol" w:cs="Symbol" w:hint="default"/>
        <w:b w:val="false"/>
        <w:i w:val="false"/>
        <w:sz w:val="24"/>
      </w:rPr>
    </w:lvl>
    <w:lvl w:ilvl="2">
      <w:start w:val="1"/>
      <w:numFmt w:val="lowerRoman"/>
      <w:lvlText w:val="%3."/>
      <w:lvlJc w:val="end"/>
      <w:pPr>
        <w:tabs>
          <w:tab w:val="num" w:pos="2869"/>
        </w:tabs>
        <w:ind w:start="2869" w:hanging="180"/>
      </w:pPr>
      <w:rPr/>
    </w:lvl>
    <w:lvl w:ilvl="3">
      <w:start w:val="1"/>
      <w:numFmt w:val="decimal"/>
      <w:lvlText w:val="%4."/>
      <w:lvlJc w:val="start"/>
      <w:pPr>
        <w:tabs>
          <w:tab w:val="num" w:pos="3589"/>
        </w:tabs>
        <w:ind w:start="3589" w:hanging="360"/>
      </w:pPr>
      <w:rPr/>
    </w:lvl>
    <w:lvl w:ilvl="4">
      <w:start w:val="1"/>
      <w:numFmt w:val="lowerLetter"/>
      <w:lvlText w:val="%5."/>
      <w:lvlJc w:val="start"/>
      <w:pPr>
        <w:tabs>
          <w:tab w:val="num" w:pos="4309"/>
        </w:tabs>
        <w:ind w:start="4309" w:hanging="360"/>
      </w:pPr>
      <w:rPr/>
    </w:lvl>
    <w:lvl w:ilvl="5">
      <w:start w:val="1"/>
      <w:numFmt w:val="lowerRoman"/>
      <w:lvlText w:val="%6."/>
      <w:lvlJc w:val="end"/>
      <w:pPr>
        <w:tabs>
          <w:tab w:val="num" w:pos="5029"/>
        </w:tabs>
        <w:ind w:start="5029" w:hanging="180"/>
      </w:pPr>
      <w:rPr/>
    </w:lvl>
    <w:lvl w:ilvl="6">
      <w:start w:val="1"/>
      <w:numFmt w:val="decimal"/>
      <w:lvlText w:val="%7."/>
      <w:lvlJc w:val="start"/>
      <w:pPr>
        <w:tabs>
          <w:tab w:val="num" w:pos="5749"/>
        </w:tabs>
        <w:ind w:start="5749" w:hanging="360"/>
      </w:pPr>
      <w:rPr/>
    </w:lvl>
    <w:lvl w:ilvl="7">
      <w:start w:val="1"/>
      <w:numFmt w:val="lowerLetter"/>
      <w:lvlText w:val="%8."/>
      <w:lvlJc w:val="start"/>
      <w:pPr>
        <w:tabs>
          <w:tab w:val="num" w:pos="6469"/>
        </w:tabs>
        <w:ind w:start="6469" w:hanging="360"/>
      </w:pPr>
      <w:rPr/>
    </w:lvl>
    <w:lvl w:ilvl="8">
      <w:start w:val="1"/>
      <w:numFmt w:val="lowerRoman"/>
      <w:lvlText w:val="%9."/>
      <w:lvlJc w:val="end"/>
      <w:pPr>
        <w:tabs>
          <w:tab w:val="num" w:pos="7189"/>
        </w:tabs>
        <w:ind w:start="7189" w:hanging="180"/>
      </w:pPr>
      <w:rPr/>
    </w:lvl>
  </w:abstractNum>
  <w:abstractNum w:abstractNumId="12">
    <w:lvl w:ilvl="0">
      <w:start w:val="1"/>
      <w:numFmt w:val="bullet"/>
      <w:lvlText w:val=""/>
      <w:lvlJc w:val="start"/>
      <w:pPr>
        <w:tabs>
          <w:tab w:val="num" w:pos="360"/>
        </w:tabs>
        <w:ind w:start="360" w:hanging="360"/>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3">
    <w:lvl w:ilvl="0">
      <w:start w:val="1"/>
      <w:numFmt w:val="bullet"/>
      <w:lvlText w:val=""/>
      <w:lvlJc w:val="start"/>
      <w:pPr>
        <w:tabs>
          <w:tab w:val="num" w:pos="1440"/>
        </w:tabs>
        <w:ind w:start="1440" w:hanging="360"/>
      </w:pPr>
      <w:rPr>
        <w:rFonts w:ascii="Symbol" w:hAnsi="Symbol" w:cs="Symbol" w:hint="default"/>
      </w:rPr>
    </w:lvl>
    <w:lvl w:ilvl="1">
      <w:start w:val="1"/>
      <w:numFmt w:val="bullet"/>
      <w:lvlText w:val="o"/>
      <w:lvlJc w:val="start"/>
      <w:pPr>
        <w:tabs>
          <w:tab w:val="num" w:pos="2160"/>
        </w:tabs>
        <w:ind w:start="2160" w:hanging="360"/>
      </w:pPr>
      <w:rPr>
        <w:rFonts w:ascii="Courier New" w:hAnsi="Courier New" w:cs="Courier New" w:hint="default"/>
      </w:rPr>
    </w:lvl>
    <w:lvl w:ilvl="2">
      <w:start w:val="1"/>
      <w:numFmt w:val="bullet"/>
      <w:lvlText w:val=""/>
      <w:lvlJc w:val="start"/>
      <w:pPr>
        <w:tabs>
          <w:tab w:val="num" w:pos="2880"/>
        </w:tabs>
        <w:ind w:start="2880" w:hanging="360"/>
      </w:pPr>
      <w:rPr>
        <w:rFonts w:ascii="Wingdings" w:hAnsi="Wingdings" w:cs="Wingdings" w:hint="default"/>
      </w:rPr>
    </w:lvl>
    <w:lvl w:ilvl="3">
      <w:start w:val="1"/>
      <w:numFmt w:val="bullet"/>
      <w:lvlText w:val=""/>
      <w:lvlJc w:val="start"/>
      <w:pPr>
        <w:tabs>
          <w:tab w:val="num" w:pos="3600"/>
        </w:tabs>
        <w:ind w:start="3600" w:hanging="360"/>
      </w:pPr>
      <w:rPr>
        <w:rFonts w:ascii="Symbol" w:hAnsi="Symbol" w:cs="Symbol" w:hint="default"/>
      </w:rPr>
    </w:lvl>
    <w:lvl w:ilvl="4">
      <w:start w:val="1"/>
      <w:numFmt w:val="bullet"/>
      <w:lvlText w:val="o"/>
      <w:lvlJc w:val="start"/>
      <w:pPr>
        <w:tabs>
          <w:tab w:val="num" w:pos="4320"/>
        </w:tabs>
        <w:ind w:start="4320" w:hanging="360"/>
      </w:pPr>
      <w:rPr>
        <w:rFonts w:ascii="Courier New" w:hAnsi="Courier New" w:cs="Courier New" w:hint="default"/>
      </w:rPr>
    </w:lvl>
    <w:lvl w:ilvl="5">
      <w:start w:val="1"/>
      <w:numFmt w:val="bullet"/>
      <w:lvlText w:val=""/>
      <w:lvlJc w:val="start"/>
      <w:pPr>
        <w:tabs>
          <w:tab w:val="num" w:pos="5040"/>
        </w:tabs>
        <w:ind w:start="5040" w:hanging="360"/>
      </w:pPr>
      <w:rPr>
        <w:rFonts w:ascii="Wingdings" w:hAnsi="Wingdings" w:cs="Wingdings" w:hint="default"/>
      </w:rPr>
    </w:lvl>
    <w:lvl w:ilvl="6">
      <w:start w:val="1"/>
      <w:numFmt w:val="bullet"/>
      <w:lvlText w:val=""/>
      <w:lvlJc w:val="start"/>
      <w:pPr>
        <w:tabs>
          <w:tab w:val="num" w:pos="5760"/>
        </w:tabs>
        <w:ind w:start="5760" w:hanging="360"/>
      </w:pPr>
      <w:rPr>
        <w:rFonts w:ascii="Symbol" w:hAnsi="Symbol" w:cs="Symbol" w:hint="default"/>
      </w:rPr>
    </w:lvl>
    <w:lvl w:ilvl="7">
      <w:start w:val="1"/>
      <w:numFmt w:val="bullet"/>
      <w:lvlText w:val="o"/>
      <w:lvlJc w:val="start"/>
      <w:pPr>
        <w:tabs>
          <w:tab w:val="num" w:pos="6480"/>
        </w:tabs>
        <w:ind w:start="6480" w:hanging="360"/>
      </w:pPr>
      <w:rPr>
        <w:rFonts w:ascii="Courier New" w:hAnsi="Courier New" w:cs="Courier New" w:hint="default"/>
      </w:rPr>
    </w:lvl>
    <w:lvl w:ilvl="8">
      <w:start w:val="1"/>
      <w:numFmt w:val="bullet"/>
      <w:lvlText w:val=""/>
      <w:lvlJc w:val="start"/>
      <w:pPr>
        <w:tabs>
          <w:tab w:val="num" w:pos="7200"/>
        </w:tabs>
        <w:ind w:start="7200" w:hanging="360"/>
      </w:pPr>
      <w:rPr>
        <w:rFonts w:ascii="Wingdings" w:hAnsi="Wingdings" w:cs="Wingdings" w:hint="default"/>
      </w:rPr>
    </w:lvl>
  </w:abstractNum>
  <w:abstractNum w:abstractNumId="14">
    <w:lvl w:ilvl="0">
      <w:start w:val="1"/>
      <w:numFmt w:val="decimal"/>
      <w:lvlText w:val="%1"/>
      <w:lvlJc w:val="start"/>
      <w:pPr>
        <w:tabs>
          <w:tab w:val="num" w:pos="432"/>
        </w:tabs>
        <w:ind w:start="432" w:hanging="432"/>
      </w:pPr>
      <w:rPr/>
    </w:lvl>
    <w:lvl w:ilvl="1">
      <w:start w:val="1"/>
      <w:numFmt w:val="decimal"/>
      <w:lvlText w:val="%1.%2"/>
      <w:lvlJc w:val="start"/>
      <w:pPr>
        <w:tabs>
          <w:tab w:val="num" w:pos="576"/>
        </w:tabs>
        <w:ind w:start="576" w:hanging="576"/>
      </w:pPr>
      <w:rPr/>
    </w:lvl>
    <w:lvl w:ilvl="2">
      <w:start w:val="1"/>
      <w:numFmt w:val="decimal"/>
      <w:lvlText w:val="%1.%2.%3"/>
      <w:lvlJc w:val="start"/>
      <w:pPr>
        <w:tabs>
          <w:tab w:val="num" w:pos="6249"/>
        </w:tabs>
        <w:ind w:start="6249" w:hanging="720"/>
      </w:pPr>
      <w:rPr>
        <w:color w:val="000000"/>
      </w:rPr>
    </w:lvl>
    <w:lvl w:ilvl="3">
      <w:start w:val="1"/>
      <w:numFmt w:val="decimal"/>
      <w:lvlText w:val="%1.%2.%3.%4"/>
      <w:lvlJc w:val="start"/>
      <w:pPr>
        <w:tabs>
          <w:tab w:val="num" w:pos="864"/>
        </w:tabs>
        <w:ind w:start="864" w:hanging="864"/>
      </w:pPr>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15">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6">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7">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8">
    <w:lvl w:ilvl="0">
      <w:start w:val="1"/>
      <w:numFmt w:val="bullet"/>
      <w:lvlText w:val=""/>
      <w:lvlJc w:val="start"/>
      <w:pPr>
        <w:tabs>
          <w:tab w:val="num" w:pos="0"/>
        </w:tabs>
        <w:ind w:start="1069" w:hanging="360"/>
      </w:pPr>
      <w:rPr>
        <w:rFonts w:ascii="Symbol" w:hAnsi="Symbol" w:cs="Symbol" w:hint="default"/>
      </w:rPr>
    </w:lvl>
    <w:lvl w:ilvl="1">
      <w:start w:val="1"/>
      <w:numFmt w:val="bullet"/>
      <w:lvlText w:val="o"/>
      <w:lvlJc w:val="start"/>
      <w:pPr>
        <w:tabs>
          <w:tab w:val="num" w:pos="0"/>
        </w:tabs>
        <w:ind w:start="2869" w:hanging="360"/>
      </w:pPr>
      <w:rPr>
        <w:rFonts w:ascii="Courier New" w:hAnsi="Courier New" w:cs="Courier New" w:hint="default"/>
      </w:rPr>
    </w:lvl>
    <w:lvl w:ilvl="2">
      <w:start w:val="1"/>
      <w:numFmt w:val="bullet"/>
      <w:lvlText w:val=""/>
      <w:lvlJc w:val="start"/>
      <w:pPr>
        <w:tabs>
          <w:tab w:val="num" w:pos="0"/>
        </w:tabs>
        <w:ind w:start="3589" w:hanging="360"/>
      </w:pPr>
      <w:rPr>
        <w:rFonts w:ascii="Wingdings" w:hAnsi="Wingdings" w:cs="Wingdings" w:hint="default"/>
      </w:rPr>
    </w:lvl>
    <w:lvl w:ilvl="3">
      <w:start w:val="1"/>
      <w:numFmt w:val="bullet"/>
      <w:lvlText w:val=""/>
      <w:lvlJc w:val="start"/>
      <w:pPr>
        <w:tabs>
          <w:tab w:val="num" w:pos="0"/>
        </w:tabs>
        <w:ind w:start="4309" w:hanging="360"/>
      </w:pPr>
      <w:rPr>
        <w:rFonts w:ascii="Symbol" w:hAnsi="Symbol" w:cs="Symbol" w:hint="default"/>
      </w:rPr>
    </w:lvl>
    <w:lvl w:ilvl="4">
      <w:start w:val="1"/>
      <w:numFmt w:val="bullet"/>
      <w:lvlText w:val="o"/>
      <w:lvlJc w:val="start"/>
      <w:pPr>
        <w:tabs>
          <w:tab w:val="num" w:pos="0"/>
        </w:tabs>
        <w:ind w:start="5029" w:hanging="360"/>
      </w:pPr>
      <w:rPr>
        <w:rFonts w:ascii="Courier New" w:hAnsi="Courier New" w:cs="Courier New" w:hint="default"/>
      </w:rPr>
    </w:lvl>
    <w:lvl w:ilvl="5">
      <w:start w:val="1"/>
      <w:numFmt w:val="bullet"/>
      <w:lvlText w:val=""/>
      <w:lvlJc w:val="start"/>
      <w:pPr>
        <w:tabs>
          <w:tab w:val="num" w:pos="0"/>
        </w:tabs>
        <w:ind w:start="5749" w:hanging="360"/>
      </w:pPr>
      <w:rPr>
        <w:rFonts w:ascii="Wingdings" w:hAnsi="Wingdings" w:cs="Wingdings" w:hint="default"/>
      </w:rPr>
    </w:lvl>
    <w:lvl w:ilvl="6">
      <w:start w:val="1"/>
      <w:numFmt w:val="bullet"/>
      <w:lvlText w:val=""/>
      <w:lvlJc w:val="start"/>
      <w:pPr>
        <w:tabs>
          <w:tab w:val="num" w:pos="0"/>
        </w:tabs>
        <w:ind w:start="6469" w:hanging="360"/>
      </w:pPr>
      <w:rPr>
        <w:rFonts w:ascii="Symbol" w:hAnsi="Symbol" w:cs="Symbol" w:hint="default"/>
      </w:rPr>
    </w:lvl>
    <w:lvl w:ilvl="7">
      <w:start w:val="1"/>
      <w:numFmt w:val="bullet"/>
      <w:lvlText w:val="o"/>
      <w:lvlJc w:val="start"/>
      <w:pPr>
        <w:tabs>
          <w:tab w:val="num" w:pos="0"/>
        </w:tabs>
        <w:ind w:start="7189" w:hanging="360"/>
      </w:pPr>
      <w:rPr>
        <w:rFonts w:ascii="Courier New" w:hAnsi="Courier New" w:cs="Courier New" w:hint="default"/>
      </w:rPr>
    </w:lvl>
    <w:lvl w:ilvl="8">
      <w:start w:val="1"/>
      <w:numFmt w:val="bullet"/>
      <w:lvlText w:val=""/>
      <w:lvlJc w:val="start"/>
      <w:pPr>
        <w:tabs>
          <w:tab w:val="num" w:pos="0"/>
        </w:tabs>
        <w:ind w:start="7909" w:hanging="360"/>
      </w:pPr>
      <w:rPr>
        <w:rFonts w:ascii="Wingdings" w:hAnsi="Wingdings" w:cs="Wingdings" w:hint="default"/>
      </w:rPr>
    </w:lvl>
  </w:abstractNum>
  <w:abstractNum w:abstractNumId="19">
    <w:lvl w:ilvl="0">
      <w:start w:val="1"/>
      <w:numFmt w:val="bullet"/>
      <w:lvlText w:val=""/>
      <w:lvlJc w:val="start"/>
      <w:pPr>
        <w:tabs>
          <w:tab w:val="num" w:pos="0"/>
        </w:tabs>
        <w:ind w:start="1429" w:hanging="360"/>
      </w:pPr>
      <w:rPr>
        <w:rFonts w:ascii="Symbol" w:hAnsi="Symbol" w:cs="Symbol" w:hint="default"/>
      </w:rPr>
    </w:lvl>
    <w:lvl w:ilvl="1">
      <w:start w:val="1"/>
      <w:numFmt w:val="bullet"/>
      <w:lvlText w:val=""/>
      <w:lvlJc w:val="start"/>
      <w:pPr>
        <w:tabs>
          <w:tab w:val="num" w:pos="0"/>
        </w:tabs>
        <w:ind w:start="2149" w:hanging="360"/>
      </w:pPr>
      <w:rPr>
        <w:rFonts w:ascii="Symbol" w:hAnsi="Symbol" w:cs="Symbol"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20">
    <w:lvl w:ilvl="0">
      <w:start w:val="1"/>
      <w:numFmt w:val="decimal"/>
      <w:lvlText w:val="%1"/>
      <w:lvlJc w:val="end"/>
      <w:pPr>
        <w:tabs>
          <w:tab w:val="num" w:pos="0"/>
        </w:tabs>
        <w:ind w:start="890" w:hanging="360"/>
      </w:pPr>
      <w:rPr>
        <w:strike w:val="false"/>
        <w:dstrike w:val="false"/>
      </w:rPr>
    </w:lvl>
    <w:lvl w:ilvl="1">
      <w:start w:val="1"/>
      <w:numFmt w:val="lowerLetter"/>
      <w:lvlText w:val="%2."/>
      <w:lvlJc w:val="start"/>
      <w:pPr>
        <w:tabs>
          <w:tab w:val="num" w:pos="0"/>
        </w:tabs>
        <w:ind w:start="1610" w:hanging="360"/>
      </w:pPr>
      <w:rPr/>
    </w:lvl>
    <w:lvl w:ilvl="2">
      <w:start w:val="1"/>
      <w:numFmt w:val="lowerRoman"/>
      <w:lvlText w:val="%3."/>
      <w:lvlJc w:val="end"/>
      <w:pPr>
        <w:tabs>
          <w:tab w:val="num" w:pos="0"/>
        </w:tabs>
        <w:ind w:start="2330" w:hanging="180"/>
      </w:pPr>
      <w:rPr/>
    </w:lvl>
    <w:lvl w:ilvl="3">
      <w:start w:val="1"/>
      <w:numFmt w:val="decimal"/>
      <w:lvlText w:val="%4."/>
      <w:lvlJc w:val="start"/>
      <w:pPr>
        <w:tabs>
          <w:tab w:val="num" w:pos="0"/>
        </w:tabs>
        <w:ind w:start="3050" w:hanging="360"/>
      </w:pPr>
      <w:rPr/>
    </w:lvl>
    <w:lvl w:ilvl="4">
      <w:start w:val="1"/>
      <w:numFmt w:val="lowerLetter"/>
      <w:lvlText w:val="%5."/>
      <w:lvlJc w:val="start"/>
      <w:pPr>
        <w:tabs>
          <w:tab w:val="num" w:pos="0"/>
        </w:tabs>
        <w:ind w:start="3770" w:hanging="360"/>
      </w:pPr>
      <w:rPr/>
    </w:lvl>
    <w:lvl w:ilvl="5">
      <w:start w:val="1"/>
      <w:numFmt w:val="lowerRoman"/>
      <w:lvlText w:val="%6."/>
      <w:lvlJc w:val="end"/>
      <w:pPr>
        <w:tabs>
          <w:tab w:val="num" w:pos="0"/>
        </w:tabs>
        <w:ind w:start="4490" w:hanging="180"/>
      </w:pPr>
      <w:rPr/>
    </w:lvl>
    <w:lvl w:ilvl="6">
      <w:start w:val="1"/>
      <w:numFmt w:val="decimal"/>
      <w:lvlText w:val="%7."/>
      <w:lvlJc w:val="start"/>
      <w:pPr>
        <w:tabs>
          <w:tab w:val="num" w:pos="0"/>
        </w:tabs>
        <w:ind w:start="5210" w:hanging="360"/>
      </w:pPr>
      <w:rPr/>
    </w:lvl>
    <w:lvl w:ilvl="7">
      <w:start w:val="1"/>
      <w:numFmt w:val="lowerLetter"/>
      <w:lvlText w:val="%8."/>
      <w:lvlJc w:val="start"/>
      <w:pPr>
        <w:tabs>
          <w:tab w:val="num" w:pos="0"/>
        </w:tabs>
        <w:ind w:start="5930" w:hanging="360"/>
      </w:pPr>
      <w:rPr/>
    </w:lvl>
    <w:lvl w:ilvl="8">
      <w:start w:val="1"/>
      <w:numFmt w:val="lowerRoman"/>
      <w:lvlText w:val="%9."/>
      <w:lvlJc w:val="end"/>
      <w:pPr>
        <w:tabs>
          <w:tab w:val="num" w:pos="0"/>
        </w:tabs>
        <w:ind w:start="6650" w:hanging="180"/>
      </w:pPr>
      <w:rPr/>
    </w:lvl>
  </w:abstractNum>
  <w:abstractNum w:abstractNumId="21">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22">
    <w:lvl w:ilvl="0">
      <w:start w:val="8"/>
      <w:numFmt w:val="decimal"/>
      <w:lvlText w:val="%1."/>
      <w:lvlJc w:val="start"/>
      <w:pPr>
        <w:tabs>
          <w:tab w:val="num" w:pos="0"/>
        </w:tabs>
        <w:ind w:start="1069" w:hanging="360"/>
      </w:pPr>
      <w:rPr/>
    </w:lvl>
    <w:lvl w:ilvl="1">
      <w:start w:val="1"/>
      <w:numFmt w:val="lowerLetter"/>
      <w:lvlText w:val="%2."/>
      <w:lvlJc w:val="start"/>
      <w:pPr>
        <w:tabs>
          <w:tab w:val="num" w:pos="0"/>
        </w:tabs>
        <w:ind w:start="1789" w:hanging="360"/>
      </w:pPr>
      <w:rPr/>
    </w:lvl>
    <w:lvl w:ilvl="2">
      <w:start w:val="1"/>
      <w:numFmt w:val="lowerRoman"/>
      <w:lvlText w:val="%3."/>
      <w:lvlJc w:val="end"/>
      <w:pPr>
        <w:tabs>
          <w:tab w:val="num" w:pos="0"/>
        </w:tabs>
        <w:ind w:start="2509" w:hanging="180"/>
      </w:pPr>
      <w:rPr/>
    </w:lvl>
    <w:lvl w:ilvl="3">
      <w:start w:val="1"/>
      <w:numFmt w:val="decimal"/>
      <w:lvlText w:val="%4."/>
      <w:lvlJc w:val="start"/>
      <w:pPr>
        <w:tabs>
          <w:tab w:val="num" w:pos="0"/>
        </w:tabs>
        <w:ind w:start="3229" w:hanging="360"/>
      </w:pPr>
      <w:rPr/>
    </w:lvl>
    <w:lvl w:ilvl="4">
      <w:start w:val="1"/>
      <w:numFmt w:val="lowerLetter"/>
      <w:lvlText w:val="%5."/>
      <w:lvlJc w:val="start"/>
      <w:pPr>
        <w:tabs>
          <w:tab w:val="num" w:pos="0"/>
        </w:tabs>
        <w:ind w:start="3949" w:hanging="360"/>
      </w:pPr>
      <w:rPr/>
    </w:lvl>
    <w:lvl w:ilvl="5">
      <w:start w:val="1"/>
      <w:numFmt w:val="lowerRoman"/>
      <w:lvlText w:val="%6."/>
      <w:lvlJc w:val="end"/>
      <w:pPr>
        <w:tabs>
          <w:tab w:val="num" w:pos="0"/>
        </w:tabs>
        <w:ind w:start="4669" w:hanging="180"/>
      </w:pPr>
      <w:rPr/>
    </w:lvl>
    <w:lvl w:ilvl="6">
      <w:start w:val="1"/>
      <w:numFmt w:val="decimal"/>
      <w:lvlText w:val="%7."/>
      <w:lvlJc w:val="start"/>
      <w:pPr>
        <w:tabs>
          <w:tab w:val="num" w:pos="0"/>
        </w:tabs>
        <w:ind w:start="5389" w:hanging="360"/>
      </w:pPr>
      <w:rPr/>
    </w:lvl>
    <w:lvl w:ilvl="7">
      <w:start w:val="1"/>
      <w:numFmt w:val="lowerLetter"/>
      <w:lvlText w:val="%8."/>
      <w:lvlJc w:val="start"/>
      <w:pPr>
        <w:tabs>
          <w:tab w:val="num" w:pos="0"/>
        </w:tabs>
        <w:ind w:start="6109" w:hanging="360"/>
      </w:pPr>
      <w:rPr/>
    </w:lvl>
    <w:lvl w:ilvl="8">
      <w:start w:val="1"/>
      <w:numFmt w:val="lowerRoman"/>
      <w:lvlText w:val="%9."/>
      <w:lvlJc w:val="end"/>
      <w:pPr>
        <w:tabs>
          <w:tab w:val="num" w:pos="0"/>
        </w:tabs>
        <w:ind w:start="6829" w:hanging="180"/>
      </w:pPr>
      <w:rPr/>
    </w:lvl>
  </w:abstractNum>
  <w:abstractNum w:abstractNumId="2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4">
    <w:lvl w:ilvl="0">
      <w:start w:val="1"/>
      <w:numFmt w:val="decimal"/>
      <w:lvlText w:val="%1."/>
      <w:lvlJc w:val="start"/>
      <w:pPr>
        <w:tabs>
          <w:tab w:val="num" w:pos="720"/>
        </w:tabs>
        <w:ind w:start="720" w:hanging="360"/>
      </w:pPr>
      <w:rPr/>
    </w:lvl>
    <w:lvl w:ilvl="1">
      <w:start w:val="1"/>
      <w:numFmt w:val="bullet"/>
      <w:lvlText w:val=""/>
      <w:lvlJc w:val="start"/>
      <w:pPr>
        <w:tabs>
          <w:tab w:val="num" w:pos="0"/>
        </w:tabs>
        <w:ind w:start="1440" w:hanging="360"/>
      </w:pPr>
      <w:rPr>
        <w:rFonts w:ascii="Symbol" w:hAnsi="Symbol" w:cs="Symbol" w:hint="default"/>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5">
    <w:lvl w:ilvl="0">
      <w:start w:val="1"/>
      <w:numFmt w:val="decimal"/>
      <w:lvlText w:val="%1."/>
      <w:lvlJc w:val="start"/>
      <w:pPr>
        <w:tabs>
          <w:tab w:val="num" w:pos="720"/>
        </w:tabs>
        <w:ind w:start="720" w:hanging="360"/>
      </w:pPr>
      <w:rPr/>
    </w:lvl>
    <w:lvl w:ilvl="1">
      <w:start w:val="1"/>
      <w:numFmt w:val="bullet"/>
      <w:lvlText w:val=""/>
      <w:lvlJc w:val="start"/>
      <w:pPr>
        <w:tabs>
          <w:tab w:val="num" w:pos="0"/>
        </w:tabs>
        <w:ind w:start="1440" w:hanging="360"/>
      </w:pPr>
      <w:rPr>
        <w:rFonts w:ascii="Symbol" w:hAnsi="Symbol" w:cs="Symbol" w:hint="default"/>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6">
    <w:lvl w:ilvl="0">
      <w:start w:val="1"/>
      <w:numFmt w:val="decimal"/>
      <w:lvlText w:val="%1."/>
      <w:lvlJc w:val="start"/>
      <w:pPr>
        <w:tabs>
          <w:tab w:val="num" w:pos="720"/>
        </w:tabs>
        <w:ind w:start="720" w:hanging="360"/>
      </w:pPr>
      <w:rPr/>
    </w:lvl>
    <w:lvl w:ilvl="1">
      <w:start w:val="1"/>
      <w:numFmt w:val="bullet"/>
      <w:lvlText w:val=""/>
      <w:lvlJc w:val="start"/>
      <w:pPr>
        <w:tabs>
          <w:tab w:val="num" w:pos="0"/>
        </w:tabs>
        <w:ind w:start="1440" w:hanging="360"/>
      </w:pPr>
      <w:rPr>
        <w:rFonts w:ascii="Symbol" w:hAnsi="Symbol" w:cs="Symbol" w:hint="default"/>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7">
    <w:lvl w:ilvl="0">
      <w:start w:val="1"/>
      <w:numFmt w:val="decimal"/>
      <w:lvlText w:val="%1."/>
      <w:lvlJc w:val="start"/>
      <w:pPr>
        <w:tabs>
          <w:tab w:val="num" w:pos="720"/>
        </w:tabs>
        <w:ind w:start="720" w:hanging="360"/>
      </w:pPr>
      <w:rPr/>
    </w:lvl>
    <w:lvl w:ilvl="1">
      <w:start w:val="1"/>
      <w:numFmt w:val="bullet"/>
      <w:lvlText w:val=""/>
      <w:lvlJc w:val="start"/>
      <w:pPr>
        <w:tabs>
          <w:tab w:val="num" w:pos="0"/>
        </w:tabs>
        <w:ind w:start="1440" w:hanging="360"/>
      </w:pPr>
      <w:rPr>
        <w:rFonts w:ascii="Symbol" w:hAnsi="Symbol" w:cs="Symbol" w:hint="default"/>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8">
    <w:lvl w:ilvl="0">
      <w:start w:val="1"/>
      <w:numFmt w:val="bullet"/>
      <w:lvlText w:val=""/>
      <w:lvlJc w:val="start"/>
      <w:pPr>
        <w:tabs>
          <w:tab w:val="num" w:pos="0"/>
        </w:tabs>
        <w:ind w:start="1230" w:hanging="360"/>
      </w:pPr>
      <w:rPr>
        <w:rFonts w:ascii="Symbol" w:hAnsi="Symbol" w:cs="Symbol" w:hint="default"/>
      </w:rPr>
    </w:lvl>
    <w:lvl w:ilvl="1">
      <w:start w:val="1"/>
      <w:numFmt w:val="bullet"/>
      <w:lvlText w:val="o"/>
      <w:lvlJc w:val="start"/>
      <w:pPr>
        <w:tabs>
          <w:tab w:val="num" w:pos="0"/>
        </w:tabs>
        <w:ind w:start="1950" w:hanging="360"/>
      </w:pPr>
      <w:rPr>
        <w:rFonts w:ascii="Courier New" w:hAnsi="Courier New" w:cs="Courier New" w:hint="default"/>
      </w:rPr>
    </w:lvl>
    <w:lvl w:ilvl="2">
      <w:start w:val="1"/>
      <w:numFmt w:val="bullet"/>
      <w:lvlText w:val=""/>
      <w:lvlJc w:val="start"/>
      <w:pPr>
        <w:tabs>
          <w:tab w:val="num" w:pos="0"/>
        </w:tabs>
        <w:ind w:start="2670" w:hanging="360"/>
      </w:pPr>
      <w:rPr>
        <w:rFonts w:ascii="Wingdings" w:hAnsi="Wingdings" w:cs="Wingdings" w:hint="default"/>
      </w:rPr>
    </w:lvl>
    <w:lvl w:ilvl="3">
      <w:start w:val="1"/>
      <w:numFmt w:val="bullet"/>
      <w:lvlText w:val=""/>
      <w:lvlJc w:val="start"/>
      <w:pPr>
        <w:tabs>
          <w:tab w:val="num" w:pos="0"/>
        </w:tabs>
        <w:ind w:start="3390" w:hanging="360"/>
      </w:pPr>
      <w:rPr>
        <w:rFonts w:ascii="Symbol" w:hAnsi="Symbol" w:cs="Symbol" w:hint="default"/>
      </w:rPr>
    </w:lvl>
    <w:lvl w:ilvl="4">
      <w:start w:val="1"/>
      <w:numFmt w:val="bullet"/>
      <w:lvlText w:val="o"/>
      <w:lvlJc w:val="start"/>
      <w:pPr>
        <w:tabs>
          <w:tab w:val="num" w:pos="0"/>
        </w:tabs>
        <w:ind w:start="4110" w:hanging="360"/>
      </w:pPr>
      <w:rPr>
        <w:rFonts w:ascii="Courier New" w:hAnsi="Courier New" w:cs="Courier New" w:hint="default"/>
      </w:rPr>
    </w:lvl>
    <w:lvl w:ilvl="5">
      <w:start w:val="1"/>
      <w:numFmt w:val="bullet"/>
      <w:lvlText w:val=""/>
      <w:lvlJc w:val="start"/>
      <w:pPr>
        <w:tabs>
          <w:tab w:val="num" w:pos="0"/>
        </w:tabs>
        <w:ind w:start="4830" w:hanging="360"/>
      </w:pPr>
      <w:rPr>
        <w:rFonts w:ascii="Wingdings" w:hAnsi="Wingdings" w:cs="Wingdings" w:hint="default"/>
      </w:rPr>
    </w:lvl>
    <w:lvl w:ilvl="6">
      <w:start w:val="1"/>
      <w:numFmt w:val="bullet"/>
      <w:lvlText w:val=""/>
      <w:lvlJc w:val="start"/>
      <w:pPr>
        <w:tabs>
          <w:tab w:val="num" w:pos="0"/>
        </w:tabs>
        <w:ind w:start="5550" w:hanging="360"/>
      </w:pPr>
      <w:rPr>
        <w:rFonts w:ascii="Symbol" w:hAnsi="Symbol" w:cs="Symbol" w:hint="default"/>
      </w:rPr>
    </w:lvl>
    <w:lvl w:ilvl="7">
      <w:start w:val="1"/>
      <w:numFmt w:val="bullet"/>
      <w:lvlText w:val="o"/>
      <w:lvlJc w:val="start"/>
      <w:pPr>
        <w:tabs>
          <w:tab w:val="num" w:pos="0"/>
        </w:tabs>
        <w:ind w:start="6270" w:hanging="360"/>
      </w:pPr>
      <w:rPr>
        <w:rFonts w:ascii="Courier New" w:hAnsi="Courier New" w:cs="Courier New" w:hint="default"/>
      </w:rPr>
    </w:lvl>
    <w:lvl w:ilvl="8">
      <w:start w:val="1"/>
      <w:numFmt w:val="bullet"/>
      <w:lvlText w:val=""/>
      <w:lvlJc w:val="start"/>
      <w:pPr>
        <w:tabs>
          <w:tab w:val="num" w:pos="0"/>
        </w:tabs>
        <w:ind w:start="6990" w:hanging="360"/>
      </w:pPr>
      <w:rPr>
        <w:rFonts w:ascii="Wingdings" w:hAnsi="Wingdings" w:cs="Wingdings" w:hint="default"/>
      </w:rPr>
    </w:lvl>
  </w:abstractNum>
  <w:abstractNum w:abstractNumId="2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5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color w:val="000000"/>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link w:val="1"/>
    <w:qFormat/>
    <w:rsid w:val="000a482f"/>
    <w:pPr>
      <w:widowControl/>
      <w:suppressAutoHyphens w:val="true"/>
      <w:bidi w:val="0"/>
      <w:spacing w:lineRule="auto" w:line="360" w:before="0" w:after="0"/>
      <w:ind w:firstLine="709"/>
      <w:jc w:val="both"/>
    </w:pPr>
    <w:rPr>
      <w:rFonts w:ascii="Times New Roman" w:hAnsi="Times New Roman" w:eastAsia="Times New Roman" w:cs="Times New Roman"/>
      <w:color w:val="000000"/>
      <w:kern w:val="0"/>
      <w:sz w:val="24"/>
      <w:szCs w:val="20"/>
      <w:lang w:val="ru-RU" w:eastAsia="ru-RU" w:bidi="ar-SA"/>
    </w:rPr>
  </w:style>
  <w:style w:type="paragraph" w:styleId="Heading1">
    <w:name w:val="heading 1"/>
    <w:basedOn w:val="Normal"/>
    <w:next w:val="Normal"/>
    <w:link w:val="110"/>
    <w:uiPriority w:val="9"/>
    <w:qFormat/>
    <w:pPr>
      <w:keepNext w:val="true"/>
      <w:pageBreakBefore/>
      <w:numPr>
        <w:ilvl w:val="0"/>
        <w:numId w:val="6"/>
      </w:numPr>
      <w:tabs>
        <w:tab w:val="clear" w:pos="709"/>
        <w:tab w:val="left" w:pos="993" w:leader="none"/>
      </w:tabs>
      <w:spacing w:before="0" w:after="240"/>
      <w:jc w:val="start"/>
      <w:outlineLvl w:val="0"/>
    </w:pPr>
    <w:rPr>
      <w:b/>
    </w:rPr>
  </w:style>
  <w:style w:type="paragraph" w:styleId="Heading2">
    <w:name w:val="heading 2"/>
    <w:basedOn w:val="Normal"/>
    <w:next w:val="Normal"/>
    <w:link w:val="26"/>
    <w:uiPriority w:val="9"/>
    <w:qFormat/>
    <w:pPr>
      <w:keepNext w:val="true"/>
      <w:numPr>
        <w:ilvl w:val="1"/>
        <w:numId w:val="6"/>
      </w:numPr>
      <w:tabs>
        <w:tab w:val="clear" w:pos="709"/>
        <w:tab w:val="left" w:pos="714" w:leader="none"/>
        <w:tab w:val="left" w:pos="1134" w:leader="none"/>
      </w:tabs>
      <w:spacing w:lineRule="auto" w:line="240" w:before="120" w:after="0"/>
      <w:ind w:firstLine="709" w:start="0"/>
      <w:outlineLvl w:val="1"/>
    </w:pPr>
    <w:rPr>
      <w:i/>
    </w:rPr>
  </w:style>
  <w:style w:type="paragraph" w:styleId="Heading3">
    <w:name w:val="heading 3"/>
    <w:basedOn w:val="Normal"/>
    <w:next w:val="Normal"/>
    <w:link w:val="31"/>
    <w:uiPriority w:val="9"/>
    <w:qFormat/>
    <w:pPr>
      <w:keepNext w:val="true"/>
      <w:numPr>
        <w:ilvl w:val="2"/>
        <w:numId w:val="6"/>
      </w:numPr>
      <w:spacing w:before="120" w:after="240"/>
      <w:outlineLvl w:val="2"/>
    </w:pPr>
    <w:rPr/>
  </w:style>
  <w:style w:type="paragraph" w:styleId="Heading4">
    <w:name w:val="heading 4"/>
    <w:basedOn w:val="Normal"/>
    <w:next w:val="Normal"/>
    <w:link w:val="42"/>
    <w:uiPriority w:val="9"/>
    <w:qFormat/>
    <w:pPr>
      <w:keepNext w:val="true"/>
      <w:numPr>
        <w:ilvl w:val="3"/>
        <w:numId w:val="6"/>
      </w:numPr>
      <w:spacing w:before="120" w:after="240"/>
      <w:outlineLvl w:val="3"/>
    </w:pPr>
    <w:rPr/>
  </w:style>
  <w:style w:type="paragraph" w:styleId="Heading5">
    <w:name w:val="heading 5"/>
    <w:basedOn w:val="Normal"/>
    <w:next w:val="Normal"/>
    <w:link w:val="5"/>
    <w:uiPriority w:val="9"/>
    <w:qFormat/>
    <w:pPr>
      <w:numPr>
        <w:ilvl w:val="4"/>
        <w:numId w:val="6"/>
      </w:numPr>
      <w:tabs>
        <w:tab w:val="clear" w:pos="709"/>
        <w:tab w:val="left" w:pos="1701" w:leader="none"/>
      </w:tabs>
      <w:spacing w:before="120" w:after="240"/>
      <w:outlineLvl w:val="4"/>
    </w:pPr>
    <w:rPr/>
  </w:style>
  <w:style w:type="paragraph" w:styleId="Heading6">
    <w:name w:val="heading 6"/>
    <w:basedOn w:val="Normal"/>
    <w:next w:val="Normal"/>
    <w:link w:val="61"/>
    <w:uiPriority w:val="9"/>
    <w:qFormat/>
    <w:pPr>
      <w:keepNext w:val="true"/>
      <w:spacing w:lineRule="auto" w:line="240"/>
      <w:ind w:hanging="0"/>
      <w:jc w:val="center"/>
      <w:outlineLvl w:val="5"/>
    </w:pPr>
    <w:rPr>
      <w:b/>
      <w:caps/>
      <w:sz w:val="28"/>
    </w:rPr>
  </w:style>
  <w:style w:type="paragraph" w:styleId="Heading7">
    <w:name w:val="heading 7"/>
    <w:basedOn w:val="Normal"/>
    <w:next w:val="Normal"/>
    <w:link w:val="7"/>
    <w:uiPriority w:val="9"/>
    <w:qFormat/>
    <w:pPr>
      <w:keepNext w:val="true"/>
      <w:spacing w:lineRule="auto" w:line="240"/>
      <w:ind w:hanging="0"/>
      <w:jc w:val="center"/>
      <w:outlineLvl w:val="6"/>
    </w:pPr>
    <w:rPr>
      <w:b/>
      <w:caps/>
      <w:sz w:val="28"/>
    </w:rPr>
  </w:style>
  <w:style w:type="paragraph" w:styleId="Heading8">
    <w:name w:val="heading 8"/>
    <w:basedOn w:val="Normal"/>
    <w:next w:val="Normal"/>
    <w:link w:val="8"/>
    <w:uiPriority w:val="9"/>
    <w:qFormat/>
    <w:pPr>
      <w:keepNext w:val="true"/>
      <w:spacing w:lineRule="auto" w:line="240"/>
      <w:ind w:hanging="0"/>
      <w:jc w:val="center"/>
      <w:outlineLvl w:val="7"/>
    </w:pPr>
    <w:rPr>
      <w:i/>
    </w:rPr>
  </w:style>
  <w:style w:type="paragraph" w:styleId="Heading9">
    <w:name w:val="heading 9"/>
    <w:basedOn w:val="Normal"/>
    <w:next w:val="Normal"/>
    <w:link w:val="91"/>
    <w:uiPriority w:val="9"/>
    <w:semiHidden/>
    <w:unhideWhenUsed/>
    <w:qFormat/>
    <w:pPr>
      <w:keepNext w:val="true"/>
      <w:keepLines/>
      <w:spacing w:lineRule="auto" w:line="276" w:before="40" w:after="80"/>
      <w:ind w:hanging="1584" w:start="1584"/>
      <w:contextualSpacing/>
      <w:outlineLvl w:val="8"/>
    </w:pPr>
    <w:rPr>
      <w:rFonts w:ascii="Cambria" w:hAnsi="Cambria" w:eastAsia="Arial" w:cs="Arial" w:asciiTheme="majorHAnsi" w:cstheme="majorBidi" w:eastAsiaTheme="majorEastAsia" w:hAnsiTheme="majorHAnsi"/>
      <w:i/>
      <w:iCs/>
      <w:color w:themeColor="text1" w:themeTint="d8" w:val="272727"/>
      <w:sz w:val="21"/>
      <w:szCs w:val="21"/>
      <w:lang w:eastAsia="en-US"/>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Pr>
      <w:rFonts w:ascii="Arial" w:hAnsi="Arial" w:eastAsia="Arial" w:cs="Arial"/>
      <w:color w:themeColor="accent1" w:themeShade="bf" w:val="365F91"/>
      <w:sz w:val="40"/>
      <w:szCs w:val="40"/>
    </w:rPr>
  </w:style>
  <w:style w:type="character" w:styleId="Heading2Char" w:customStyle="1">
    <w:name w:val="Heading 2 Char"/>
    <w:basedOn w:val="DefaultParagraphFont"/>
    <w:uiPriority w:val="9"/>
    <w:qFormat/>
    <w:rPr>
      <w:rFonts w:ascii="Arial" w:hAnsi="Arial" w:eastAsia="Arial" w:cs="Arial"/>
      <w:color w:themeColor="accent1" w:themeShade="bf" w:val="365F91"/>
      <w:sz w:val="32"/>
      <w:szCs w:val="32"/>
    </w:rPr>
  </w:style>
  <w:style w:type="character" w:styleId="Heading3Char" w:customStyle="1">
    <w:name w:val="Heading 3 Char"/>
    <w:basedOn w:val="DefaultParagraphFont"/>
    <w:uiPriority w:val="9"/>
    <w:qFormat/>
    <w:rPr>
      <w:rFonts w:ascii="Arial" w:hAnsi="Arial" w:eastAsia="Arial" w:cs="Arial"/>
      <w:color w:themeColor="accent1" w:themeShade="bf" w:val="365F91"/>
      <w:sz w:val="28"/>
      <w:szCs w:val="28"/>
    </w:rPr>
  </w:style>
  <w:style w:type="character" w:styleId="Heading4Char" w:customStyle="1">
    <w:name w:val="Heading 4 Char"/>
    <w:basedOn w:val="DefaultParagraphFont"/>
    <w:uiPriority w:val="9"/>
    <w:qFormat/>
    <w:rPr>
      <w:rFonts w:ascii="Arial" w:hAnsi="Arial" w:eastAsia="Arial" w:cs="Arial"/>
      <w:i/>
      <w:iCs/>
      <w:color w:themeColor="accent1" w:themeShade="bf" w:val="365F91"/>
    </w:rPr>
  </w:style>
  <w:style w:type="character" w:styleId="Heading5Char" w:customStyle="1">
    <w:name w:val="Heading 5 Char"/>
    <w:basedOn w:val="DefaultParagraphFont"/>
    <w:uiPriority w:val="9"/>
    <w:qFormat/>
    <w:rPr>
      <w:rFonts w:ascii="Arial" w:hAnsi="Arial" w:eastAsia="Arial" w:cs="Arial"/>
      <w:color w:themeColor="accent1" w:themeShade="bf" w:val="365F91"/>
    </w:rPr>
  </w:style>
  <w:style w:type="character" w:styleId="Heading6Char" w:customStyle="1">
    <w:name w:val="Heading 6 Char"/>
    <w:basedOn w:val="DefaultParagraphFont"/>
    <w:uiPriority w:val="9"/>
    <w:qFormat/>
    <w:rPr>
      <w:rFonts w:ascii="Arial" w:hAnsi="Arial" w:eastAsia="Arial" w:cs="Arial"/>
      <w:i/>
      <w:iCs/>
      <w:color w:themeColor="text1" w:themeTint="a6" w:val="595959"/>
    </w:rPr>
  </w:style>
  <w:style w:type="character" w:styleId="Heading7Char" w:customStyle="1">
    <w:name w:val="Heading 7 Char"/>
    <w:basedOn w:val="DefaultParagraphFont"/>
    <w:uiPriority w:val="9"/>
    <w:qFormat/>
    <w:rPr>
      <w:rFonts w:ascii="Arial" w:hAnsi="Arial" w:eastAsia="Arial" w:cs="Arial"/>
      <w:color w:themeColor="text1" w:themeTint="a6" w:val="595959"/>
    </w:rPr>
  </w:style>
  <w:style w:type="character" w:styleId="Heading8Char" w:customStyle="1">
    <w:name w:val="Heading 8 Char"/>
    <w:basedOn w:val="DefaultParagraphFont"/>
    <w:uiPriority w:val="9"/>
    <w:qFormat/>
    <w:rPr>
      <w:rFonts w:ascii="Arial" w:hAnsi="Arial" w:eastAsia="Arial" w:cs="Arial"/>
      <w:i/>
      <w:iCs/>
      <w:color w:themeColor="text1" w:themeTint="d8" w:val="272727"/>
    </w:rPr>
  </w:style>
  <w:style w:type="character" w:styleId="Heading9Char" w:customStyle="1">
    <w:name w:val="Heading 9 Char"/>
    <w:basedOn w:val="DefaultParagraphFont"/>
    <w:uiPriority w:val="9"/>
    <w:qFormat/>
    <w:rPr>
      <w:rFonts w:ascii="Arial" w:hAnsi="Arial" w:eastAsia="Arial" w:cs="Arial"/>
      <w:i/>
      <w:iCs/>
      <w:color w:themeColor="text1" w:themeTint="d8" w:val="272727"/>
    </w:rPr>
  </w:style>
  <w:style w:type="character" w:styleId="TitleChar" w:customStyle="1">
    <w:name w:val="Title Char"/>
    <w:basedOn w:val="DefaultParagraphFont"/>
    <w:uiPriority w:val="10"/>
    <w:qFormat/>
    <w:rPr>
      <w:rFonts w:ascii="Arial" w:hAnsi="Arial" w:eastAsia="Arial" w:cs="Arial"/>
      <w:spacing w:val="-10"/>
      <w:sz w:val="56"/>
      <w:szCs w:val="56"/>
    </w:rPr>
  </w:style>
  <w:style w:type="character" w:styleId="SubtitleChar" w:customStyle="1">
    <w:name w:val="Subtitle Char"/>
    <w:basedOn w:val="DefaultParagraphFont"/>
    <w:uiPriority w:val="11"/>
    <w:qFormat/>
    <w:rPr>
      <w:color w:themeColor="text1" w:themeTint="a6" w:val="595959"/>
      <w:spacing w:val="15"/>
      <w:sz w:val="28"/>
      <w:szCs w:val="28"/>
    </w:rPr>
  </w:style>
  <w:style w:type="character" w:styleId="2" w:customStyle="1">
    <w:name w:val="Цитата 2 Знак"/>
    <w:basedOn w:val="DefaultParagraphFont"/>
    <w:link w:val="Quote"/>
    <w:uiPriority w:val="29"/>
    <w:qFormat/>
    <w:rPr>
      <w:i/>
      <w:iCs/>
      <w:color w:themeColor="text1" w:themeTint="bf" w:val="404040"/>
    </w:rPr>
  </w:style>
  <w:style w:type="character" w:styleId="IntenseEmphasis">
    <w:name w:val="Intense Emphasis"/>
    <w:basedOn w:val="DefaultParagraphFont"/>
    <w:uiPriority w:val="21"/>
    <w:qFormat/>
    <w:rPr>
      <w:i/>
      <w:iCs/>
      <w:color w:themeColor="accent1" w:themeShade="bf" w:val="365F91"/>
    </w:rPr>
  </w:style>
  <w:style w:type="character" w:styleId="Style5" w:customStyle="1">
    <w:name w:val="Выделенная цитата Знак"/>
    <w:basedOn w:val="DefaultParagraphFont"/>
    <w:link w:val="IntenseQuote"/>
    <w:uiPriority w:val="30"/>
    <w:qFormat/>
    <w:rPr>
      <w:i/>
      <w:iCs/>
      <w:color w:themeColor="accent1" w:themeShade="bf" w:val="365F91"/>
    </w:rPr>
  </w:style>
  <w:style w:type="character" w:styleId="IntenseReference">
    <w:name w:val="Intense Reference"/>
    <w:basedOn w:val="DefaultParagraphFont"/>
    <w:uiPriority w:val="32"/>
    <w:qFormat/>
    <w:rPr>
      <w:b/>
      <w:bCs/>
      <w:smallCaps/>
      <w:color w:themeColor="accent1" w:themeShade="bf" w:val="365F91"/>
      <w:spacing w:val="5"/>
    </w:rPr>
  </w:style>
  <w:style w:type="character" w:styleId="SubtleEmphasis">
    <w:name w:val="Subtle Emphasis"/>
    <w:basedOn w:val="DefaultParagraphFont"/>
    <w:uiPriority w:val="19"/>
    <w:qFormat/>
    <w:rPr>
      <w:i/>
      <w:iCs/>
      <w:color w:themeColor="text1" w:themeTint="bf" w:val="404040"/>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Style6" w:customStyle="1">
    <w:name w:val="Текст сноски Знак"/>
    <w:basedOn w:val="DefaultParagraphFont"/>
    <w:uiPriority w:val="99"/>
    <w:semiHidden/>
    <w:qFormat/>
    <w:rPr>
      <w:sz w:val="20"/>
      <w:szCs w:val="20"/>
    </w:rPr>
  </w:style>
  <w:style w:type="character" w:styleId="Style7">
    <w:name w:val="Символ сноски"/>
    <w:uiPriority w:val="99"/>
    <w:semiHidden/>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8" w:customStyle="1">
    <w:name w:val="Текст концевой сноски Знак"/>
    <w:basedOn w:val="DefaultParagraphFont"/>
    <w:uiPriority w:val="99"/>
    <w:semiHidden/>
    <w:qFormat/>
    <w:rPr>
      <w:sz w:val="20"/>
      <w:szCs w:val="20"/>
    </w:rPr>
  </w:style>
  <w:style w:type="character" w:styleId="Style9">
    <w:name w:val="Символ концевой сноски"/>
    <w:uiPriority w:val="99"/>
    <w:semiHidden/>
    <w:unhideWhenUsed/>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FollowedHyperlink">
    <w:name w:val="FollowedHyperlink"/>
    <w:basedOn w:val="DefaultParagraphFont"/>
    <w:uiPriority w:val="99"/>
    <w:semiHidden/>
    <w:unhideWhenUsed/>
    <w:rPr>
      <w:color w:themeColor="followedHyperlink" w:val="800080"/>
      <w:u w:val="single"/>
    </w:rPr>
  </w:style>
  <w:style w:type="character" w:styleId="1" w:customStyle="1">
    <w:name w:val="Обычный1"/>
    <w:link w:val="128"/>
    <w:qFormat/>
    <w:rPr>
      <w:rFonts w:ascii="Times New Roman" w:hAnsi="Times New Roman"/>
      <w:sz w:val="24"/>
    </w:rPr>
  </w:style>
  <w:style w:type="character" w:styleId="11" w:customStyle="1">
    <w:name w:val="Знак сноски1"/>
    <w:basedOn w:val="18"/>
    <w:link w:val="115"/>
    <w:qFormat/>
    <w:rPr>
      <w:vertAlign w:val="superscript"/>
    </w:rPr>
  </w:style>
  <w:style w:type="character" w:styleId="Heading2NumberedT" w:customStyle="1">
    <w:name w:val="Heading 2 Numbered + T"/>
    <w:basedOn w:val="Heading1NumberedT"/>
    <w:link w:val="Heading2NumberedT1"/>
    <w:qFormat/>
    <w:rPr>
      <w:rFonts w:ascii="Times New Roman" w:hAnsi="Times New Roman"/>
      <w:b/>
      <w:sz w:val="24"/>
    </w:rPr>
  </w:style>
  <w:style w:type="character" w:styleId="Default" w:customStyle="1">
    <w:name w:val="Default"/>
    <w:link w:val="Default1"/>
    <w:qFormat/>
    <w:rPr>
      <w:sz w:val="24"/>
    </w:rPr>
  </w:style>
  <w:style w:type="character" w:styleId="21" w:customStyle="1">
    <w:name w:val="Оглавление 2 Знак"/>
    <w:basedOn w:val="1"/>
    <w:qFormat/>
    <w:rPr>
      <w:rFonts w:ascii="Times New Roman" w:hAnsi="Times New Roman"/>
      <w:sz w:val="24"/>
    </w:rPr>
  </w:style>
  <w:style w:type="character" w:styleId="4" w:customStyle="1">
    <w:name w:val="Оглавление 4 Знак"/>
    <w:basedOn w:val="1"/>
    <w:qFormat/>
    <w:rPr>
      <w:rFonts w:ascii="Times New Roman" w:hAnsi="Times New Roman"/>
      <w:sz w:val="24"/>
    </w:rPr>
  </w:style>
  <w:style w:type="character" w:styleId="7" w:customStyle="1">
    <w:name w:val="Заголовок 7 Знак"/>
    <w:basedOn w:val="1"/>
    <w:qFormat/>
    <w:rPr>
      <w:rFonts w:ascii="Times New Roman" w:hAnsi="Times New Roman"/>
      <w:b/>
      <w:caps/>
      <w:sz w:val="28"/>
    </w:rPr>
  </w:style>
  <w:style w:type="character" w:styleId="Style10" w:customStyle="1">
    <w:name w:val="Основной текст с отступом Знак"/>
    <w:basedOn w:val="1"/>
    <w:qFormat/>
    <w:rPr>
      <w:rFonts w:ascii="Times New Roman" w:hAnsi="Times New Roman"/>
      <w:sz w:val="24"/>
    </w:rPr>
  </w:style>
  <w:style w:type="character" w:styleId="1KGK9" w:customStyle="1">
    <w:name w:val="1KG=K9"/>
    <w:link w:val="1KGK91"/>
    <w:qFormat/>
    <w:rPr>
      <w:rFonts w:ascii="Arial" w:hAnsi="Arial"/>
      <w:sz w:val="24"/>
    </w:rPr>
  </w:style>
  <w:style w:type="character" w:styleId="6" w:customStyle="1">
    <w:name w:val="Оглавление 6 Знак"/>
    <w:basedOn w:val="1"/>
    <w:qFormat/>
    <w:rPr>
      <w:rFonts w:ascii="Times New Roman" w:hAnsi="Times New Roman"/>
      <w:sz w:val="24"/>
    </w:rPr>
  </w:style>
  <w:style w:type="character" w:styleId="12" w:customStyle="1">
    <w:name w:val="Нумерованный список ВПВ 1"/>
    <w:basedOn w:val="1"/>
    <w:link w:val="117"/>
    <w:qFormat/>
    <w:rPr>
      <w:rFonts w:ascii="Times New Roman" w:hAnsi="Times New Roman"/>
      <w:sz w:val="24"/>
    </w:rPr>
  </w:style>
  <w:style w:type="character" w:styleId="13" w:customStyle="1">
    <w:name w:val="Строгий1"/>
    <w:basedOn w:val="18"/>
    <w:link w:val="118"/>
    <w:qFormat/>
    <w:rPr>
      <w:b/>
    </w:rPr>
  </w:style>
  <w:style w:type="character" w:styleId="71" w:customStyle="1">
    <w:name w:val="Оглавление 7 Знак"/>
    <w:basedOn w:val="1"/>
    <w:qFormat/>
    <w:rPr>
      <w:rFonts w:ascii="Times New Roman" w:hAnsi="Times New Roman"/>
      <w:sz w:val="24"/>
    </w:rPr>
  </w:style>
  <w:style w:type="character" w:styleId="211" w:customStyle="1">
    <w:name w:val="Основной текст 21"/>
    <w:basedOn w:val="1"/>
    <w:link w:val="2111"/>
    <w:qFormat/>
    <w:rPr>
      <w:rFonts w:ascii="Arial" w:hAnsi="Arial"/>
      <w:sz w:val="24"/>
    </w:rPr>
  </w:style>
  <w:style w:type="character" w:styleId="NormalTNumbered" w:customStyle="1">
    <w:name w:val="Normal+T Numbered"/>
    <w:basedOn w:val="1"/>
    <w:link w:val="NormalTNumbered1"/>
    <w:qFormat/>
    <w:rPr>
      <w:rFonts w:ascii="Times New Roman" w:hAnsi="Times New Roman"/>
      <w:sz w:val="24"/>
    </w:rPr>
  </w:style>
  <w:style w:type="character" w:styleId="3" w:customStyle="1">
    <w:name w:val="Стиль3"/>
    <w:basedOn w:val="Style11"/>
    <w:link w:val="312"/>
    <w:qFormat/>
    <w:rPr>
      <w:rFonts w:ascii="Times New Roman" w:hAnsi="Times New Roman"/>
      <w:sz w:val="28"/>
    </w:rPr>
  </w:style>
  <w:style w:type="character" w:styleId="14" w:customStyle="1">
    <w:name w:val="Гиперссылка1"/>
    <w:basedOn w:val="18"/>
    <w:link w:val="119"/>
    <w:qFormat/>
    <w:rPr>
      <w:color w:val="0000FF"/>
      <w:u w:val="single"/>
    </w:rPr>
  </w:style>
  <w:style w:type="character" w:styleId="ConsPlusNormal" w:customStyle="1">
    <w:name w:val="ConsPlusNormal"/>
    <w:link w:val="ConsPlusNormal11"/>
    <w:qFormat/>
    <w:rPr>
      <w:rFonts w:ascii="Arial" w:hAnsi="Arial"/>
    </w:rPr>
  </w:style>
  <w:style w:type="character" w:styleId="15" w:customStyle="1">
    <w:name w:val="Номер страницы1"/>
    <w:basedOn w:val="18"/>
    <w:link w:val="1110"/>
    <w:qFormat/>
    <w:rPr/>
  </w:style>
  <w:style w:type="character" w:styleId="apple-converted-space" w:customStyle="1">
    <w:name w:val="apple-converted-space"/>
    <w:basedOn w:val="18"/>
    <w:link w:val="apple-converted-space1"/>
    <w:qFormat/>
    <w:rPr/>
  </w:style>
  <w:style w:type="character" w:styleId="Endnote" w:customStyle="1">
    <w:name w:val="Endnote"/>
    <w:basedOn w:val="1"/>
    <w:link w:val="Endnote1"/>
    <w:qFormat/>
    <w:rPr>
      <w:rFonts w:ascii="Times New Roman" w:hAnsi="Times New Roman"/>
      <w:sz w:val="20"/>
    </w:rPr>
  </w:style>
  <w:style w:type="character" w:styleId="31" w:customStyle="1">
    <w:name w:val="Заголовок 3 Знак"/>
    <w:basedOn w:val="1"/>
    <w:qFormat/>
    <w:rPr>
      <w:rFonts w:ascii="Times New Roman" w:hAnsi="Times New Roman"/>
      <w:sz w:val="24"/>
    </w:rPr>
  </w:style>
  <w:style w:type="character" w:styleId="List212pt006" w:customStyle="1">
    <w:name w:val="Стиль List 2 + 12 pt Слева:  0 см Первая строка:  0 см После:  6..."/>
    <w:basedOn w:val="212"/>
    <w:link w:val="List212pt0061"/>
    <w:qFormat/>
    <w:rPr>
      <w:rFonts w:ascii="Times New Roman" w:hAnsi="Times New Roman"/>
      <w:sz w:val="24"/>
    </w:rPr>
  </w:style>
  <w:style w:type="character" w:styleId="z2" w:customStyle="1">
    <w:name w:val="z2"/>
    <w:basedOn w:val="1"/>
    <w:link w:val="z21"/>
    <w:qFormat/>
    <w:rPr>
      <w:rFonts w:ascii="Times New Roman" w:hAnsi="Times New Roman"/>
      <w:color w:val="636363"/>
      <w:sz w:val="24"/>
    </w:rPr>
  </w:style>
  <w:style w:type="character" w:styleId="a12bg1" w:customStyle="1">
    <w:name w:val="a12bg1"/>
    <w:basedOn w:val="18"/>
    <w:link w:val="a12bg11"/>
    <w:qFormat/>
    <w:rPr>
      <w:rFonts w:ascii="Arial" w:hAnsi="Arial"/>
      <w:b/>
      <w:color w:val="666666"/>
      <w:sz w:val="18"/>
    </w:rPr>
  </w:style>
  <w:style w:type="character" w:styleId="BodyText21" w:customStyle="1">
    <w:name w:val="Body Text 21"/>
    <w:basedOn w:val="1"/>
    <w:link w:val="BodyText211"/>
    <w:qFormat/>
    <w:rPr>
      <w:rFonts w:ascii="Times New Roman" w:hAnsi="Times New Roman"/>
      <w:sz w:val="24"/>
    </w:rPr>
  </w:style>
  <w:style w:type="character" w:styleId="32" w:customStyle="1">
    <w:name w:val="Стиль Заголовок 3 + не полужирный"/>
    <w:basedOn w:val="31"/>
    <w:link w:val="313"/>
    <w:qFormat/>
    <w:rPr>
      <w:rFonts w:ascii="Times New Roman" w:hAnsi="Times New Roman"/>
      <w:b/>
      <w:sz w:val="24"/>
    </w:rPr>
  </w:style>
  <w:style w:type="character" w:styleId="Normal12125" w:customStyle="1">
    <w:name w:val="Стиль Normal + 12 пт Первая строка:  125 см Междустр.интервал:  ..."/>
    <w:basedOn w:val="1"/>
    <w:link w:val="Normal121251"/>
    <w:qFormat/>
    <w:rPr>
      <w:rFonts w:ascii="Times New Roman" w:hAnsi="Times New Roman"/>
      <w:sz w:val="24"/>
    </w:rPr>
  </w:style>
  <w:style w:type="character" w:styleId="22" w:customStyle="1">
    <w:name w:val="Стиль2"/>
    <w:basedOn w:val="5"/>
    <w:link w:val="213"/>
    <w:qFormat/>
    <w:rPr>
      <w:rFonts w:ascii="Times New Roman" w:hAnsi="Times New Roman"/>
      <w:sz w:val="24"/>
    </w:rPr>
  </w:style>
  <w:style w:type="character" w:styleId="Style11" w:customStyle="1">
    <w:name w:val="Абзац списка Знак"/>
    <w:basedOn w:val="1"/>
    <w:link w:val="ListParagraph"/>
    <w:qFormat/>
    <w:rPr>
      <w:rFonts w:ascii="Times New Roman" w:hAnsi="Times New Roman"/>
      <w:sz w:val="24"/>
    </w:rPr>
  </w:style>
  <w:style w:type="character" w:styleId="311" w:customStyle="1">
    <w:name w:val="Маркированный список 31"/>
    <w:basedOn w:val="1"/>
    <w:link w:val="3111"/>
    <w:qFormat/>
    <w:rPr>
      <w:rFonts w:ascii="Arial" w:hAnsi="Arial"/>
      <w:sz w:val="24"/>
    </w:rPr>
  </w:style>
  <w:style w:type="character" w:styleId="apple-style-span" w:customStyle="1">
    <w:name w:val="apple-style-span"/>
    <w:basedOn w:val="18"/>
    <w:link w:val="apple-style-span1"/>
    <w:qFormat/>
    <w:rPr/>
  </w:style>
  <w:style w:type="character" w:styleId="Headline2" w:customStyle="1">
    <w:name w:val="Headline 2"/>
    <w:basedOn w:val="1"/>
    <w:link w:val="Headline21"/>
    <w:qFormat/>
    <w:rPr>
      <w:rFonts w:ascii="Times New Roman" w:hAnsi="Times New Roman"/>
      <w:sz w:val="24"/>
    </w:rPr>
  </w:style>
  <w:style w:type="character" w:styleId="16" w:customStyle="1">
    <w:name w:val="Стиль1"/>
    <w:basedOn w:val="212"/>
    <w:link w:val="1111"/>
    <w:qFormat/>
    <w:rPr>
      <w:rFonts w:ascii="Times New Roman" w:hAnsi="Times New Roman"/>
      <w:b/>
      <w:sz w:val="24"/>
    </w:rPr>
  </w:style>
  <w:style w:type="character" w:styleId="Style12" w:customStyle="1">
    <w:name w:val="Список маркированный"/>
    <w:basedOn w:val="1"/>
    <w:link w:val="120"/>
    <w:qFormat/>
    <w:rPr>
      <w:rFonts w:ascii="Times New Roman" w:hAnsi="Times New Roman"/>
      <w:sz w:val="24"/>
    </w:rPr>
  </w:style>
  <w:style w:type="character" w:styleId="Style13" w:customStyle="1">
    <w:name w:val="Тема примечания Знак"/>
    <w:basedOn w:val="Style17"/>
    <w:link w:val="annotationsubject"/>
    <w:qFormat/>
    <w:rPr>
      <w:rFonts w:ascii="Times New Roman" w:hAnsi="Times New Roman"/>
      <w:b/>
      <w:sz w:val="24"/>
    </w:rPr>
  </w:style>
  <w:style w:type="character" w:styleId="33" w:customStyle="1">
    <w:name w:val="Оглавление 3 Знак"/>
    <w:basedOn w:val="1"/>
    <w:qFormat/>
    <w:rPr>
      <w:rFonts w:ascii="Times New Roman" w:hAnsi="Times New Roman"/>
      <w:sz w:val="24"/>
    </w:rPr>
  </w:style>
  <w:style w:type="character" w:styleId="Style14" w:customStyle="1">
    <w:name w:val="Нижний колонтитул Знак"/>
    <w:basedOn w:val="1"/>
    <w:qFormat/>
    <w:rPr>
      <w:rFonts w:ascii="Times New Roman" w:hAnsi="Times New Roman"/>
      <w:sz w:val="24"/>
    </w:rPr>
  </w:style>
  <w:style w:type="character" w:styleId="23" w:customStyle="1">
    <w:name w:val="Гиперссылка2"/>
    <w:link w:val="214"/>
    <w:qFormat/>
    <w:rPr>
      <w:color w:val="0000FF"/>
      <w:u w:val="single"/>
    </w:rPr>
  </w:style>
  <w:style w:type="character" w:styleId="17" w:customStyle="1">
    <w:name w:val="Просмотренная гиперссылка1"/>
    <w:basedOn w:val="18"/>
    <w:link w:val="1112"/>
    <w:qFormat/>
    <w:rPr>
      <w:color w:themeColor="followedHyperlink" w:val="800080"/>
      <w:u w:val="single"/>
    </w:rPr>
  </w:style>
  <w:style w:type="character" w:styleId="Style15" w:customStyle="1">
    <w:name w:val="Обычный + По центру"/>
    <w:basedOn w:val="1"/>
    <w:link w:val="121"/>
    <w:qFormat/>
    <w:rPr>
      <w:rFonts w:ascii="Times New Roman" w:hAnsi="Times New Roman"/>
      <w:sz w:val="24"/>
    </w:rPr>
  </w:style>
  <w:style w:type="character" w:styleId="18" w:customStyle="1">
    <w:name w:val="Основной шрифт абзаца1"/>
    <w:link w:val="116"/>
    <w:qFormat/>
    <w:rPr/>
  </w:style>
  <w:style w:type="character" w:styleId="Style16" w:customStyle="1">
    <w:name w:val="Обычный_ТЗ"/>
    <w:basedOn w:val="Style10"/>
    <w:link w:val="122"/>
    <w:qFormat/>
    <w:rPr>
      <w:rFonts w:ascii="Times New Roman" w:hAnsi="Times New Roman"/>
      <w:sz w:val="24"/>
    </w:rPr>
  </w:style>
  <w:style w:type="character" w:styleId="Style17" w:customStyle="1">
    <w:name w:val="Текст примечания Знак"/>
    <w:basedOn w:val="1"/>
    <w:qFormat/>
    <w:rPr>
      <w:rFonts w:ascii="Times New Roman" w:hAnsi="Times New Roman"/>
      <w:sz w:val="24"/>
    </w:rPr>
  </w:style>
  <w:style w:type="character" w:styleId="5" w:customStyle="1">
    <w:name w:val="Заголовок 5 Знак"/>
    <w:basedOn w:val="1"/>
    <w:qFormat/>
    <w:rPr>
      <w:rFonts w:ascii="Times New Roman" w:hAnsi="Times New Roman"/>
      <w:sz w:val="24"/>
    </w:rPr>
  </w:style>
  <w:style w:type="character" w:styleId="19" w:customStyle="1">
    <w:name w:val="Знак примечания1"/>
    <w:basedOn w:val="18"/>
    <w:link w:val="1113"/>
    <w:qFormat/>
    <w:rPr>
      <w:sz w:val="16"/>
    </w:rPr>
  </w:style>
  <w:style w:type="character" w:styleId="Style18" w:customStyle="1">
    <w:name w:val="Верхний колонтитул Знак"/>
    <w:basedOn w:val="1"/>
    <w:qFormat/>
    <w:rPr>
      <w:rFonts w:ascii="Times New Roman" w:hAnsi="Times New Roman"/>
      <w:sz w:val="24"/>
    </w:rPr>
  </w:style>
  <w:style w:type="character" w:styleId="Style19" w:customStyle="1">
    <w:name w:val="Без интервала Знак"/>
    <w:link w:val="NoSpacing"/>
    <w:uiPriority w:val="1"/>
    <w:qFormat/>
    <w:rPr>
      <w:rFonts w:ascii="Times New Roman" w:hAnsi="Times New Roman"/>
      <w:sz w:val="24"/>
    </w:rPr>
  </w:style>
  <w:style w:type="character" w:styleId="110" w:customStyle="1">
    <w:name w:val="Заголовок 1 Знак"/>
    <w:basedOn w:val="1"/>
    <w:qFormat/>
    <w:rPr>
      <w:rFonts w:ascii="Times New Roman" w:hAnsi="Times New Roman"/>
      <w:b/>
      <w:sz w:val="24"/>
    </w:rPr>
  </w:style>
  <w:style w:type="character" w:styleId="Style20" w:customStyle="1">
    <w:name w:val="Отступ ТЗ"/>
    <w:basedOn w:val="1"/>
    <w:link w:val="123"/>
    <w:qFormat/>
    <w:rPr>
      <w:rFonts w:ascii="Times New Roman" w:hAnsi="Times New Roman"/>
      <w:sz w:val="24"/>
    </w:rPr>
  </w:style>
  <w:style w:type="character" w:styleId="212" w:customStyle="1">
    <w:name w:val="Список 21"/>
    <w:basedOn w:val="1"/>
    <w:link w:val="2112"/>
    <w:qFormat/>
    <w:rPr>
      <w:rFonts w:ascii="Times New Roman" w:hAnsi="Times New Roman"/>
      <w:sz w:val="22"/>
    </w:rPr>
  </w:style>
  <w:style w:type="character" w:styleId="Hyperlink">
    <w:name w:val="Hyperlink"/>
    <w:link w:val="36"/>
    <w:uiPriority w:val="99"/>
    <w:rPr>
      <w:color w:val="0000FF"/>
      <w:u w:val="single"/>
    </w:rPr>
  </w:style>
  <w:style w:type="character" w:styleId="Footnote" w:customStyle="1">
    <w:name w:val="Footnote"/>
    <w:basedOn w:val="1"/>
    <w:link w:val="Footnote1"/>
    <w:qFormat/>
    <w:rPr>
      <w:rFonts w:ascii="Times New Roman" w:hAnsi="Times New Roman"/>
      <w:sz w:val="24"/>
    </w:rPr>
  </w:style>
  <w:style w:type="character" w:styleId="8" w:customStyle="1">
    <w:name w:val="Заголовок 8 Знак"/>
    <w:basedOn w:val="1"/>
    <w:qFormat/>
    <w:rPr>
      <w:rFonts w:ascii="Times New Roman" w:hAnsi="Times New Roman"/>
      <w:i/>
      <w:sz w:val="24"/>
    </w:rPr>
  </w:style>
  <w:style w:type="character" w:styleId="111" w:customStyle="1">
    <w:name w:val="Оглавление 1 Знак"/>
    <w:basedOn w:val="1"/>
    <w:qFormat/>
    <w:rPr>
      <w:rFonts w:ascii="Times New Roman" w:hAnsi="Times New Roman"/>
      <w:sz w:val="24"/>
    </w:rPr>
  </w:style>
  <w:style w:type="character" w:styleId="HeaderandFooter" w:customStyle="1">
    <w:name w:val="Header and Footer"/>
    <w:qFormat/>
    <w:rPr>
      <w:rFonts w:ascii="XO Thames" w:hAnsi="XO Thames"/>
      <w:sz w:val="28"/>
    </w:rPr>
  </w:style>
  <w:style w:type="character" w:styleId="StGen1" w:customStyle="1">
    <w:name w:val="StGen1"/>
    <w:link w:val="StGen0"/>
    <w:semiHidden/>
    <w:unhideWhenUsed/>
    <w:qFormat/>
    <w:rPr>
      <w:rFonts w:ascii="Times New Roman" w:hAnsi="Times New Roman"/>
      <w:sz w:val="24"/>
    </w:rPr>
  </w:style>
  <w:style w:type="character" w:styleId="Style21" w:customStyle="1">
    <w:name w:val="Схема документа Знак"/>
    <w:basedOn w:val="1"/>
    <w:link w:val="DocumentMap"/>
    <w:qFormat/>
    <w:rPr>
      <w:rFonts w:ascii="Tahoma" w:hAnsi="Tahoma"/>
      <w:sz w:val="16"/>
    </w:rPr>
  </w:style>
  <w:style w:type="character" w:styleId="Style22" w:customStyle="1">
    <w:name w:val="Текст выноски Знак"/>
    <w:basedOn w:val="1"/>
    <w:link w:val="BalloonText"/>
    <w:qFormat/>
    <w:rPr>
      <w:rFonts w:ascii="Tahoma" w:hAnsi="Tahoma"/>
      <w:sz w:val="16"/>
    </w:rPr>
  </w:style>
  <w:style w:type="character" w:styleId="9" w:customStyle="1">
    <w:name w:val="Оглавление 9 Знак"/>
    <w:basedOn w:val="1"/>
    <w:qFormat/>
    <w:rPr>
      <w:rFonts w:ascii="Times New Roman" w:hAnsi="Times New Roman"/>
      <w:sz w:val="24"/>
    </w:rPr>
  </w:style>
  <w:style w:type="character" w:styleId="Style23" w:customStyle="1">
    <w:name w:val="Текст документа"/>
    <w:basedOn w:val="1"/>
    <w:link w:val="124"/>
    <w:qFormat/>
    <w:rPr>
      <w:rFonts w:ascii="GOST" w:hAnsi="GOST"/>
      <w:sz w:val="24"/>
    </w:rPr>
  </w:style>
  <w:style w:type="character" w:styleId="Style24" w:customStyle="1">
    <w:name w:val="Перечисление"/>
    <w:basedOn w:val="1"/>
    <w:link w:val="125"/>
    <w:qFormat/>
    <w:rPr>
      <w:rFonts w:ascii="Times New Roman" w:hAnsi="Times New Roman"/>
      <w:sz w:val="24"/>
    </w:rPr>
  </w:style>
  <w:style w:type="character" w:styleId="Style25" w:customStyle="1">
    <w:name w:val="Отступ_"/>
    <w:basedOn w:val="Style11"/>
    <w:link w:val="126"/>
    <w:qFormat/>
    <w:rPr>
      <w:rFonts w:ascii="Times New Roman" w:hAnsi="Times New Roman"/>
      <w:sz w:val="24"/>
    </w:rPr>
  </w:style>
  <w:style w:type="character" w:styleId="Style26" w:customStyle="1">
    <w:name w:val="Нумерованный"/>
    <w:basedOn w:val="1"/>
    <w:link w:val="127"/>
    <w:qFormat/>
    <w:rPr>
      <w:rFonts w:ascii="GOST" w:hAnsi="GOST"/>
      <w:sz w:val="24"/>
    </w:rPr>
  </w:style>
  <w:style w:type="character" w:styleId="112" w:customStyle="1">
    <w:name w:val="Обычный11"/>
    <w:link w:val="1114"/>
    <w:qFormat/>
    <w:rPr>
      <w:rFonts w:ascii="Times New Roman" w:hAnsi="Times New Roman"/>
    </w:rPr>
  </w:style>
  <w:style w:type="character" w:styleId="81" w:customStyle="1">
    <w:name w:val="Оглавление 8 Знак"/>
    <w:basedOn w:val="1"/>
    <w:qFormat/>
    <w:rPr>
      <w:rFonts w:ascii="Times New Roman" w:hAnsi="Times New Roman"/>
      <w:sz w:val="24"/>
    </w:rPr>
  </w:style>
  <w:style w:type="character" w:styleId="24" w:customStyle="1">
    <w:name w:val="Основной шрифт абзаца2"/>
    <w:link w:val="215"/>
    <w:qFormat/>
    <w:rPr/>
  </w:style>
  <w:style w:type="character" w:styleId="Style27" w:customStyle="1">
    <w:name w:val="Текст Знак"/>
    <w:basedOn w:val="112"/>
    <w:link w:val="PlainText"/>
    <w:qFormat/>
    <w:rPr>
      <w:rFonts w:ascii="Courier New" w:hAnsi="Courier New"/>
    </w:rPr>
  </w:style>
  <w:style w:type="character" w:styleId="113" w:customStyle="1">
    <w:name w:val="Знак концевой сноски1"/>
    <w:basedOn w:val="18"/>
    <w:link w:val="1115"/>
    <w:qFormat/>
    <w:rPr>
      <w:vertAlign w:val="superscript"/>
    </w:rPr>
  </w:style>
  <w:style w:type="character" w:styleId="v10c1" w:customStyle="1">
    <w:name w:val="v10c1"/>
    <w:basedOn w:val="18"/>
    <w:link w:val="v10c11"/>
    <w:qFormat/>
    <w:rPr>
      <w:rFonts w:ascii="Arial" w:hAnsi="Arial"/>
      <w:color w:val="666666"/>
      <w:sz w:val="18"/>
    </w:rPr>
  </w:style>
  <w:style w:type="character" w:styleId="34" w:customStyle="1">
    <w:name w:val="Основной текст с отступом 3 Знак"/>
    <w:basedOn w:val="1"/>
    <w:link w:val="BodyTextIndent3"/>
    <w:qFormat/>
    <w:rPr>
      <w:rFonts w:ascii="Times New Roman" w:hAnsi="Times New Roman"/>
      <w:sz w:val="16"/>
    </w:rPr>
  </w:style>
  <w:style w:type="character" w:styleId="content1" w:customStyle="1">
    <w:name w:val="content1"/>
    <w:basedOn w:val="18"/>
    <w:link w:val="content11"/>
    <w:qFormat/>
    <w:rPr>
      <w:rFonts w:ascii="Verdana" w:hAnsi="Verdana"/>
      <w:sz w:val="22"/>
    </w:rPr>
  </w:style>
  <w:style w:type="character" w:styleId="Style28" w:customStyle="1">
    <w:name w:val="Основной текст Знак"/>
    <w:basedOn w:val="1"/>
    <w:qFormat/>
    <w:rPr>
      <w:rFonts w:ascii="Times New Roman" w:hAnsi="Times New Roman"/>
      <w:sz w:val="24"/>
    </w:rPr>
  </w:style>
  <w:style w:type="character" w:styleId="51" w:customStyle="1">
    <w:name w:val="Оглавление 5 Знак"/>
    <w:basedOn w:val="1"/>
    <w:qFormat/>
    <w:rPr>
      <w:rFonts w:ascii="Times New Roman" w:hAnsi="Times New Roman"/>
      <w:sz w:val="24"/>
    </w:rPr>
  </w:style>
  <w:style w:type="character" w:styleId="Style29" w:customStyle="1">
    <w:name w:val="Маркированный список Знак"/>
    <w:basedOn w:val="1"/>
    <w:qFormat/>
    <w:rPr>
      <w:rFonts w:ascii="Times New Roman" w:hAnsi="Times New Roman"/>
      <w:sz w:val="24"/>
    </w:rPr>
  </w:style>
  <w:style w:type="character" w:styleId="41" w:customStyle="1">
    <w:name w:val="Стиль4"/>
    <w:basedOn w:val="1"/>
    <w:link w:val="411"/>
    <w:qFormat/>
    <w:rPr>
      <w:rFonts w:ascii="Times New Roman" w:hAnsi="Times New Roman"/>
      <w:sz w:val="28"/>
    </w:rPr>
  </w:style>
  <w:style w:type="character" w:styleId="114" w:customStyle="1">
    <w:name w:val="Замещающий текст1"/>
    <w:basedOn w:val="18"/>
    <w:link w:val="1116"/>
    <w:qFormat/>
    <w:rPr>
      <w:color w:val="808080"/>
    </w:rPr>
  </w:style>
  <w:style w:type="character" w:styleId="25" w:customStyle="1">
    <w:name w:val="Основной текст с отступом 2 Знак"/>
    <w:basedOn w:val="1"/>
    <w:link w:val="BodyTextIndent2"/>
    <w:qFormat/>
    <w:rPr>
      <w:rFonts w:ascii="Times New Roman" w:hAnsi="Times New Roman"/>
      <w:sz w:val="24"/>
    </w:rPr>
  </w:style>
  <w:style w:type="character" w:styleId="Style30" w:customStyle="1">
    <w:name w:val="Обычный (Интернет) Знак"/>
    <w:basedOn w:val="1"/>
    <w:link w:val="NormalWeb"/>
    <w:qFormat/>
    <w:rPr>
      <w:rFonts w:ascii="Times New Roman" w:hAnsi="Times New Roman"/>
      <w:sz w:val="24"/>
    </w:rPr>
  </w:style>
  <w:style w:type="character" w:styleId="Style31" w:customStyle="1">
    <w:name w:val="Подзаголовок Знак"/>
    <w:qFormat/>
    <w:rPr>
      <w:rFonts w:ascii="XO Thames" w:hAnsi="XO Thames"/>
      <w:i/>
      <w:sz w:val="24"/>
    </w:rPr>
  </w:style>
  <w:style w:type="character" w:styleId="ListT" w:customStyle="1">
    <w:name w:val="List+T"/>
    <w:basedOn w:val="1"/>
    <w:link w:val="ListT1"/>
    <w:qFormat/>
    <w:rPr>
      <w:rFonts w:ascii="Times New Roman" w:hAnsi="Times New Roman"/>
      <w:sz w:val="24"/>
    </w:rPr>
  </w:style>
  <w:style w:type="character" w:styleId="Style32" w:customStyle="1">
    <w:name w:val="Заголовок Знак"/>
    <w:basedOn w:val="1"/>
    <w:uiPriority w:val="99"/>
    <w:qFormat/>
    <w:rPr>
      <w:rFonts w:ascii="Times New Roman" w:hAnsi="Times New Roman"/>
      <w:b/>
      <w:sz w:val="32"/>
    </w:rPr>
  </w:style>
  <w:style w:type="character" w:styleId="42" w:customStyle="1">
    <w:name w:val="Заголовок 4 Знак"/>
    <w:basedOn w:val="1"/>
    <w:qFormat/>
    <w:rPr>
      <w:rFonts w:ascii="Times New Roman" w:hAnsi="Times New Roman"/>
      <w:sz w:val="24"/>
    </w:rPr>
  </w:style>
  <w:style w:type="character" w:styleId="Style33" w:customStyle="1">
    <w:name w:val="Приложение"/>
    <w:basedOn w:val="1"/>
    <w:qFormat/>
    <w:rPr>
      <w:rFonts w:ascii="Times New Roman" w:hAnsi="Times New Roman"/>
      <w:sz w:val="24"/>
    </w:rPr>
  </w:style>
  <w:style w:type="character" w:styleId="26" w:customStyle="1">
    <w:name w:val="Заголовок 2 Знак"/>
    <w:basedOn w:val="1"/>
    <w:uiPriority w:val="9"/>
    <w:qFormat/>
    <w:rPr>
      <w:rFonts w:ascii="Times New Roman" w:hAnsi="Times New Roman"/>
      <w:i/>
      <w:sz w:val="24"/>
    </w:rPr>
  </w:style>
  <w:style w:type="character" w:styleId="mw-headline" w:customStyle="1">
    <w:name w:val="mw-headline"/>
    <w:basedOn w:val="18"/>
    <w:link w:val="mw-headline1"/>
    <w:qFormat/>
    <w:rPr/>
  </w:style>
  <w:style w:type="character" w:styleId="Style34" w:customStyle="1">
    <w:name w:val="Название объекта Знак"/>
    <w:basedOn w:val="1"/>
    <w:uiPriority w:val="35"/>
    <w:qFormat/>
    <w:rPr>
      <w:rFonts w:ascii="Times New Roman" w:hAnsi="Times New Roman"/>
      <w:i/>
      <w:sz w:val="24"/>
    </w:rPr>
  </w:style>
  <w:style w:type="character" w:styleId="Style35" w:customStyle="1">
    <w:name w:val="Заголовок оглавления Знак"/>
    <w:basedOn w:val="110"/>
    <w:qFormat/>
    <w:rPr>
      <w:rFonts w:ascii="Cambria" w:hAnsi="Cambria" w:asciiTheme="majorHAnsi" w:hAnsiTheme="majorHAnsi"/>
      <w:b/>
      <w:color w:themeColor="accent1" w:themeShade="bf" w:val="365F91"/>
      <w:sz w:val="28"/>
    </w:rPr>
  </w:style>
  <w:style w:type="character" w:styleId="61" w:customStyle="1">
    <w:name w:val="Заголовок 6 Знак"/>
    <w:basedOn w:val="1"/>
    <w:qFormat/>
    <w:rPr>
      <w:rFonts w:ascii="Times New Roman" w:hAnsi="Times New Roman"/>
      <w:b/>
      <w:caps/>
      <w:sz w:val="28"/>
    </w:rPr>
  </w:style>
  <w:style w:type="character" w:styleId="Heading1NumberedT" w:customStyle="1">
    <w:name w:val="Heading 1 Numbered + T"/>
    <w:basedOn w:val="1"/>
    <w:link w:val="Heading1NumberedT1"/>
    <w:qFormat/>
    <w:rPr>
      <w:rFonts w:ascii="Times New Roman" w:hAnsi="Times New Roman"/>
      <w:b/>
      <w:sz w:val="28"/>
    </w:rPr>
  </w:style>
  <w:style w:type="character" w:styleId="35" w:customStyle="1">
    <w:name w:val="Стиль3 Знак"/>
    <w:basedOn w:val="Style11"/>
    <w:qFormat/>
    <w:rPr>
      <w:rFonts w:ascii="Times New Roman" w:hAnsi="Times New Roman" w:eastAsia="Times New Roman"/>
      <w:sz w:val="28"/>
      <w:szCs w:val="20"/>
    </w:rPr>
  </w:style>
  <w:style w:type="character" w:styleId="CommentReference">
    <w:name w:val="annotation reference"/>
    <w:basedOn w:val="DefaultParagraphFont"/>
    <w:uiPriority w:val="99"/>
    <w:semiHidden/>
    <w:unhideWhenUsed/>
    <w:qFormat/>
    <w:rPr>
      <w:sz w:val="16"/>
      <w:szCs w:val="16"/>
    </w:rPr>
  </w:style>
  <w:style w:type="character" w:styleId="Style36" w:customStyle="1">
    <w:name w:val="Обложка (курсив) Знак"/>
    <w:basedOn w:val="DefaultParagraphFont"/>
    <w:link w:val="Style45"/>
    <w:qFormat/>
    <w:rPr>
      <w:rFonts w:ascii="Montserrat SemiBold" w:hAnsi="Montserrat SemiBold" w:eastAsia="Calibri" w:cs="Cambria" w:cstheme="majorHAnsi" w:eastAsiaTheme="minorHAnsi"/>
      <w:color w:val="auto"/>
      <w:sz w:val="56"/>
      <w:szCs w:val="56"/>
      <w:lang w:eastAsia="en-US"/>
    </w:rPr>
  </w:style>
  <w:style w:type="character" w:styleId="Style37" w:customStyle="1">
    <w:name w:val="Обложка (отчетный период) Знак"/>
    <w:basedOn w:val="DefaultParagraphFont"/>
    <w:link w:val="Style46"/>
    <w:qFormat/>
    <w:rPr>
      <w:rFonts w:ascii="Montserrat" w:hAnsi="Montserrat" w:eastAsia="Calibri" w:cs="Cambria" w:cstheme="majorHAnsi" w:eastAsiaTheme="minorHAnsi"/>
      <w:color w:val="auto"/>
      <w:sz w:val="22"/>
      <w:szCs w:val="22"/>
      <w:lang w:eastAsia="en-US"/>
    </w:rPr>
  </w:style>
  <w:style w:type="character" w:styleId="Style38" w:customStyle="1">
    <w:name w:val="Контракт Знак"/>
    <w:basedOn w:val="DefaultParagraphFont"/>
    <w:link w:val="Style47"/>
    <w:qFormat/>
    <w:rPr>
      <w:rFonts w:ascii="Montserrat" w:hAnsi="Montserrat" w:eastAsia="Calibri" w:cs="Cambria" w:cstheme="majorHAnsi" w:eastAsiaTheme="minorHAnsi"/>
      <w:color w:val="auto"/>
      <w:sz w:val="22"/>
      <w:szCs w:val="22"/>
      <w:lang w:eastAsia="en-US"/>
    </w:rPr>
  </w:style>
  <w:style w:type="character" w:styleId="91" w:customStyle="1">
    <w:name w:val="Заголовок 9 Знак"/>
    <w:basedOn w:val="DefaultParagraphFont"/>
    <w:uiPriority w:val="9"/>
    <w:semiHidden/>
    <w:qFormat/>
    <w:rPr>
      <w:rFonts w:ascii="Cambria" w:hAnsi="Cambria" w:eastAsia="Arial" w:cs="Arial" w:asciiTheme="majorHAnsi" w:cstheme="majorBidi" w:eastAsiaTheme="majorEastAsia" w:hAnsiTheme="majorHAnsi"/>
      <w:i/>
      <w:iCs/>
      <w:color w:themeColor="text1" w:themeTint="d8" w:val="272727"/>
      <w:sz w:val="21"/>
      <w:szCs w:val="21"/>
      <w:lang w:eastAsia="en-US"/>
    </w:rPr>
  </w:style>
  <w:style w:type="character" w:styleId="Style39" w:customStyle="1">
    <w:name w:val="Должность Знак"/>
    <w:basedOn w:val="DefaultParagraphFont"/>
    <w:link w:val="Style48"/>
    <w:qFormat/>
    <w:rPr>
      <w:rFonts w:ascii="Montserrat SemiBold" w:hAnsi="Montserrat SemiBold" w:eastAsia="Calibri" w:cs="Cambria" w:cstheme="majorHAnsi" w:eastAsiaTheme="minorHAnsi"/>
      <w:color w:val="auto"/>
      <w:sz w:val="24"/>
      <w:szCs w:val="24"/>
      <w:lang w:eastAsia="en-US"/>
    </w:rPr>
  </w:style>
  <w:style w:type="character" w:styleId="Style40" w:customStyle="1">
    <w:name w:val="Анотация Знак"/>
    <w:basedOn w:val="DefaultParagraphFont"/>
    <w:link w:val="Style49"/>
    <w:qFormat/>
    <w:rPr>
      <w:rFonts w:ascii="Cambria" w:hAnsi="Cambria" w:eastAsia="Calibri" w:cs="Cambria" w:asciiTheme="majorHAnsi" w:cstheme="majorHAnsi" w:eastAsiaTheme="minorHAnsi" w:hAnsiTheme="majorHAnsi"/>
      <w:color w:val="auto"/>
      <w:sz w:val="28"/>
      <w:szCs w:val="28"/>
      <w:lang w:eastAsia="en-US"/>
    </w:rPr>
  </w:style>
  <w:style w:type="character" w:styleId="Style41" w:customStyle="1">
    <w:name w:val="Должность_пдстр Знак"/>
    <w:basedOn w:val="DefaultParagraphFont"/>
    <w:link w:val="Style50"/>
    <w:qFormat/>
    <w:rPr>
      <w:rFonts w:ascii="Cambria" w:hAnsi="Cambria" w:eastAsia="Arial" w:cs="Cambria" w:asciiTheme="majorHAnsi" w:cstheme="majorHAnsi" w:eastAsiaTheme="minorEastAsia" w:hAnsiTheme="majorHAnsi"/>
      <w:i/>
      <w:sz w:val="22"/>
      <w:szCs w:val="22"/>
      <w:lang w:val="en-US"/>
    </w:rPr>
  </w:style>
  <w:style w:type="character" w:styleId="ConsPlusNormal1" w:customStyle="1">
    <w:name w:val="ConsPlusNormal Знак"/>
    <w:qFormat/>
    <w:locked/>
    <w:rsid w:val="00730000"/>
    <w:rPr>
      <w:rFonts w:ascii="Times New Roman" w:hAnsi="Times New Roman" w:cs="Calibri"/>
      <w:sz w:val="22"/>
    </w:rPr>
  </w:style>
  <w:style w:type="paragraph" w:styleId="Style42">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28"/>
    <w:pPr>
      <w:spacing w:before="0" w:after="120"/>
    </w:pPr>
    <w:rPr/>
  </w:style>
  <w:style w:type="paragraph" w:styleId="List">
    <w:name w:val="List"/>
    <w:basedOn w:val="BodyText"/>
    <w:pPr/>
    <w:rPr>
      <w:rFonts w:cs="Noto Sans"/>
    </w:rPr>
  </w:style>
  <w:style w:type="paragraph" w:styleId="Caption">
    <w:name w:val="caption"/>
    <w:basedOn w:val="Normal"/>
    <w:next w:val="Normal"/>
    <w:link w:val="Style34"/>
    <w:uiPriority w:val="35"/>
    <w:qFormat/>
    <w:pPr>
      <w:keepNext w:val="true"/>
      <w:spacing w:lineRule="auto" w:line="240" w:before="240" w:after="0"/>
      <w:ind w:hanging="0"/>
      <w:jc w:val="end"/>
    </w:pPr>
    <w:rPr>
      <w:i/>
    </w:rPr>
  </w:style>
  <w:style w:type="paragraph" w:styleId="Style43">
    <w:name w:val="Указатель"/>
    <w:basedOn w:val="Normal"/>
    <w:qFormat/>
    <w:pPr>
      <w:suppressLineNumbers/>
    </w:pPr>
    <w:rPr>
      <w:rFonts w:cs="Noto Sans"/>
    </w:rPr>
  </w:style>
  <w:style w:type="paragraph" w:styleId="user2">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3">
    <w:name w:val="Указатель (user)"/>
    <w:basedOn w:val="Normal"/>
    <w:qFormat/>
    <w:pPr>
      <w:suppressLineNumbers/>
    </w:pPr>
    <w:rPr>
      <w:rFonts w:cs="Noto Sans"/>
    </w:rPr>
  </w:style>
  <w:style w:type="paragraph" w:styleId="Quote">
    <w:name w:val="Quote"/>
    <w:basedOn w:val="Normal"/>
    <w:next w:val="Normal"/>
    <w:link w:val="2"/>
    <w:uiPriority w:val="29"/>
    <w:qFormat/>
    <w:pPr>
      <w:spacing w:before="160" w:after="0"/>
      <w:jc w:val="center"/>
    </w:pPr>
    <w:rPr>
      <w:i/>
      <w:iCs/>
      <w:color w:themeColor="text1" w:themeTint="bf" w:val="404040"/>
    </w:rPr>
  </w:style>
  <w:style w:type="paragraph" w:styleId="IntenseQuote">
    <w:name w:val="Intense Quote"/>
    <w:basedOn w:val="Normal"/>
    <w:next w:val="Normal"/>
    <w:link w:val="Style5"/>
    <w:uiPriority w:val="30"/>
    <w:qFormat/>
    <w:pPr>
      <w:pBdr>
        <w:top w:val="single" w:sz="4" w:space="10" w:color="365F91" w:themeColor="accent1" w:themeShade="bf"/>
        <w:bottom w:val="single" w:sz="4" w:space="10" w:color="365F91" w:themeColor="accent1" w:themeShade="bf"/>
      </w:pBdr>
      <w:spacing w:before="360" w:after="360"/>
      <w:ind w:start="864" w:end="864"/>
      <w:jc w:val="center"/>
    </w:pPr>
    <w:rPr>
      <w:i/>
      <w:iCs/>
      <w:color w:themeColor="accent1" w:themeShade="bf" w:val="365F91"/>
    </w:rPr>
  </w:style>
  <w:style w:type="paragraph" w:styleId="FootnoteText">
    <w:name w:val="footnote text"/>
    <w:basedOn w:val="Normal"/>
    <w:link w:val="Style6"/>
    <w:uiPriority w:val="99"/>
    <w:semiHidden/>
    <w:unhideWhenUsed/>
    <w:pPr>
      <w:spacing w:lineRule="auto" w:line="240"/>
    </w:pPr>
    <w:rPr>
      <w:sz w:val="20"/>
    </w:rPr>
  </w:style>
  <w:style w:type="paragraph" w:styleId="EndnoteText">
    <w:name w:val="endnote text"/>
    <w:basedOn w:val="Normal"/>
    <w:link w:val="Style8"/>
    <w:uiPriority w:val="99"/>
    <w:semiHidden/>
    <w:unhideWhenUsed/>
    <w:pPr>
      <w:spacing w:lineRule="auto" w:line="240"/>
    </w:pPr>
    <w:rPr>
      <w:sz w:val="20"/>
    </w:rPr>
  </w:style>
  <w:style w:type="paragraph" w:styleId="TableofFigures">
    <w:name w:val="table of figures"/>
    <w:basedOn w:val="Normal"/>
    <w:next w:val="Normal"/>
    <w:uiPriority w:val="99"/>
    <w:unhideWhenUsed/>
    <w:pPr/>
    <w:rPr/>
  </w:style>
  <w:style w:type="paragraph" w:styleId="115" w:customStyle="1">
    <w:name w:val="Знак сноски11"/>
    <w:basedOn w:val="116"/>
    <w:link w:val="11"/>
    <w:qFormat/>
    <w:pPr/>
    <w:rPr>
      <w:vertAlign w:val="superscript"/>
    </w:rPr>
  </w:style>
  <w:style w:type="paragraph" w:styleId="Heading2NumberedT1" w:customStyle="1">
    <w:name w:val="Heading 2 Numbered + T1"/>
    <w:basedOn w:val="Heading1NumberedT1"/>
    <w:next w:val="Normal"/>
    <w:link w:val="Heading2NumberedT"/>
    <w:qFormat/>
    <w:pPr>
      <w:outlineLvl w:val="1"/>
    </w:pPr>
    <w:rPr>
      <w:sz w:val="24"/>
    </w:rPr>
  </w:style>
  <w:style w:type="paragraph" w:styleId="Default1" w:customStyle="1">
    <w:name w:val="Default1"/>
    <w:link w:val="Default"/>
    <w:qFormat/>
    <w:pPr>
      <w:widowControl/>
      <w:suppressAutoHyphens w:val="true"/>
      <w:bidi w:val="0"/>
      <w:spacing w:before="0" w:after="0"/>
      <w:jc w:val="start"/>
    </w:pPr>
    <w:rPr>
      <w:rFonts w:ascii="Calibri" w:hAnsi="Calibri" w:eastAsia="Times New Roman" w:cs="Times New Roman"/>
      <w:color w:val="000000"/>
      <w:kern w:val="0"/>
      <w:sz w:val="24"/>
      <w:szCs w:val="20"/>
      <w:lang w:val="ru-RU" w:eastAsia="ru-RU" w:bidi="ar-SA"/>
    </w:rPr>
  </w:style>
  <w:style w:type="paragraph" w:styleId="TOC2">
    <w:name w:val="toc 2"/>
    <w:basedOn w:val="Normal"/>
    <w:next w:val="Normal"/>
    <w:link w:val="21"/>
    <w:uiPriority w:val="39"/>
    <w:pPr>
      <w:tabs>
        <w:tab w:val="clear" w:pos="709"/>
        <w:tab w:val="left" w:pos="993" w:leader="none"/>
        <w:tab w:val="right" w:pos="9345" w:leader="dot"/>
      </w:tabs>
      <w:ind w:hanging="0" w:start="284"/>
      <w:jc w:val="start"/>
    </w:pPr>
    <w:rPr/>
  </w:style>
  <w:style w:type="paragraph" w:styleId="116" w:customStyle="1">
    <w:name w:val="Основной шрифт абзаца11"/>
    <w:link w:val="18"/>
    <w:qFormat/>
    <w:pPr>
      <w:widowControl/>
      <w:suppressAutoHyphens w:val="true"/>
      <w:bidi w:val="0"/>
      <w:spacing w:before="0" w:after="0"/>
      <w:jc w:val="start"/>
    </w:pPr>
    <w:rPr>
      <w:rFonts w:ascii="Calibri" w:hAnsi="Calibri" w:eastAsia="Times New Roman" w:cs="Times New Roman"/>
      <w:color w:val="000000"/>
      <w:kern w:val="0"/>
      <w:sz w:val="20"/>
      <w:szCs w:val="20"/>
      <w:lang w:val="ru-RU" w:eastAsia="ru-RU" w:bidi="ar-SA"/>
    </w:rPr>
  </w:style>
  <w:style w:type="paragraph" w:styleId="TOC4">
    <w:name w:val="toc 4"/>
    <w:basedOn w:val="Normal"/>
    <w:next w:val="Normal"/>
    <w:link w:val="4"/>
    <w:uiPriority w:val="39"/>
    <w:pPr>
      <w:tabs>
        <w:tab w:val="clear" w:pos="709"/>
        <w:tab w:val="left" w:pos="1701" w:leader="none"/>
        <w:tab w:val="right" w:pos="9345" w:leader="dot"/>
      </w:tabs>
      <w:ind w:hanging="0" w:start="709"/>
    </w:pPr>
    <w:rPr/>
  </w:style>
  <w:style w:type="paragraph" w:styleId="BodyTextIndent">
    <w:name w:val="Body Text Indent"/>
    <w:basedOn w:val="Normal"/>
    <w:link w:val="Style10"/>
    <w:pPr/>
    <w:rPr/>
  </w:style>
  <w:style w:type="paragraph" w:styleId="1KGK91" w:customStyle="1">
    <w:name w:val="1KG=K91"/>
    <w:link w:val="1KGK9"/>
    <w:qFormat/>
    <w:pPr>
      <w:widowControl w:val="false"/>
      <w:suppressAutoHyphens w:val="true"/>
      <w:bidi w:val="0"/>
      <w:spacing w:before="0" w:after="0"/>
      <w:jc w:val="start"/>
    </w:pPr>
    <w:rPr>
      <w:rFonts w:ascii="Arial" w:hAnsi="Arial" w:eastAsia="Times New Roman" w:cs="Times New Roman"/>
      <w:color w:val="000000"/>
      <w:kern w:val="0"/>
      <w:sz w:val="24"/>
      <w:szCs w:val="20"/>
      <w:lang w:val="ru-RU" w:eastAsia="ru-RU" w:bidi="ar-SA"/>
    </w:rPr>
  </w:style>
  <w:style w:type="paragraph" w:styleId="TOC6">
    <w:name w:val="toc 6"/>
    <w:basedOn w:val="Normal"/>
    <w:next w:val="Normal"/>
    <w:link w:val="6"/>
    <w:uiPriority w:val="39"/>
    <w:pPr>
      <w:spacing w:lineRule="auto" w:line="240"/>
      <w:ind w:hanging="0" w:start="1200"/>
      <w:jc w:val="start"/>
    </w:pPr>
    <w:rPr/>
  </w:style>
  <w:style w:type="paragraph" w:styleId="117" w:customStyle="1">
    <w:name w:val="Нумерованный список ВПВ 11"/>
    <w:basedOn w:val="Normal"/>
    <w:link w:val="12"/>
    <w:qFormat/>
    <w:pPr>
      <w:numPr>
        <w:ilvl w:val="0"/>
        <w:numId w:val="5"/>
      </w:numPr>
      <w:spacing w:lineRule="auto" w:line="240"/>
    </w:pPr>
    <w:rPr/>
  </w:style>
  <w:style w:type="paragraph" w:styleId="118" w:customStyle="1">
    <w:name w:val="Строгий11"/>
    <w:basedOn w:val="116"/>
    <w:link w:val="13"/>
    <w:qFormat/>
    <w:pPr/>
    <w:rPr>
      <w:b/>
    </w:rPr>
  </w:style>
  <w:style w:type="paragraph" w:styleId="TOC7">
    <w:name w:val="toc 7"/>
    <w:basedOn w:val="Normal"/>
    <w:next w:val="Normal"/>
    <w:link w:val="71"/>
    <w:uiPriority w:val="39"/>
    <w:pPr>
      <w:spacing w:lineRule="auto" w:line="240"/>
      <w:ind w:hanging="0" w:start="1440"/>
      <w:jc w:val="start"/>
    </w:pPr>
    <w:rPr/>
  </w:style>
  <w:style w:type="paragraph" w:styleId="2111" w:customStyle="1">
    <w:name w:val="Основной текст 211"/>
    <w:basedOn w:val="128"/>
    <w:link w:val="211"/>
    <w:qFormat/>
    <w:pPr>
      <w:widowControl/>
      <w:spacing w:lineRule="auto" w:line="240"/>
      <w:ind w:hanging="0" w:start="0"/>
    </w:pPr>
    <w:rPr>
      <w:sz w:val="24"/>
    </w:rPr>
  </w:style>
  <w:style w:type="paragraph" w:styleId="NormalTNumbered1" w:customStyle="1">
    <w:name w:val="Normal+T Numbered1"/>
    <w:basedOn w:val="Normal"/>
    <w:link w:val="NormalTNumbered"/>
    <w:qFormat/>
    <w:pPr>
      <w:tabs>
        <w:tab w:val="clear" w:pos="709"/>
        <w:tab w:val="left" w:pos="1146" w:leader="none"/>
      </w:tabs>
      <w:spacing w:lineRule="auto" w:line="240" w:before="60" w:after="0"/>
      <w:ind w:hanging="720" w:start="1146" w:end="-82"/>
      <w:outlineLvl w:val="2"/>
    </w:pPr>
    <w:rPr/>
  </w:style>
  <w:style w:type="paragraph" w:styleId="312" w:customStyle="1">
    <w:name w:val="Стиль31"/>
    <w:basedOn w:val="ListParagraph"/>
    <w:link w:val="3"/>
    <w:qFormat/>
    <w:pPr>
      <w:numPr>
        <w:ilvl w:val="0"/>
        <w:numId w:val="4"/>
      </w:numPr>
    </w:pPr>
    <w:rPr>
      <w:sz w:val="28"/>
    </w:rPr>
  </w:style>
  <w:style w:type="paragraph" w:styleId="119" w:customStyle="1">
    <w:name w:val="Гиперссылка11"/>
    <w:basedOn w:val="116"/>
    <w:link w:val="14"/>
    <w:qFormat/>
    <w:pPr/>
    <w:rPr>
      <w:color w:val="0000FF"/>
      <w:u w:val="single"/>
    </w:rPr>
  </w:style>
  <w:style w:type="paragraph" w:styleId="ConsPlusNormal11" w:customStyle="1">
    <w:name w:val="ConsPlusNormal1"/>
    <w:link w:val="ConsPlusNormal"/>
    <w:qFormat/>
    <w:pPr>
      <w:widowControl w:val="false"/>
      <w:suppressAutoHyphens w:val="true"/>
      <w:bidi w:val="0"/>
      <w:spacing w:before="0" w:after="0"/>
      <w:jc w:val="start"/>
    </w:pPr>
    <w:rPr>
      <w:rFonts w:ascii="Arial" w:hAnsi="Arial" w:eastAsia="Times New Roman" w:cs="Times New Roman"/>
      <w:color w:val="000000"/>
      <w:kern w:val="0"/>
      <w:sz w:val="20"/>
      <w:szCs w:val="20"/>
      <w:lang w:val="ru-RU" w:eastAsia="ru-RU" w:bidi="ar-SA"/>
    </w:rPr>
  </w:style>
  <w:style w:type="paragraph" w:styleId="1110" w:customStyle="1">
    <w:name w:val="Номер страницы11"/>
    <w:basedOn w:val="116"/>
    <w:link w:val="15"/>
    <w:qFormat/>
    <w:pPr/>
    <w:rPr/>
  </w:style>
  <w:style w:type="paragraph" w:styleId="apple-converted-space1" w:customStyle="1">
    <w:name w:val="apple-converted-space1"/>
    <w:basedOn w:val="116"/>
    <w:link w:val="apple-converted-space"/>
    <w:qFormat/>
    <w:pPr/>
    <w:rPr/>
  </w:style>
  <w:style w:type="paragraph" w:styleId="Endnote1" w:customStyle="1">
    <w:name w:val="Endnote1"/>
    <w:basedOn w:val="Normal"/>
    <w:link w:val="Endnote"/>
    <w:qFormat/>
    <w:pPr>
      <w:spacing w:lineRule="auto" w:line="240"/>
    </w:pPr>
    <w:rPr>
      <w:sz w:val="20"/>
    </w:rPr>
  </w:style>
  <w:style w:type="paragraph" w:styleId="List212pt0061" w:customStyle="1">
    <w:name w:val="Стиль List 2 + 12 pt Слева:  0 см Первая строка:  0 см После:  6...1"/>
    <w:basedOn w:val="2112"/>
    <w:link w:val="List212pt006"/>
    <w:qFormat/>
    <w:pPr>
      <w:spacing w:lineRule="auto" w:line="360" w:before="0" w:after="60"/>
      <w:ind w:hanging="0" w:start="0"/>
    </w:pPr>
    <w:rPr>
      <w:sz w:val="24"/>
    </w:rPr>
  </w:style>
  <w:style w:type="paragraph" w:styleId="z21" w:customStyle="1">
    <w:name w:val="z21"/>
    <w:basedOn w:val="Normal"/>
    <w:link w:val="z2"/>
    <w:qFormat/>
    <w:pPr>
      <w:spacing w:lineRule="auto" w:line="240" w:beforeAutospacing="1" w:afterAutospacing="1"/>
      <w:ind w:hanging="0"/>
      <w:jc w:val="center"/>
    </w:pPr>
    <w:rPr>
      <w:color w:val="636363"/>
    </w:rPr>
  </w:style>
  <w:style w:type="paragraph" w:styleId="a12bg11" w:customStyle="1">
    <w:name w:val="a12bg11"/>
    <w:basedOn w:val="116"/>
    <w:link w:val="a12bg1"/>
    <w:qFormat/>
    <w:pPr/>
    <w:rPr>
      <w:rFonts w:ascii="Arial" w:hAnsi="Arial"/>
      <w:b/>
      <w:color w:val="666666"/>
      <w:sz w:val="18"/>
    </w:rPr>
  </w:style>
  <w:style w:type="paragraph" w:styleId="BodyText211" w:customStyle="1">
    <w:name w:val="Body Text 211"/>
    <w:basedOn w:val="Normal"/>
    <w:link w:val="BodyText21"/>
    <w:qFormat/>
    <w:pPr>
      <w:spacing w:lineRule="auto" w:line="240"/>
      <w:ind w:hanging="0"/>
    </w:pPr>
    <w:rPr/>
  </w:style>
  <w:style w:type="paragraph" w:styleId="313" w:customStyle="1">
    <w:name w:val="Стиль Заголовок 3 + не полужирный1"/>
    <w:basedOn w:val="Heading3"/>
    <w:link w:val="32"/>
    <w:qFormat/>
    <w:pPr>
      <w:tabs>
        <w:tab w:val="clear" w:pos="709"/>
        <w:tab w:val="left" w:pos="1134" w:leader="none"/>
      </w:tabs>
      <w:spacing w:before="120" w:after="0"/>
      <w:ind w:hanging="851" w:start="1134"/>
      <w:jc w:val="start"/>
    </w:pPr>
    <w:rPr>
      <w:b/>
    </w:rPr>
  </w:style>
  <w:style w:type="paragraph" w:styleId="Normal121251" w:customStyle="1">
    <w:name w:val="Стиль Normal + 12 пт Первая строка:  125 см Междустр.интервал:  ...1"/>
    <w:basedOn w:val="128"/>
    <w:link w:val="Normal12125"/>
    <w:qFormat/>
    <w:pPr>
      <w:spacing w:lineRule="auto" w:line="360"/>
      <w:ind w:firstLine="709" w:start="0"/>
    </w:pPr>
    <w:rPr>
      <w:rFonts w:ascii="Times New Roman" w:hAnsi="Times New Roman"/>
      <w:sz w:val="24"/>
    </w:rPr>
  </w:style>
  <w:style w:type="paragraph" w:styleId="213" w:customStyle="1">
    <w:name w:val="Стиль21"/>
    <w:basedOn w:val="Heading5"/>
    <w:link w:val="22"/>
    <w:qFormat/>
    <w:pPr/>
    <w:rPr/>
  </w:style>
  <w:style w:type="paragraph" w:styleId="ListParagraph">
    <w:name w:val="List Paragraph"/>
    <w:basedOn w:val="Normal"/>
    <w:link w:val="Style11"/>
    <w:qFormat/>
    <w:pPr>
      <w:ind w:hanging="0" w:start="708"/>
    </w:pPr>
    <w:rPr/>
  </w:style>
  <w:style w:type="paragraph" w:styleId="3111" w:customStyle="1">
    <w:name w:val="Маркированный список 311"/>
    <w:basedOn w:val="128"/>
    <w:link w:val="311"/>
    <w:qFormat/>
    <w:pPr>
      <w:spacing w:lineRule="auto" w:line="240" w:before="0" w:after="120"/>
      <w:ind w:hanging="0" w:start="0"/>
      <w:outlineLvl w:val="1"/>
    </w:pPr>
    <w:rPr>
      <w:sz w:val="24"/>
    </w:rPr>
  </w:style>
  <w:style w:type="paragraph" w:styleId="apple-style-span1" w:customStyle="1">
    <w:name w:val="apple-style-span1"/>
    <w:basedOn w:val="116"/>
    <w:link w:val="apple-style-span"/>
    <w:qFormat/>
    <w:pPr/>
    <w:rPr/>
  </w:style>
  <w:style w:type="paragraph" w:styleId="Headline21" w:customStyle="1">
    <w:name w:val="Headline 21"/>
    <w:basedOn w:val="Normal"/>
    <w:link w:val="Headline2"/>
    <w:qFormat/>
    <w:pPr>
      <w:spacing w:lineRule="auto" w:line="240"/>
      <w:ind w:hanging="0"/>
      <w:jc w:val="start"/>
    </w:pPr>
    <w:rPr/>
  </w:style>
  <w:style w:type="paragraph" w:styleId="1111" w:customStyle="1">
    <w:name w:val="Стиль11"/>
    <w:basedOn w:val="2112"/>
    <w:link w:val="16"/>
    <w:qFormat/>
    <w:pPr>
      <w:keepNext w:val="true"/>
      <w:numPr>
        <w:ilvl w:val="0"/>
        <w:numId w:val="7"/>
      </w:numPr>
      <w:spacing w:before="360" w:after="240"/>
      <w:ind w:hanging="357" w:start="357"/>
      <w:jc w:val="center"/>
      <w:outlineLvl w:val="0"/>
    </w:pPr>
    <w:rPr>
      <w:b/>
      <w:sz w:val="24"/>
    </w:rPr>
  </w:style>
  <w:style w:type="paragraph" w:styleId="120" w:customStyle="1">
    <w:name w:val="Список маркированный1"/>
    <w:basedOn w:val="Normal"/>
    <w:link w:val="Style12"/>
    <w:qFormat/>
    <w:pPr>
      <w:numPr>
        <w:ilvl w:val="0"/>
        <w:numId w:val="8"/>
      </w:numPr>
      <w:spacing w:lineRule="auto" w:line="240" w:before="0" w:after="120"/>
    </w:pPr>
    <w:rPr/>
  </w:style>
  <w:style w:type="paragraph" w:styleId="annotationsubject">
    <w:name w:val="annotation subject"/>
    <w:basedOn w:val="CommentText"/>
    <w:next w:val="CommentText"/>
    <w:link w:val="Style13"/>
    <w:qFormat/>
    <w:pPr/>
    <w:rPr>
      <w:b/>
    </w:rPr>
  </w:style>
  <w:style w:type="paragraph" w:styleId="CommentText">
    <w:name w:val="annotation text"/>
    <w:basedOn w:val="Normal"/>
    <w:link w:val="Style17"/>
    <w:pPr/>
    <w:rPr/>
  </w:style>
  <w:style w:type="paragraph" w:styleId="TOC3">
    <w:name w:val="toc 3"/>
    <w:basedOn w:val="Normal"/>
    <w:next w:val="Normal"/>
    <w:link w:val="33"/>
    <w:uiPriority w:val="39"/>
    <w:pPr>
      <w:tabs>
        <w:tab w:val="clear" w:pos="709"/>
        <w:tab w:val="left" w:pos="1418" w:leader="none"/>
        <w:tab w:val="right" w:pos="9345" w:leader="dot"/>
      </w:tabs>
      <w:ind w:hanging="0" w:start="567"/>
      <w:jc w:val="start"/>
    </w:pPr>
    <w:rPr/>
  </w:style>
  <w:style w:type="paragraph" w:styleId="Style44" w:customStyle="1">
    <w:name w:val="Колонтитулы"/>
    <w:qFormat/>
    <w:pPr>
      <w:widowControl/>
      <w:suppressAutoHyphens w:val="true"/>
      <w:bidi w:val="0"/>
      <w:spacing w:before="0" w:after="0"/>
      <w:jc w:val="both"/>
    </w:pPr>
    <w:rPr>
      <w:rFonts w:ascii="XO Thames" w:hAnsi="XO Thames" w:eastAsia="Times New Roman" w:cs="Times New Roman"/>
      <w:color w:val="000000"/>
      <w:kern w:val="0"/>
      <w:sz w:val="28"/>
      <w:szCs w:val="20"/>
      <w:lang w:val="ru-RU" w:eastAsia="ru-RU" w:bidi="ar-SA"/>
    </w:rPr>
  </w:style>
  <w:style w:type="paragraph" w:styleId="user4">
    <w:name w:val="Колонтитулы (user)"/>
    <w:basedOn w:val="Normal"/>
    <w:qFormat/>
    <w:pPr/>
    <w:rPr/>
  </w:style>
  <w:style w:type="paragraph" w:styleId="Footer">
    <w:name w:val="footer"/>
    <w:basedOn w:val="Normal"/>
    <w:link w:val="Style14"/>
    <w:pPr>
      <w:tabs>
        <w:tab w:val="clear" w:pos="709"/>
        <w:tab w:val="center" w:pos="4677" w:leader="none"/>
        <w:tab w:val="right" w:pos="9355" w:leader="none"/>
      </w:tabs>
    </w:pPr>
    <w:rPr/>
  </w:style>
  <w:style w:type="paragraph" w:styleId="214" w:customStyle="1">
    <w:name w:val="Гиперссылка21"/>
    <w:link w:val="23"/>
    <w:qFormat/>
    <w:pPr>
      <w:widowControl/>
      <w:suppressAutoHyphens w:val="true"/>
      <w:bidi w:val="0"/>
      <w:spacing w:before="0" w:after="0"/>
      <w:jc w:val="start"/>
    </w:pPr>
    <w:rPr>
      <w:rFonts w:ascii="Calibri" w:hAnsi="Calibri" w:eastAsia="Times New Roman" w:cs="Times New Roman"/>
      <w:color w:val="0000FF"/>
      <w:kern w:val="0"/>
      <w:sz w:val="20"/>
      <w:szCs w:val="20"/>
      <w:u w:val="single"/>
      <w:lang w:val="ru-RU" w:eastAsia="ru-RU" w:bidi="ar-SA"/>
    </w:rPr>
  </w:style>
  <w:style w:type="paragraph" w:styleId="1112" w:customStyle="1">
    <w:name w:val="Просмотренная гиперссылка11"/>
    <w:basedOn w:val="116"/>
    <w:link w:val="17"/>
    <w:qFormat/>
    <w:pPr/>
    <w:rPr>
      <w:color w:themeColor="followedHyperlink" w:val="800080"/>
      <w:u w:val="single"/>
    </w:rPr>
  </w:style>
  <w:style w:type="paragraph" w:styleId="121" w:customStyle="1">
    <w:name w:val="Обычный + По центру1"/>
    <w:basedOn w:val="Normal"/>
    <w:link w:val="Style15"/>
    <w:qFormat/>
    <w:pPr>
      <w:spacing w:lineRule="auto" w:line="240"/>
      <w:ind w:hanging="0"/>
      <w:jc w:val="center"/>
    </w:pPr>
    <w:rPr/>
  </w:style>
  <w:style w:type="paragraph" w:styleId="122" w:customStyle="1">
    <w:name w:val="Обычный_ТЗ1"/>
    <w:basedOn w:val="BodyTextIndent"/>
    <w:link w:val="Style16"/>
    <w:qFormat/>
    <w:pPr/>
    <w:rPr/>
  </w:style>
  <w:style w:type="paragraph" w:styleId="1113" w:customStyle="1">
    <w:name w:val="Знак примечания11"/>
    <w:basedOn w:val="116"/>
    <w:link w:val="19"/>
    <w:qFormat/>
    <w:pPr/>
    <w:rPr>
      <w:sz w:val="16"/>
    </w:rPr>
  </w:style>
  <w:style w:type="paragraph" w:styleId="Header">
    <w:name w:val="header"/>
    <w:basedOn w:val="Normal"/>
    <w:link w:val="Style18"/>
    <w:pPr>
      <w:tabs>
        <w:tab w:val="clear" w:pos="709"/>
        <w:tab w:val="center" w:pos="4677" w:leader="none"/>
        <w:tab w:val="right" w:pos="9355" w:leader="none"/>
      </w:tabs>
    </w:pPr>
    <w:rPr/>
  </w:style>
  <w:style w:type="paragraph" w:styleId="NoSpacing">
    <w:name w:val="No Spacing"/>
    <w:link w:val="Style19"/>
    <w:uiPriority w:val="1"/>
    <w:qFormat/>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123" w:customStyle="1">
    <w:name w:val="Отступ ТЗ1"/>
    <w:basedOn w:val="Normal"/>
    <w:link w:val="Style20"/>
    <w:qFormat/>
    <w:pPr>
      <w:numPr>
        <w:ilvl w:val="0"/>
        <w:numId w:val="9"/>
      </w:numPr>
    </w:pPr>
    <w:rPr/>
  </w:style>
  <w:style w:type="paragraph" w:styleId="2112" w:customStyle="1">
    <w:name w:val="Список 211"/>
    <w:basedOn w:val="Normal"/>
    <w:link w:val="212"/>
    <w:qFormat/>
    <w:pPr>
      <w:widowControl w:val="false"/>
      <w:spacing w:lineRule="auto" w:line="300"/>
      <w:ind w:hanging="360" w:start="720"/>
    </w:pPr>
    <w:rPr>
      <w:sz w:val="22"/>
    </w:rPr>
  </w:style>
  <w:style w:type="paragraph" w:styleId="36" w:customStyle="1">
    <w:name w:val="Гиперссылка3"/>
    <w:qFormat/>
    <w:pPr>
      <w:widowControl/>
      <w:suppressAutoHyphens w:val="true"/>
      <w:bidi w:val="0"/>
      <w:spacing w:before="0" w:after="0"/>
      <w:jc w:val="start"/>
    </w:pPr>
    <w:rPr>
      <w:rFonts w:ascii="Calibri" w:hAnsi="Calibri" w:eastAsia="Times New Roman" w:cs="Times New Roman"/>
      <w:color w:val="0000FF"/>
      <w:kern w:val="0"/>
      <w:sz w:val="20"/>
      <w:szCs w:val="20"/>
      <w:u w:val="single"/>
      <w:lang w:val="ru-RU" w:eastAsia="ru-RU" w:bidi="ar-SA"/>
    </w:rPr>
  </w:style>
  <w:style w:type="paragraph" w:styleId="Footnote1" w:customStyle="1">
    <w:name w:val="Footnote1"/>
    <w:basedOn w:val="Normal"/>
    <w:link w:val="Footnote"/>
    <w:qFormat/>
    <w:pPr>
      <w:spacing w:lineRule="auto" w:line="240"/>
    </w:pPr>
    <w:rPr/>
  </w:style>
  <w:style w:type="paragraph" w:styleId="TOC1">
    <w:name w:val="toc 1"/>
    <w:basedOn w:val="Normal"/>
    <w:next w:val="Normal"/>
    <w:link w:val="111"/>
    <w:uiPriority w:val="39"/>
    <w:pPr>
      <w:tabs>
        <w:tab w:val="clear" w:pos="709"/>
        <w:tab w:val="left" w:pos="426" w:leader="none"/>
        <w:tab w:val="right" w:pos="9345" w:leader="dot"/>
      </w:tabs>
      <w:ind w:hanging="0"/>
    </w:pPr>
    <w:rPr/>
  </w:style>
  <w:style w:type="paragraph" w:styleId="StGen0" w:customStyle="1">
    <w:name w:val="StGen0"/>
    <w:link w:val="StGen1"/>
    <w:semiHidden/>
    <w:unhideWhenUsed/>
    <w:qFormat/>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DocumentMap">
    <w:name w:val="Document Map"/>
    <w:basedOn w:val="Normal"/>
    <w:link w:val="Style21"/>
    <w:qFormat/>
    <w:pPr/>
    <w:rPr>
      <w:rFonts w:ascii="Tahoma" w:hAnsi="Tahoma"/>
      <w:sz w:val="16"/>
    </w:rPr>
  </w:style>
  <w:style w:type="paragraph" w:styleId="BalloonText">
    <w:name w:val="Balloon Text"/>
    <w:basedOn w:val="Normal"/>
    <w:link w:val="Style22"/>
    <w:qFormat/>
    <w:pPr/>
    <w:rPr>
      <w:rFonts w:ascii="Tahoma" w:hAnsi="Tahoma"/>
      <w:sz w:val="16"/>
    </w:rPr>
  </w:style>
  <w:style w:type="paragraph" w:styleId="TOC9">
    <w:name w:val="toc 9"/>
    <w:basedOn w:val="Normal"/>
    <w:next w:val="Normal"/>
    <w:link w:val="9"/>
    <w:uiPriority w:val="39"/>
    <w:pPr>
      <w:spacing w:lineRule="auto" w:line="240"/>
      <w:ind w:hanging="0" w:start="1920"/>
      <w:jc w:val="start"/>
    </w:pPr>
    <w:rPr/>
  </w:style>
  <w:style w:type="paragraph" w:styleId="124" w:customStyle="1">
    <w:name w:val="Текст документа1"/>
    <w:basedOn w:val="Normal"/>
    <w:link w:val="Style23"/>
    <w:qFormat/>
    <w:pPr>
      <w:spacing w:lineRule="auto" w:line="240" w:before="120" w:after="0"/>
    </w:pPr>
    <w:rPr>
      <w:rFonts w:ascii="GOST" w:hAnsi="GOST"/>
    </w:rPr>
  </w:style>
  <w:style w:type="paragraph" w:styleId="125" w:customStyle="1">
    <w:name w:val="Перечисление1"/>
    <w:basedOn w:val="Normal"/>
    <w:link w:val="Style24"/>
    <w:qFormat/>
    <w:pPr>
      <w:ind w:hanging="0"/>
    </w:pPr>
    <w:rPr/>
  </w:style>
  <w:style w:type="paragraph" w:styleId="126" w:customStyle="1">
    <w:name w:val="Отступ_1"/>
    <w:basedOn w:val="ListParagraph"/>
    <w:link w:val="Style25"/>
    <w:qFormat/>
    <w:pPr>
      <w:numPr>
        <w:ilvl w:val="0"/>
        <w:numId w:val="10"/>
      </w:numPr>
      <w:tabs>
        <w:tab w:val="clear" w:pos="709"/>
        <w:tab w:val="left" w:pos="1134" w:leader="none"/>
      </w:tabs>
    </w:pPr>
    <w:rPr/>
  </w:style>
  <w:style w:type="paragraph" w:styleId="127" w:customStyle="1">
    <w:name w:val="Нумерованный1"/>
    <w:basedOn w:val="Normal"/>
    <w:link w:val="Style26"/>
    <w:qFormat/>
    <w:pPr>
      <w:numPr>
        <w:ilvl w:val="0"/>
        <w:numId w:val="11"/>
      </w:numPr>
      <w:spacing w:lineRule="auto" w:line="240" w:before="120" w:after="0"/>
    </w:pPr>
    <w:rPr>
      <w:rFonts w:ascii="GOST" w:hAnsi="GOST"/>
    </w:rPr>
  </w:style>
  <w:style w:type="paragraph" w:styleId="1114" w:customStyle="1">
    <w:name w:val="Обычный111"/>
    <w:link w:val="112"/>
    <w:qFormat/>
    <w:pPr>
      <w:widowControl w:val="false"/>
      <w:suppressAutoHyphens w:val="true"/>
      <w:bidi w:val="0"/>
      <w:spacing w:before="0" w:after="0"/>
      <w:jc w:val="start"/>
    </w:pPr>
    <w:rPr>
      <w:rFonts w:ascii="Times New Roman" w:hAnsi="Times New Roman" w:eastAsia="Times New Roman" w:cs="Times New Roman"/>
      <w:color w:val="000000"/>
      <w:kern w:val="0"/>
      <w:sz w:val="20"/>
      <w:szCs w:val="20"/>
      <w:lang w:val="ru-RU" w:eastAsia="ru-RU" w:bidi="ar-SA"/>
    </w:rPr>
  </w:style>
  <w:style w:type="paragraph" w:styleId="128" w:customStyle="1">
    <w:name w:val="Обычный12"/>
    <w:link w:val="1"/>
    <w:qFormat/>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TOC8">
    <w:name w:val="toc 8"/>
    <w:basedOn w:val="Normal"/>
    <w:next w:val="Normal"/>
    <w:link w:val="81"/>
    <w:uiPriority w:val="39"/>
    <w:pPr>
      <w:spacing w:lineRule="auto" w:line="240"/>
      <w:ind w:hanging="0" w:start="1680"/>
      <w:jc w:val="start"/>
    </w:pPr>
    <w:rPr/>
  </w:style>
  <w:style w:type="paragraph" w:styleId="215" w:customStyle="1">
    <w:name w:val="Основной шрифт абзаца21"/>
    <w:link w:val="24"/>
    <w:qFormat/>
    <w:pPr>
      <w:widowControl/>
      <w:suppressAutoHyphens w:val="true"/>
      <w:bidi w:val="0"/>
      <w:spacing w:before="0" w:after="0"/>
      <w:jc w:val="start"/>
    </w:pPr>
    <w:rPr>
      <w:rFonts w:ascii="Calibri" w:hAnsi="Calibri" w:eastAsia="Times New Roman" w:cs="Times New Roman"/>
      <w:color w:val="000000"/>
      <w:kern w:val="0"/>
      <w:sz w:val="20"/>
      <w:szCs w:val="20"/>
      <w:lang w:val="ru-RU" w:eastAsia="ru-RU" w:bidi="ar-SA"/>
    </w:rPr>
  </w:style>
  <w:style w:type="paragraph" w:styleId="PlainText">
    <w:name w:val="Plain Text"/>
    <w:basedOn w:val="1114"/>
    <w:link w:val="Style27"/>
    <w:qFormat/>
    <w:pPr/>
    <w:rPr>
      <w:rFonts w:ascii="Courier New" w:hAnsi="Courier New"/>
    </w:rPr>
  </w:style>
  <w:style w:type="paragraph" w:styleId="1115" w:customStyle="1">
    <w:name w:val="Знак концевой сноски11"/>
    <w:basedOn w:val="116"/>
    <w:link w:val="113"/>
    <w:qFormat/>
    <w:pPr/>
    <w:rPr>
      <w:vertAlign w:val="superscript"/>
    </w:rPr>
  </w:style>
  <w:style w:type="paragraph" w:styleId="v10c11" w:customStyle="1">
    <w:name w:val="v10c11"/>
    <w:basedOn w:val="116"/>
    <w:link w:val="v10c1"/>
    <w:qFormat/>
    <w:pPr/>
    <w:rPr>
      <w:rFonts w:ascii="Arial" w:hAnsi="Arial"/>
      <w:color w:val="666666"/>
      <w:sz w:val="18"/>
    </w:rPr>
  </w:style>
  <w:style w:type="paragraph" w:styleId="BodyTextIndent3">
    <w:name w:val="Body Text Indent 3"/>
    <w:basedOn w:val="Normal"/>
    <w:link w:val="34"/>
    <w:qFormat/>
    <w:pPr>
      <w:spacing w:lineRule="auto" w:line="240" w:before="0" w:after="120"/>
      <w:ind w:hanging="0" w:start="283"/>
      <w:jc w:val="start"/>
    </w:pPr>
    <w:rPr>
      <w:sz w:val="16"/>
    </w:rPr>
  </w:style>
  <w:style w:type="paragraph" w:styleId="content11" w:customStyle="1">
    <w:name w:val="content11"/>
    <w:basedOn w:val="116"/>
    <w:link w:val="content1"/>
    <w:qFormat/>
    <w:pPr/>
    <w:rPr>
      <w:rFonts w:ascii="Verdana" w:hAnsi="Verdana"/>
      <w:sz w:val="22"/>
    </w:rPr>
  </w:style>
  <w:style w:type="paragraph" w:styleId="TOC5">
    <w:name w:val="toc 5"/>
    <w:basedOn w:val="Normal"/>
    <w:next w:val="Normal"/>
    <w:link w:val="51"/>
    <w:uiPriority w:val="39"/>
    <w:pPr>
      <w:tabs>
        <w:tab w:val="clear" w:pos="709"/>
        <w:tab w:val="left" w:pos="1985" w:leader="none"/>
        <w:tab w:val="right" w:pos="9345" w:leader="dot"/>
      </w:tabs>
      <w:ind w:hanging="0" w:start="851"/>
      <w:jc w:val="start"/>
    </w:pPr>
    <w:rPr/>
  </w:style>
  <w:style w:type="paragraph" w:styleId="ListBullet">
    <w:name w:val="List Bullet"/>
    <w:basedOn w:val="Normal"/>
    <w:link w:val="Style29"/>
    <w:pPr>
      <w:numPr>
        <w:ilvl w:val="0"/>
        <w:numId w:val="12"/>
      </w:numPr>
    </w:pPr>
    <w:rPr/>
  </w:style>
  <w:style w:type="paragraph" w:styleId="411" w:customStyle="1">
    <w:name w:val="Стиль41"/>
    <w:basedOn w:val="Normal"/>
    <w:link w:val="41"/>
    <w:qFormat/>
    <w:pPr/>
    <w:rPr>
      <w:sz w:val="28"/>
    </w:rPr>
  </w:style>
  <w:style w:type="paragraph" w:styleId="1116" w:customStyle="1">
    <w:name w:val="Замещающий текст11"/>
    <w:basedOn w:val="116"/>
    <w:link w:val="114"/>
    <w:qFormat/>
    <w:pPr/>
    <w:rPr>
      <w:color w:val="808080"/>
    </w:rPr>
  </w:style>
  <w:style w:type="paragraph" w:styleId="BodyTextIndent2">
    <w:name w:val="Body Text Indent 2"/>
    <w:basedOn w:val="Normal"/>
    <w:link w:val="25"/>
    <w:qFormat/>
    <w:pPr>
      <w:spacing w:lineRule="auto" w:line="480" w:before="0" w:after="120"/>
      <w:ind w:hanging="0" w:start="283"/>
    </w:pPr>
    <w:rPr/>
  </w:style>
  <w:style w:type="paragraph" w:styleId="NormalWeb">
    <w:name w:val="Normal (Web)"/>
    <w:basedOn w:val="Normal"/>
    <w:link w:val="Style30"/>
    <w:qFormat/>
    <w:pPr/>
    <w:rPr/>
  </w:style>
  <w:style w:type="paragraph" w:styleId="Subtitle">
    <w:name w:val="Subtitle"/>
    <w:next w:val="Normal"/>
    <w:link w:val="Style31"/>
    <w:uiPriority w:val="11"/>
    <w:qFormat/>
    <w:pPr>
      <w:widowControl/>
      <w:suppressAutoHyphens w:val="true"/>
      <w:bidi w:val="0"/>
      <w:spacing w:before="0" w:after="0"/>
      <w:jc w:val="both"/>
    </w:pPr>
    <w:rPr>
      <w:rFonts w:ascii="XO Thames" w:hAnsi="XO Thames" w:eastAsia="Times New Roman" w:cs="Times New Roman"/>
      <w:i/>
      <w:color w:val="000000"/>
      <w:kern w:val="0"/>
      <w:sz w:val="24"/>
      <w:szCs w:val="20"/>
      <w:lang w:val="ru-RU" w:eastAsia="ru-RU" w:bidi="ar-SA"/>
    </w:rPr>
  </w:style>
  <w:style w:type="paragraph" w:styleId="ListT1" w:customStyle="1">
    <w:name w:val="List+T1"/>
    <w:basedOn w:val="Normal"/>
    <w:link w:val="ListT"/>
    <w:qFormat/>
    <w:pPr>
      <w:numPr>
        <w:ilvl w:val="0"/>
        <w:numId w:val="13"/>
      </w:numPr>
      <w:spacing w:lineRule="auto" w:line="240" w:before="60" w:after="0"/>
      <w:ind w:end="-82"/>
    </w:pPr>
    <w:rPr/>
  </w:style>
  <w:style w:type="paragraph" w:styleId="Title">
    <w:name w:val="Title"/>
    <w:basedOn w:val="Normal"/>
    <w:link w:val="Style32"/>
    <w:uiPriority w:val="99"/>
    <w:qFormat/>
    <w:pPr>
      <w:spacing w:lineRule="auto" w:line="240"/>
      <w:ind w:hanging="0"/>
      <w:jc w:val="center"/>
    </w:pPr>
    <w:rPr>
      <w:b/>
      <w:sz w:val="32"/>
    </w:rPr>
  </w:style>
  <w:style w:type="paragraph" w:styleId="Closing" w:customStyle="1">
    <w:name w:val="Closing"/>
    <w:basedOn w:val="Style42"/>
    <w:qFormat/>
    <w:pPr/>
    <w:rPr/>
  </w:style>
  <w:style w:type="paragraph" w:styleId="mw-headline1" w:customStyle="1">
    <w:name w:val="mw-headline1"/>
    <w:basedOn w:val="116"/>
    <w:link w:val="mw-headline"/>
    <w:qFormat/>
    <w:pPr/>
    <w:rPr/>
  </w:style>
  <w:style w:type="paragraph" w:styleId="IndexHeading">
    <w:name w:val="index heading"/>
    <w:basedOn w:val="Style42"/>
    <w:pPr/>
    <w:rPr/>
  </w:style>
  <w:style w:type="paragraph" w:styleId="TOCHeading">
    <w:name w:val="TOC Heading"/>
    <w:basedOn w:val="Heading1"/>
    <w:next w:val="Normal"/>
    <w:link w:val="Style35"/>
    <w:qFormat/>
    <w:pPr>
      <w:keepLines/>
      <w:pageBreakBefore w:val="false"/>
      <w:numPr>
        <w:ilvl w:val="0"/>
        <w:numId w:val="0"/>
      </w:numPr>
      <w:spacing w:lineRule="auto" w:line="276" w:before="480" w:after="0"/>
      <w:ind w:firstLine="709"/>
      <w:outlineLvl w:val="8"/>
    </w:pPr>
    <w:rPr>
      <w:rFonts w:ascii="Cambria" w:hAnsi="Cambria" w:asciiTheme="majorHAnsi" w:hAnsiTheme="majorHAnsi"/>
      <w:color w:themeColor="accent1" w:themeShade="bf" w:val="365F91"/>
      <w:sz w:val="28"/>
    </w:rPr>
  </w:style>
  <w:style w:type="paragraph" w:styleId="Heading1NumberedT1" w:customStyle="1">
    <w:name w:val="Heading 1 Numbered + T1"/>
    <w:basedOn w:val="Normal"/>
    <w:next w:val="Normal"/>
    <w:link w:val="Heading1NumberedT"/>
    <w:qFormat/>
    <w:pPr>
      <w:keepNext w:val="true"/>
      <w:keepLines/>
      <w:numPr>
        <w:ilvl w:val="0"/>
        <w:numId w:val="14"/>
      </w:numPr>
      <w:spacing w:lineRule="auto" w:line="240" w:before="240" w:after="60"/>
      <w:jc w:val="start"/>
      <w:outlineLvl w:val="0"/>
    </w:pPr>
    <w:rPr>
      <w:b/>
      <w:sz w:val="28"/>
    </w:rPr>
  </w:style>
  <w:style w:type="paragraph" w:styleId="Style45" w:customStyle="1">
    <w:name w:val="Обложка (курсив)"/>
    <w:basedOn w:val="Style46"/>
    <w:link w:val="Style36"/>
    <w:qFormat/>
    <w:pPr/>
    <w:rPr>
      <w:rFonts w:ascii="Montserrat SemiBold" w:hAnsi="Montserrat SemiBold"/>
      <w:sz w:val="56"/>
      <w:szCs w:val="56"/>
    </w:rPr>
  </w:style>
  <w:style w:type="paragraph" w:styleId="Style46" w:customStyle="1">
    <w:name w:val="Обложка (отчетный период)"/>
    <w:basedOn w:val="Normal"/>
    <w:link w:val="Style37"/>
    <w:qFormat/>
    <w:pPr>
      <w:spacing w:lineRule="auto" w:line="276" w:before="0" w:after="80"/>
      <w:ind w:hanging="0"/>
      <w:contextualSpacing/>
      <w:jc w:val="start"/>
    </w:pPr>
    <w:rPr>
      <w:rFonts w:ascii="Montserrat" w:hAnsi="Montserrat" w:eastAsia="Calibri" w:cs="Cambria" w:cstheme="majorHAnsi" w:eastAsiaTheme="minorHAnsi"/>
      <w:color w:val="auto"/>
      <w:sz w:val="22"/>
      <w:szCs w:val="22"/>
      <w:lang w:eastAsia="en-US"/>
    </w:rPr>
  </w:style>
  <w:style w:type="paragraph" w:styleId="Style47" w:customStyle="1">
    <w:name w:val="Контракт"/>
    <w:basedOn w:val="Normal"/>
    <w:link w:val="Style38"/>
    <w:qFormat/>
    <w:pPr>
      <w:spacing w:lineRule="auto" w:line="276" w:before="0" w:after="0"/>
      <w:ind w:hanging="0"/>
      <w:contextualSpacing/>
      <w:jc w:val="start"/>
    </w:pPr>
    <w:rPr>
      <w:rFonts w:ascii="Montserrat" w:hAnsi="Montserrat" w:eastAsia="Calibri" w:cs="Cambria" w:cstheme="majorHAnsi" w:eastAsiaTheme="minorHAnsi"/>
      <w:color w:val="auto"/>
      <w:sz w:val="22"/>
      <w:szCs w:val="22"/>
      <w:lang w:eastAsia="en-US"/>
    </w:rPr>
  </w:style>
  <w:style w:type="paragraph" w:styleId="Style48" w:customStyle="1">
    <w:name w:val="Должность"/>
    <w:basedOn w:val="Normal"/>
    <w:link w:val="Style39"/>
    <w:qFormat/>
    <w:pPr>
      <w:spacing w:lineRule="auto" w:line="240" w:before="0" w:after="80"/>
      <w:ind w:hanging="0"/>
      <w:contextualSpacing/>
    </w:pPr>
    <w:rPr>
      <w:rFonts w:ascii="Montserrat SemiBold" w:hAnsi="Montserrat SemiBold" w:eastAsia="Calibri" w:cs="Cambria" w:cstheme="majorHAnsi" w:eastAsiaTheme="minorHAnsi"/>
      <w:color w:val="auto"/>
      <w:szCs w:val="24"/>
      <w:lang w:eastAsia="en-US"/>
    </w:rPr>
  </w:style>
  <w:style w:type="paragraph" w:styleId="Style49" w:customStyle="1">
    <w:name w:val="Анотация"/>
    <w:basedOn w:val="Normal"/>
    <w:link w:val="Style40"/>
    <w:qFormat/>
    <w:pPr>
      <w:spacing w:lineRule="auto" w:line="276" w:before="0" w:after="80"/>
      <w:contextualSpacing/>
    </w:pPr>
    <w:rPr>
      <w:rFonts w:ascii="Cambria" w:hAnsi="Cambria" w:eastAsia="Calibri" w:cs="Cambria" w:asciiTheme="majorHAnsi" w:cstheme="majorHAnsi" w:eastAsiaTheme="minorHAnsi" w:hAnsiTheme="majorHAnsi"/>
      <w:color w:val="auto"/>
      <w:sz w:val="28"/>
      <w:szCs w:val="28"/>
      <w:lang w:eastAsia="en-US"/>
    </w:rPr>
  </w:style>
  <w:style w:type="paragraph" w:styleId="Style50" w:customStyle="1">
    <w:name w:val="Должность_пдстр"/>
    <w:basedOn w:val="Normal"/>
    <w:link w:val="Style41"/>
    <w:qFormat/>
    <w:pPr>
      <w:spacing w:lineRule="auto" w:line="240"/>
      <w:ind w:hanging="0" w:end="34"/>
      <w:jc w:val="center"/>
    </w:pPr>
    <w:rPr>
      <w:rFonts w:ascii="Cambria" w:hAnsi="Cambria" w:eastAsia="Arial" w:cs="Cambria" w:asciiTheme="majorHAnsi" w:cstheme="majorHAnsi" w:eastAsiaTheme="minorEastAsia" w:hAnsiTheme="majorHAnsi"/>
      <w:i/>
      <w:sz w:val="22"/>
      <w:szCs w:val="22"/>
      <w:lang w:val="en-US"/>
    </w:rPr>
  </w:style>
  <w:style w:type="numbering" w:styleId="Style51" w:default="1">
    <w:name w:val="Без списка"/>
    <w:uiPriority w:val="99"/>
    <w:semiHidden/>
    <w:unhideWhenUsed/>
    <w:qFormat/>
  </w:style>
  <w:style w:type="table" w:default="1" w:styleId="a6">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6"/>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4">
    <w:name w:val="Plain Table 1"/>
    <w:basedOn w:val="a6"/>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1">
    <w:name w:val="Plain Table 2"/>
    <w:basedOn w:val="a6"/>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2">
    <w:name w:val="Plain Table 3"/>
    <w:basedOn w:val="a6"/>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6"/>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6"/>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6"/>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6"/>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6"/>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6"/>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6"/>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6"/>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6"/>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6"/>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6"/>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6"/>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6"/>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6"/>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6"/>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6"/>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6"/>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6"/>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6"/>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6"/>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6"/>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6"/>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6"/>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6"/>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6"/>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6"/>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6"/>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6"/>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6"/>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6"/>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6"/>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6"/>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rPr>
      <w:tblPr/>
      <w:tcPr>
        <w:tcBorders>
          <w:bottom w:val="single" w:color="A6BFDD" w:themeColor="accent1" w:sz="12" w:space="0"/>
        </w:tcBorders>
      </w:tcPr>
    </w:tblStylePr>
    <w:tblStylePr w:type="lastRow">
      <w:rPr>
        <w:b/>
        <w:color w:val="a6bfdd" w:themeColor="accent1" w:themeTint="80" w:themeShade="95"/>
      </w:rPr>
      <w:tblPr/>
    </w:tblStylePr>
    <w:tblStylePr w:type="firstCol">
      <w:rPr>
        <w:b/>
        <w:color w:val="a6bfdd" w:themeColor="accent1" w:themeTint="80" w:themeShade="95"/>
      </w:rPr>
      <w:tblPr/>
    </w:tblStylePr>
    <w:tblStylePr w:type="lastCol">
      <w:rPr>
        <w:b/>
        <w:color w:val="a6bfdd" w:themeColor="accent1" w:themeTint="80" w:themeShade="95"/>
      </w:rPr>
      <w:tbl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6Colorful-Accent2">
    <w:name w:val="Grid Table 6 Colorful - Accent 2"/>
    <w:basedOn w:val="a6"/>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rPr>
      <w:tblPr/>
      <w:tcPr>
        <w:tcBorders>
          <w:bottom w:val="single" w:color="D99695" w:themeColor="accent2" w:sz="12" w:space="0"/>
        </w:tcBorders>
      </w:tcPr>
    </w:tblStylePr>
    <w:tblStylePr w:type="lastRow">
      <w:rPr>
        <w:b/>
        <w:color w:val="d99695" w:themeColor="accent2" w:themeTint="97" w:themeShade="95"/>
      </w:rPr>
      <w:tbl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6Colorful-Accent3">
    <w:name w:val="Grid Table 6 Colorful - Accent 3"/>
    <w:basedOn w:val="a6"/>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rPr>
      <w:tblPr/>
      <w:tcPr>
        <w:tcBorders>
          <w:bottom w:val="single" w:color="9ABB59" w:themeColor="accent3" w:sz="12" w:space="0"/>
        </w:tcBorders>
      </w:tcPr>
    </w:tblStylePr>
    <w:tblStylePr w:type="lastRow">
      <w:rPr>
        <w:b/>
        <w:color w:val="9abb59" w:themeColor="accent3" w:themeTint="fe" w:themeShade="95"/>
      </w:rPr>
      <w:tblPr/>
    </w:tblStylePr>
    <w:tblStylePr w:type="firstCol">
      <w:rPr>
        <w:b/>
        <w:color w:val="9abb59" w:themeColor="accent3" w:themeTint="fe" w:themeShade="95"/>
      </w:rPr>
      <w:tblPr/>
    </w:tblStylePr>
    <w:tblStylePr w:type="lastCol">
      <w:rPr>
        <w:b/>
        <w:color w:val="9abb59" w:themeColor="accent3" w:themeTint="fe" w:themeShade="95"/>
      </w:rPr>
      <w:tbl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6Colorful-Accent4">
    <w:name w:val="Grid Table 6 Colorful - Accent 4"/>
    <w:basedOn w:val="a6"/>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rPr>
      <w:tblPr/>
      <w:tcPr>
        <w:tcBorders>
          <w:bottom w:val="single" w:color="B2A1C6" w:themeColor="accent4" w:sz="12" w:space="0"/>
        </w:tcBorders>
      </w:tcPr>
    </w:tblStylePr>
    <w:tblStylePr w:type="lastRow">
      <w:rPr>
        <w:b/>
        <w:color w:val="b2a1c6" w:themeColor="accent4" w:themeTint="9a" w:themeShade="95"/>
      </w:rPr>
      <w:tbl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6Colorful-Accent5">
    <w:name w:val="Grid Table 6 Colorful - Accent 5"/>
    <w:basedOn w:val="a6"/>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blPr/>
      <w:tcPr>
        <w:tcBorders>
          <w:bottom w:val="single" w:color="4BACC6" w:themeColor="accent5"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6Colorful-Accent6">
    <w:name w:val="Grid Table 6 Colorful - Accent 6"/>
    <w:basedOn w:val="a6"/>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blPr/>
      <w:tcPr>
        <w:tcBorders>
          <w:bottom w:val="single" w:color="F79646" w:themeColor="accent6"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Pr/>
    </w:tblStylePr>
  </w:style>
  <w:style w:type="table" w:styleId="-7">
    <w:name w:val="Grid Table 7 Colorful"/>
    <w:basedOn w:val="a6"/>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6"/>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sz w:val="22"/>
      </w:rPr>
      <w:tblPr/>
      <w:tcPr>
        <w:tcBorders>
          <w:top w:val="none" w:color="auto" w:sz="0" w:space="0"/>
          <w:left w:val="none" w:color="auto" w:sz="0" w:space="0"/>
          <w:bottom w:val="single" w:color="A6BFDD" w:themeColor="accent1" w:sz="4" w:space="0"/>
          <w:right w:val="none" w:color="auto" w:sz="0" w:space="0"/>
        </w:tcBorders>
        <w:shd w:val="clear" w:color="FFFFFF" w:fill="FFFFFF" w:themeFill="light1"/>
      </w:tcPr>
    </w:tblStylePr>
    <w:tblStylePr w:type="lastRow">
      <w:rPr>
        <w:b/>
        <w:color w:val="a6bfdd" w:themeColor="accent1" w:themeTint="80" w:themeShade="95"/>
        <w:sz w:val="22"/>
      </w:rPr>
      <w:tblPr/>
      <w:tcPr>
        <w:tcBorders>
          <w:top w:val="single" w:color="A6BFD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6bfdd" w:themeColor="accent1" w:themeTint="80" w:themeShade="95"/>
        <w:sz w:val="22"/>
      </w:rPr>
      <w:tblPr/>
      <w:tcPr>
        <w:tcBorders>
          <w:top w:val="none" w:color="auto" w:sz="0" w:space="0"/>
          <w:left w:val="none" w:color="auto" w:sz="0" w:space="0"/>
          <w:bottom w:val="none" w:color="auto" w:sz="0" w:space="0"/>
          <w:right w:val="single" w:color="A6BFDD" w:themeColor="accent1" w:sz="4" w:space="0"/>
        </w:tcBorders>
        <w:shd w:val="clear" w:color="FFFFFF" w:fill="auto"/>
      </w:tcPr>
    </w:tblStylePr>
    <w:tblStylePr w:type="lastCol">
      <w:rPr>
        <w:i/>
        <w:color w:val="a6bfdd" w:themeColor="accent1" w:themeTint="80" w:themeShade="95"/>
        <w:sz w:val="22"/>
      </w:rPr>
      <w:tblPr/>
      <w:tcPr>
        <w:tcBorders>
          <w:top w:val="none" w:color="auto" w:sz="0" w:space="0"/>
          <w:left w:val="single" w:color="A6BFDD" w:themeColor="accent1" w:sz="4" w:space="0"/>
          <w:bottom w:val="none" w:color="auto" w:sz="0" w:space="0"/>
          <w:right w:val="none" w:color="auto" w:sz="0" w:space="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7Colorful-Accent2">
    <w:name w:val="Grid Table 7 Colorful - Accent 2"/>
    <w:basedOn w:val="a6"/>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b/>
        <w:color w:val="d99695"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99695"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val="d99695"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7Colorful-Accent3">
    <w:name w:val="Grid Table 7 Colorful - Accent 3"/>
    <w:basedOn w:val="a6"/>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sz w:val="22"/>
      </w:rPr>
      <w:tblPr/>
      <w:tcPr>
        <w:tcBorders>
          <w:top w:val="none" w:color="auto" w:sz="0" w:space="0"/>
          <w:left w:val="none" w:color="auto" w:sz="0" w:space="0"/>
          <w:bottom w:val="single" w:color="9ABB59" w:themeColor="accent3" w:sz="4" w:space="0"/>
          <w:right w:val="none" w:color="auto" w:sz="0" w:space="0"/>
        </w:tcBorders>
        <w:shd w:val="clear" w:color="FFFFFF" w:fill="FFFFFF" w:themeFill="light1"/>
      </w:tcPr>
    </w:tblStylePr>
    <w:tblStylePr w:type="lastRow">
      <w:rPr>
        <w:b/>
        <w:color w:val="9abb59" w:themeColor="accent3" w:themeTint="fe" w:themeShade="95"/>
        <w:sz w:val="22"/>
      </w:rPr>
      <w:tblPr/>
      <w:tcPr>
        <w:tcBorders>
          <w:top w:val="single" w:color="9A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abb59" w:themeColor="accent3" w:themeTint="fe" w:themeShade="95"/>
        <w:sz w:val="22"/>
      </w:rPr>
      <w:tblPr/>
      <w:tcPr>
        <w:tcBorders>
          <w:top w:val="none" w:color="auto" w:sz="0" w:space="0"/>
          <w:left w:val="none" w:color="auto" w:sz="0" w:space="0"/>
          <w:bottom w:val="none" w:color="auto" w:sz="0" w:space="0"/>
          <w:right w:val="single" w:color="9ABB59" w:themeColor="accent3" w:sz="4" w:space="0"/>
        </w:tcBorders>
        <w:shd w:val="clear" w:color="FFFFFF" w:fill="auto"/>
      </w:tcPr>
    </w:tblStylePr>
    <w:tblStylePr w:type="lastCol">
      <w:rPr>
        <w:i/>
        <w:color w:val="9abb59" w:themeColor="accent3" w:themeTint="fe" w:themeShade="95"/>
        <w:sz w:val="22"/>
      </w:rPr>
      <w:tblPr/>
      <w:tcPr>
        <w:tcBorders>
          <w:top w:val="none" w:color="auto" w:sz="0" w:space="0"/>
          <w:left w:val="single" w:color="9ABB59" w:themeColor="accent3" w:sz="4" w:space="0"/>
          <w:bottom w:val="none" w:color="auto" w:sz="0" w:space="0"/>
          <w:right w:val="none" w:color="auto" w:sz="0" w:space="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7Colorful-Accent4">
    <w:name w:val="Grid Table 7 Colorful - Accent 4"/>
    <w:basedOn w:val="a6"/>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b/>
        <w:color w:val="b2a1c6"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2a1c6"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val="b2a1c6"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7Colorful-Accent5">
    <w:name w:val="Grid Table 7 Colorful - Accent 5"/>
    <w:basedOn w:val="a6"/>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val="266779" w:themeColor="accent5" w:themeShade="95"/>
        <w:sz w:val="22"/>
      </w:rPr>
      <w:tblPr/>
      <w:tcPr>
        <w:tcBorders>
          <w:top w:val="none" w:color="auto" w:sz="0" w:space="0"/>
          <w:left w:val="none" w:color="auto" w:sz="0" w:space="0"/>
          <w:bottom w:val="single" w:color="99D0DE" w:themeColor="accent5" w:sz="4" w:space="0"/>
          <w:right w:val="none" w:color="auto" w:sz="0" w:space="0"/>
        </w:tcBorders>
        <w:shd w:val="clear" w:color="FFFFFF" w:fill="FFFFFF" w:themeFill="light1"/>
      </w:tcPr>
    </w:tblStylePr>
    <w:tblStylePr w:type="lastRow">
      <w:rPr>
        <w:b/>
        <w:color w:val="266779" w:themeColor="accent5" w:themeShade="95"/>
        <w:sz w:val="22"/>
      </w:rPr>
      <w:tblPr/>
      <w:tcPr>
        <w:tcBorders>
          <w:top w:val="single" w:color="99D0DE"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66779" w:themeColor="accent5" w:themeShade="95"/>
        <w:sz w:val="22"/>
      </w:rPr>
      <w:tblPr/>
      <w:tcPr>
        <w:tcBorders>
          <w:top w:val="none" w:color="auto" w:sz="0" w:space="0"/>
          <w:left w:val="none" w:color="auto" w:sz="0" w:space="0"/>
          <w:bottom w:val="none" w:color="auto" w:sz="0" w:space="0"/>
          <w:right w:val="single" w:color="99D0DE" w:themeColor="accent5" w:sz="4" w:space="0"/>
        </w:tcBorders>
        <w:shd w:val="clear" w:color="FFFFFF" w:fill="auto"/>
      </w:tcPr>
    </w:tblStylePr>
    <w:tblStylePr w:type="lastCol">
      <w:rPr>
        <w:i/>
        <w:color w:val="266779" w:themeColor="accent5" w:themeShade="95"/>
        <w:sz w:val="22"/>
      </w:rPr>
      <w:tblPr/>
      <w:tcPr>
        <w:tcBorders>
          <w:top w:val="none" w:color="auto" w:sz="0" w:space="0"/>
          <w:left w:val="single" w:color="99D0DE" w:themeColor="accent5" w:sz="4" w:space="0"/>
          <w:bottom w:val="none" w:color="auto" w:sz="0" w:space="0"/>
          <w:right w:val="none" w:color="auto" w:sz="0" w:space="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7Colorful-Accent6">
    <w:name w:val="Grid Table 7 Colorful - Accent 6"/>
    <w:basedOn w:val="a6"/>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val="b15407" w:themeColor="accent6" w:themeShade="95"/>
        <w:sz w:val="22"/>
      </w:rPr>
      <w:tblPr/>
      <w:tcPr>
        <w:tcBorders>
          <w:top w:val="none" w:color="auto" w:sz="0" w:space="0"/>
          <w:left w:val="none" w:color="auto" w:sz="0" w:space="0"/>
          <w:bottom w:val="single" w:color="FAC396" w:themeColor="accent6" w:sz="4" w:space="0"/>
          <w:right w:val="none" w:color="auto" w:sz="0" w:space="0"/>
        </w:tcBorders>
        <w:shd w:val="clear" w:color="FFFFFF" w:fill="FFFFFF" w:themeFill="light1"/>
      </w:tcPr>
    </w:tblStylePr>
    <w:tblStylePr w:type="lastRow">
      <w:rPr>
        <w:b/>
        <w:color w:val="b15407" w:themeColor="accent6" w:themeShade="95"/>
        <w:sz w:val="22"/>
      </w:rPr>
      <w:tblPr/>
      <w:tcPr>
        <w:tcBorders>
          <w:top w:val="single" w:color="FAC39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15407" w:themeColor="accent6" w:themeShade="95"/>
        <w:sz w:val="22"/>
      </w:rPr>
      <w:tblPr/>
      <w:tcPr>
        <w:tcBorders>
          <w:top w:val="none" w:color="auto" w:sz="0" w:space="0"/>
          <w:left w:val="none" w:color="auto" w:sz="0" w:space="0"/>
          <w:bottom w:val="none" w:color="auto" w:sz="0" w:space="0"/>
          <w:right w:val="single" w:color="FAC396" w:themeColor="accent6" w:sz="4" w:space="0"/>
        </w:tcBorders>
        <w:shd w:val="clear" w:color="FFFFFF" w:fill="auto"/>
      </w:tcPr>
    </w:tblStylePr>
    <w:tblStylePr w:type="lastCol">
      <w:rPr>
        <w:i/>
        <w:color w:val="b15407" w:themeColor="accent6" w:themeShade="95"/>
        <w:sz w:val="22"/>
      </w:rPr>
      <w:tblPr/>
      <w:tcPr>
        <w:tcBorders>
          <w:top w:val="none" w:color="auto" w:sz="0" w:space="0"/>
          <w:left w:val="single" w:color="FAC396" w:themeColor="accent6" w:sz="4" w:space="0"/>
          <w:bottom w:val="none" w:color="auto" w:sz="0" w:space="0"/>
          <w:right w:val="none" w:color="auto" w:sz="0" w:space="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Pr/>
    </w:tblStylePr>
  </w:style>
  <w:style w:type="table" w:styleId="-10">
    <w:name w:val="List Table 1 Light"/>
    <w:basedOn w:val="a6"/>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6"/>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6"/>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6"/>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6"/>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6"/>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6"/>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6"/>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6"/>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6"/>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6"/>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6"/>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6"/>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6"/>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6"/>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6"/>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6"/>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6"/>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6"/>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6"/>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6"/>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6"/>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6"/>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6"/>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6"/>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6"/>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6"/>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6"/>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6"/>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6"/>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val="ffffff"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val="ffffff" w:themeColor="light1"/>
        <w:sz w:val="22"/>
      </w:rPr>
      <w:tblPr/>
    </w:tblStylePr>
    <w:tblStylePr w:type="firstCol">
      <w:rPr>
        <w:b/>
        <w:color w:val="ffffff"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6"/>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val="ffffff"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6"/>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val="ffffff"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6"/>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val="ffffff"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6"/>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val="ffffff"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6"/>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val="ffffff"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6"/>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6"/>
    <w:uiPriority w:val="99"/>
    <w:tblPr>
      <w:tblStyleRowBandSize w:val="1"/>
      <w:tblStyleColBandSize w:val="1"/>
      <w:tblBorders>
        <w:top w:val="single" w:color="4F81BD" w:themeColor="accent1" w:sz="4" w:space="0"/>
        <w:bottom w:val="single" w:color="4F81BD" w:themeColor="accent1" w:sz="4" w:space="0"/>
      </w:tblBorders>
    </w:tblPr>
    <w:tblStylePr w:type="firstRow">
      <w:rPr>
        <w:b/>
        <w:color w:val="2a4a71" w:themeColor="accent1" w:themeShade="95"/>
      </w:rPr>
      <w:tblPr/>
      <w:tcPr>
        <w:tcBorders>
          <w:bottom w:val="single" w:color="4F81BD" w:themeColor="accent1" w:sz="4" w:space="0"/>
        </w:tcBorders>
      </w:tcPr>
    </w:tblStylePr>
    <w:tblStylePr w:type="lastRow">
      <w:rPr>
        <w:b/>
        <w:color w:val="2a4a71" w:themeColor="accent1" w:themeShade="95"/>
      </w:rPr>
      <w:tblPr/>
      <w:tcPr>
        <w:tcBorders>
          <w:top w:val="single" w:color="4F81BD" w:themeColor="accent1" w:sz="4" w:space="0"/>
        </w:tcBorders>
      </w:tcPr>
    </w:tblStylePr>
    <w:tblStylePr w:type="firstCol">
      <w:rPr>
        <w:b/>
        <w:color w:val="2a4a71" w:themeColor="accent1" w:themeShade="95"/>
      </w:rPr>
      <w:tblPr/>
    </w:tblStylePr>
    <w:tblStylePr w:type="lastCol">
      <w:rPr>
        <w:b/>
        <w:color w:val="2a4a71" w:themeColor="accent1" w:themeShade="95"/>
      </w:rPr>
      <w:tbl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6Colorful-Accent2">
    <w:name w:val="List Table 6 Colorful - Accent 2"/>
    <w:basedOn w:val="a6"/>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val="d99695" w:themeColor="accent2" w:themeTint="97" w:themeShade="95"/>
      </w:rPr>
      <w:tblPr/>
      <w:tcPr>
        <w:tcBorders>
          <w:bottom w:val="single" w:color="D99695" w:themeColor="accent2" w:sz="4" w:space="0"/>
        </w:tcBorders>
      </w:tcPr>
    </w:tblStylePr>
    <w:tblStylePr w:type="lastRow">
      <w:rPr>
        <w:b/>
        <w:color w:val="d99695" w:themeColor="accent2" w:themeTint="97" w:themeShade="95"/>
      </w:rPr>
      <w:tblPr/>
      <w:tcPr>
        <w:tcBorders>
          <w:top w:val="single" w:color="D99695" w:themeColor="accent2" w:sz="4" w:space="0"/>
        </w:tcBorders>
      </w:tc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6Colorful-Accent3">
    <w:name w:val="List Table 6 Colorful - Accent 3"/>
    <w:basedOn w:val="a6"/>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val="c3d69b" w:themeColor="accent3" w:themeTint="98" w:themeShade="95"/>
      </w:rPr>
      <w:tblPr/>
      <w:tcPr>
        <w:tcBorders>
          <w:bottom w:val="single" w:color="C3D69B" w:themeColor="accent3" w:sz="4" w:space="0"/>
        </w:tcBorders>
      </w:tcPr>
    </w:tblStylePr>
    <w:tblStylePr w:type="lastRow">
      <w:rPr>
        <w:b/>
        <w:color w:val="c3d69b" w:themeColor="accent3" w:themeTint="98" w:themeShade="95"/>
      </w:rPr>
      <w:tblPr/>
      <w:tcPr>
        <w:tcBorders>
          <w:top w:val="single" w:color="C3D69B" w:themeColor="accent3" w:sz="4" w:space="0"/>
        </w:tcBorders>
      </w:tcPr>
    </w:tblStylePr>
    <w:tblStylePr w:type="firstCol">
      <w:rPr>
        <w:b/>
        <w:color w:val="c3d69b" w:themeColor="accent3" w:themeTint="98" w:themeShade="95"/>
      </w:rPr>
      <w:tblPr/>
    </w:tblStylePr>
    <w:tblStylePr w:type="lastCol">
      <w:rPr>
        <w:b/>
        <w:color w:val="c3d69b" w:themeColor="accent3" w:themeTint="98" w:themeShade="95"/>
      </w:rPr>
      <w:tbl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6Colorful-Accent4">
    <w:name w:val="List Table 6 Colorful - Accent 4"/>
    <w:basedOn w:val="a6"/>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val="b2a1c6" w:themeColor="accent4" w:themeTint="9a" w:themeShade="95"/>
      </w:rPr>
      <w:tblPr/>
      <w:tcPr>
        <w:tcBorders>
          <w:bottom w:val="single" w:color="B2A1C6" w:themeColor="accent4" w:sz="4" w:space="0"/>
        </w:tcBorders>
      </w:tcPr>
    </w:tblStylePr>
    <w:tblStylePr w:type="lastRow">
      <w:rPr>
        <w:b/>
        <w:color w:val="b2a1c6" w:themeColor="accent4" w:themeTint="9a" w:themeShade="95"/>
      </w:rPr>
      <w:tblPr/>
      <w:tcPr>
        <w:tcBorders>
          <w:top w:val="single" w:color="B2A1C6" w:themeColor="accent4" w:sz="4" w:space="0"/>
        </w:tcBorders>
      </w:tc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6Colorful-Accent5">
    <w:name w:val="List Table 6 Colorful - Accent 5"/>
    <w:basedOn w:val="a6"/>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val="92ccdc" w:themeColor="accent5" w:themeTint="9a" w:themeShade="95"/>
      </w:rPr>
      <w:tblPr/>
      <w:tcPr>
        <w:tcBorders>
          <w:bottom w:val="single" w:color="92CCDC" w:themeColor="accent5" w:sz="4" w:space="0"/>
        </w:tcBorders>
      </w:tcPr>
    </w:tblStylePr>
    <w:tblStylePr w:type="lastRow">
      <w:rPr>
        <w:b/>
        <w:color w:val="92ccdc" w:themeColor="accent5" w:themeTint="9a" w:themeShade="95"/>
      </w:rPr>
      <w:tblPr/>
      <w:tcPr>
        <w:tcBorders>
          <w:top w:val="single" w:color="92CCDC" w:themeColor="accent5" w:sz="4" w:space="0"/>
        </w:tcBorders>
      </w:tcPr>
    </w:tblStylePr>
    <w:tblStylePr w:type="firstCol">
      <w:rPr>
        <w:b/>
        <w:color w:val="92ccdc" w:themeColor="accent5" w:themeTint="9a" w:themeShade="95"/>
      </w:rPr>
      <w:tblPr/>
    </w:tblStylePr>
    <w:tblStylePr w:type="lastCol">
      <w:rPr>
        <w:b/>
        <w:color w:val="92ccdc" w:themeColor="accent5" w:themeTint="9a" w:themeShade="95"/>
      </w:rPr>
      <w:tbl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6Colorful-Accent6">
    <w:name w:val="List Table 6 Colorful - Accent 6"/>
    <w:basedOn w:val="a6"/>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val="fac090" w:themeColor="accent6" w:themeTint="98" w:themeShade="95"/>
      </w:rPr>
      <w:tblPr/>
      <w:tcPr>
        <w:tcBorders>
          <w:bottom w:val="single" w:color="FAC090" w:themeColor="accent6" w:sz="4" w:space="0"/>
        </w:tcBorders>
      </w:tcPr>
    </w:tblStylePr>
    <w:tblStylePr w:type="lastRow">
      <w:rPr>
        <w:b/>
        <w:color w:val="fac090" w:themeColor="accent6" w:themeTint="98" w:themeShade="95"/>
      </w:rPr>
      <w:tblPr/>
      <w:tcPr>
        <w:tcBorders>
          <w:top w:val="single" w:color="FAC090" w:themeColor="accent6" w:sz="4" w:space="0"/>
        </w:tcBorders>
      </w:tcPr>
    </w:tblStylePr>
    <w:tblStylePr w:type="firstCol">
      <w:rPr>
        <w:b/>
        <w:color w:val="fac090" w:themeColor="accent6" w:themeTint="98" w:themeShade="95"/>
      </w:rPr>
      <w:tblPr/>
    </w:tblStylePr>
    <w:tblStylePr w:type="lastCol">
      <w:rPr>
        <w:b/>
        <w:color w:val="fac090" w:themeColor="accent6" w:themeTint="98" w:themeShade="95"/>
      </w:rPr>
      <w:tbl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styleId="-70">
    <w:name w:val="List Table 7 Colorful"/>
    <w:basedOn w:val="a6"/>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6"/>
    <w:uiPriority w:val="99"/>
    <w:tblPr>
      <w:tblStyleRowBandSize w:val="1"/>
      <w:tblStyleColBandSize w:val="1"/>
      <w:tblBorders>
        <w:right w:val="single" w:color="4F81BD" w:themeColor="accent1" w:sz="4" w:space="0"/>
      </w:tblBorders>
    </w:tblPr>
    <w:tblStylePr w:type="firstRow">
      <w:rPr>
        <w:i/>
        <w:color w:val="2a4a71"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val="2a4a71"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a4a71"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val="2a4a71"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7Colorful-Accent2">
    <w:name w:val="List Table 7 Colorful - Accent 2"/>
    <w:basedOn w:val="a6"/>
    <w:uiPriority w:val="99"/>
    <w:tblPr>
      <w:tblStyleRowBandSize w:val="1"/>
      <w:tblStyleColBandSize w:val="1"/>
      <w:tblBorders>
        <w:right w:val="single" w:color="D99695" w:themeColor="accent2" w:themeTint="97" w:sz="4" w:space="0"/>
      </w:tblBorders>
    </w:tblPr>
    <w:tblStylePr w:type="firstRow">
      <w:rPr>
        <w:i/>
        <w:color w:val="d99695"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i/>
        <w:color w:val="d99695"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99695"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val="d99695"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7Colorful-Accent3">
    <w:name w:val="List Table 7 Colorful - Accent 3"/>
    <w:basedOn w:val="a6"/>
    <w:uiPriority w:val="99"/>
    <w:tblPr>
      <w:tblStyleRowBandSize w:val="1"/>
      <w:tblStyleColBandSize w:val="1"/>
      <w:tblBorders>
        <w:right w:val="single" w:color="C3D69B" w:themeColor="accent3" w:themeTint="98" w:sz="4" w:space="0"/>
      </w:tblBorders>
    </w:tblPr>
    <w:tblStylePr w:type="firstRow">
      <w:rPr>
        <w:i/>
        <w:color w:val="c3d69b" w:themeColor="accent3" w:themeTint="98" w:themeShade="95"/>
        <w:sz w:val="22"/>
      </w:rPr>
      <w:tblPr/>
      <w:tcPr>
        <w:tcBorders>
          <w:top w:val="none" w:color="auto" w:sz="0" w:space="0"/>
          <w:left w:val="none" w:color="auto" w:sz="0" w:space="0"/>
          <w:bottom w:val="single" w:color="C3D69B" w:themeColor="accent3" w:sz="4" w:space="0"/>
          <w:right w:val="none" w:color="auto" w:sz="0" w:space="0"/>
        </w:tcBorders>
        <w:shd w:val="clear" w:color="FFFFFF" w:fill="FFFFFF" w:themeFill="light1"/>
      </w:tcPr>
    </w:tblStylePr>
    <w:tblStylePr w:type="lastRow">
      <w:rPr>
        <w:i/>
        <w:color w:val="c3d69b" w:themeColor="accent3" w:themeTint="98" w:themeShade="95"/>
        <w:sz w:val="22"/>
      </w:rPr>
      <w:tblPr/>
      <w:tcPr>
        <w:tcBorders>
          <w:top w:val="single" w:color="C3D69B"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3d69b" w:themeColor="accent3" w:themeTint="98" w:themeShade="95"/>
        <w:sz w:val="22"/>
      </w:rPr>
      <w:tblPr/>
      <w:tcPr>
        <w:tcBorders>
          <w:top w:val="none" w:color="auto" w:sz="0" w:space="0"/>
          <w:left w:val="none" w:color="auto" w:sz="0" w:space="0"/>
          <w:bottom w:val="none" w:color="auto" w:sz="0" w:space="0"/>
          <w:right w:val="single" w:color="C3D69B" w:themeColor="accent3" w:sz="4" w:space="0"/>
        </w:tcBorders>
        <w:shd w:val="clear" w:color="FFFFFF" w:fill="auto"/>
      </w:tcPr>
    </w:tblStylePr>
    <w:tblStylePr w:type="lastCol">
      <w:rPr>
        <w:i/>
        <w:color w:val="c3d69b" w:themeColor="accent3" w:themeTint="98" w:themeShade="95"/>
        <w:sz w:val="22"/>
      </w:rPr>
      <w:tblPr/>
      <w:tcPr>
        <w:tcBorders>
          <w:top w:val="none" w:color="auto" w:sz="0" w:space="0"/>
          <w:left w:val="single" w:color="C3D69B" w:themeColor="accent3" w:sz="4" w:space="0"/>
          <w:bottom w:val="none" w:color="auto" w:sz="0" w:space="0"/>
          <w:right w:val="none" w:color="auto" w:sz="0" w:space="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7Colorful-Accent4">
    <w:name w:val="List Table 7 Colorful - Accent 4"/>
    <w:basedOn w:val="a6"/>
    <w:uiPriority w:val="99"/>
    <w:tblPr>
      <w:tblStyleRowBandSize w:val="1"/>
      <w:tblStyleColBandSize w:val="1"/>
      <w:tblBorders>
        <w:right w:val="single" w:color="B2A1C6" w:themeColor="accent4" w:themeTint="9a" w:sz="4" w:space="0"/>
      </w:tblBorders>
    </w:tblPr>
    <w:tblStylePr w:type="firstRow">
      <w:rPr>
        <w:i/>
        <w:color w:val="b2a1c6"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i/>
        <w:color w:val="b2a1c6"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2a1c6"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val="b2a1c6"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7Colorful-Accent5">
    <w:name w:val="List Table 7 Colorful - Accent 5"/>
    <w:basedOn w:val="a6"/>
    <w:uiPriority w:val="99"/>
    <w:tblPr>
      <w:tblStyleRowBandSize w:val="1"/>
      <w:tblStyleColBandSize w:val="1"/>
      <w:tblBorders>
        <w:right w:val="single" w:color="92CCDC" w:themeColor="accent5" w:themeTint="9a" w:sz="4" w:space="0"/>
      </w:tblBorders>
    </w:tblPr>
    <w:tblStylePr w:type="firstRow">
      <w:rPr>
        <w:i/>
        <w:color w:val="92ccdc" w:themeColor="accent5" w:themeTint="9a" w:themeShade="95"/>
        <w:sz w:val="22"/>
      </w:rPr>
      <w:tblPr/>
      <w:tcPr>
        <w:tcBorders>
          <w:top w:val="none" w:color="auto" w:sz="0" w:space="0"/>
          <w:left w:val="none" w:color="auto" w:sz="0" w:space="0"/>
          <w:bottom w:val="single" w:color="92CCDC" w:themeColor="accent5" w:sz="4" w:space="0"/>
          <w:right w:val="none" w:color="auto" w:sz="0" w:space="0"/>
        </w:tcBorders>
        <w:shd w:val="clear" w:color="FFFFFF" w:fill="FFFFFF" w:themeFill="light1"/>
      </w:tcPr>
    </w:tblStylePr>
    <w:tblStylePr w:type="lastRow">
      <w:rPr>
        <w:i/>
        <w:color w:val="92ccdc" w:themeColor="accent5" w:themeTint="9a" w:themeShade="95"/>
        <w:sz w:val="22"/>
      </w:rPr>
      <w:tblPr/>
      <w:tcPr>
        <w:tcBorders>
          <w:top w:val="single" w:color="92CCDC"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2ccdc" w:themeColor="accent5" w:themeTint="9a" w:themeShade="95"/>
        <w:sz w:val="22"/>
      </w:rPr>
      <w:tblPr/>
      <w:tcPr>
        <w:tcBorders>
          <w:top w:val="none" w:color="auto" w:sz="0" w:space="0"/>
          <w:left w:val="none" w:color="auto" w:sz="0" w:space="0"/>
          <w:bottom w:val="none" w:color="auto" w:sz="0" w:space="0"/>
          <w:right w:val="single" w:color="92CCDC" w:themeColor="accent5" w:sz="4" w:space="0"/>
        </w:tcBorders>
        <w:shd w:val="clear" w:color="FFFFFF" w:fill="auto"/>
      </w:tcPr>
    </w:tblStylePr>
    <w:tblStylePr w:type="lastCol">
      <w:rPr>
        <w:i/>
        <w:color w:val="92ccdc" w:themeColor="accent5" w:themeTint="9a" w:themeShade="95"/>
        <w:sz w:val="22"/>
      </w:rPr>
      <w:tblPr/>
      <w:tcPr>
        <w:tcBorders>
          <w:top w:val="none" w:color="auto" w:sz="0" w:space="0"/>
          <w:left w:val="single" w:color="92CCDC" w:themeColor="accent5" w:sz="4" w:space="0"/>
          <w:bottom w:val="none" w:color="auto" w:sz="0" w:space="0"/>
          <w:right w:val="none" w:color="auto" w:sz="0" w:space="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7Colorful-Accent6">
    <w:name w:val="List Table 7 Colorful - Accent 6"/>
    <w:basedOn w:val="a6"/>
    <w:uiPriority w:val="99"/>
    <w:tblPr>
      <w:tblStyleRowBandSize w:val="1"/>
      <w:tblStyleColBandSize w:val="1"/>
      <w:tblBorders>
        <w:right w:val="single" w:color="FAC090" w:themeColor="accent6" w:themeTint="98" w:sz="4" w:space="0"/>
      </w:tblBorders>
    </w:tblPr>
    <w:tblStylePr w:type="firstRow">
      <w:rPr>
        <w:i/>
        <w:color w:val="fac090" w:themeColor="accent6" w:themeTint="98" w:themeShade="95"/>
        <w:sz w:val="22"/>
      </w:rPr>
      <w:tblPr/>
      <w:tcPr>
        <w:tcBorders>
          <w:top w:val="none" w:color="auto" w:sz="0" w:space="0"/>
          <w:left w:val="none" w:color="auto" w:sz="0" w:space="0"/>
          <w:bottom w:val="single" w:color="FAC090" w:themeColor="accent6" w:sz="4" w:space="0"/>
          <w:right w:val="none" w:color="auto" w:sz="0" w:space="0"/>
        </w:tcBorders>
        <w:shd w:val="clear" w:color="FFFFFF" w:fill="FFFFFF" w:themeFill="light1"/>
      </w:tcPr>
    </w:tblStylePr>
    <w:tblStylePr w:type="lastRow">
      <w:rPr>
        <w:i/>
        <w:color w:val="fac090" w:themeColor="accent6" w:themeTint="98" w:themeShade="95"/>
        <w:sz w:val="22"/>
      </w:rPr>
      <w:tblPr/>
      <w:tcPr>
        <w:tcBorders>
          <w:top w:val="single" w:color="FAC090"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ac090" w:themeColor="accent6" w:themeTint="98" w:themeShade="95"/>
        <w:sz w:val="22"/>
      </w:rPr>
      <w:tblPr/>
      <w:tcPr>
        <w:tcBorders>
          <w:top w:val="none" w:color="auto" w:sz="0" w:space="0"/>
          <w:left w:val="none" w:color="auto" w:sz="0" w:space="0"/>
          <w:bottom w:val="none" w:color="auto" w:sz="0" w:space="0"/>
          <w:right w:val="single" w:color="FAC090" w:themeColor="accent6" w:sz="4" w:space="0"/>
        </w:tcBorders>
        <w:shd w:val="clear" w:color="FFFFFF" w:fill="auto"/>
      </w:tcPr>
    </w:tblStylePr>
    <w:tblStylePr w:type="lastCol">
      <w:rPr>
        <w:i/>
        <w:color w:val="fac090" w:themeColor="accent6" w:themeTint="98" w:themeShade="95"/>
        <w:sz w:val="22"/>
      </w:rPr>
      <w:tblPr/>
      <w:tcPr>
        <w:tcBorders>
          <w:top w:val="none" w:color="auto" w:sz="0" w:space="0"/>
          <w:left w:val="single" w:color="FAC090" w:themeColor="accent6" w:sz="4" w:space="0"/>
          <w:bottom w:val="none" w:color="auto" w:sz="0" w:space="0"/>
          <w:right w:val="none" w:color="auto" w:sz="0" w:space="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Lined-Accent">
    <w:name w:val="Lined - Accent"/>
    <w:basedOn w:val="a6"/>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6"/>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6"/>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6"/>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6"/>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6"/>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6"/>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6"/>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6"/>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6"/>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6"/>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6"/>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6"/>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6"/>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6"/>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6"/>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6"/>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6"/>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6"/>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6"/>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6"/>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affff9">
    <w:name w:val="Table Grid"/>
    <w:basedOn w:val="a6"/>
    <w:uiPriority w:val="39"/>
    <w:pPr>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1">
    <w:name w:val="Light Shading Accent 2"/>
    <w:basedOn w:val="a6"/>
    <w:rPr>
      <w:rFonts w:asciiTheme="minorHAnsi" w:hAnsiTheme="minorHAnsi"/>
      <w:color w:val="943634" w:themeColor="accent2" w:themeShade="bf"/>
      <w:sz w:val="22"/>
    </w:rPr>
    <w:tblPr>
      <w:tblBorders>
        <w:top w:val="single" w:color="C0504D" w:themeColor="accent2" w:sz="8" w:space="0"/>
        <w:bottom w:val="single" w:color="C0504D" w:themeColor="accent2" w:sz="8" w:space="0"/>
      </w:tblBorders>
    </w:tblPr>
  </w:style>
  <w:style w:type="table" w:customStyle="1" w:styleId="1ff2">
    <w:name w:val="Сетка таблицы светлая1"/>
    <w:basedOn w:val="a6"/>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customStyle="1" w:styleId="46">
    <w:name w:val="Сетка таблицы4"/>
    <w:basedOn w:val="a6"/>
    <w:uiPriority w:val="59"/>
    <w:rPr>
      <w:rFonts w:asciiTheme="minorHAnsi" w:hAnsiTheme="minorHAnsi" w:eastAsiaTheme="minorHAnsi" w:cstheme="minorBid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LibreOffice/25.8.7.3$Linux_X86_64 LibreOffice_project/30742500f2d3eb4366ac312fa33d3dcabdb3eba5</Application>
  <AppVersion>15.0000</AppVersion>
  <Pages>7</Pages>
  <Words>3206</Words>
  <Characters>23340</Characters>
  <CharactersWithSpaces>26141</CharactersWithSpaces>
  <Paragraphs>323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2026-09-15T13:28:00Z</dcterms:created>
  <dc:creator/>
  <dc:description/>
  <dc:language>ru-RU</dc:language>
  <cp:lastModifiedBy/>
  <dcterms:modified xsi:type="dcterms:W3CDTF">2026-09-17T09:24:28Z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