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widowControl/>
        <w:spacing w:before="0" w:after="120"/>
        <w:ind w:hanging="0" w:start="0" w:end="-226"/>
        <w:jc w:val="end"/>
        <w:rPr>
          <w:sz w:val="24"/>
        </w:rPr>
      </w:pPr>
      <w:r>
        <w:rPr>
          <w:sz w:val="24"/>
        </w:rPr>
      </w:r>
    </w:p>
    <w:p>
      <w:pPr>
        <w:pStyle w:val="Heading1"/>
        <w:widowControl/>
        <w:spacing w:before="0" w:after="120"/>
        <w:ind w:hanging="0" w:start="0" w:end="-226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Техническое задание</w:t>
      </w:r>
    </w:p>
    <w:p>
      <w:pPr>
        <w:pStyle w:val="Normal"/>
        <w:widowControl/>
        <w:spacing w:lineRule="auto" w:line="240" w:before="0" w:after="0"/>
        <w:ind w:hanging="0" w:start="0" w:end="-227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</w:rPr>
        <w:t>на поставку комплектов обновления аппаратных криптошлюзов, оказание услуг установке и настройке</w:t>
      </w:r>
    </w:p>
    <w:tbl>
      <w:tblPr>
        <w:tblW w:w="10843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67"/>
        <w:gridCol w:w="3118"/>
        <w:gridCol w:w="3828"/>
        <w:gridCol w:w="1625"/>
        <w:gridCol w:w="758"/>
        <w:gridCol w:w="947"/>
      </w:tblGrid>
      <w:tr>
        <w:trPr/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10308" w:leader="none"/>
              </w:tabs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№ </w:t>
            </w:r>
            <w:r>
              <w:rPr>
                <w:rFonts w:ascii="Times New Roman" w:hAnsi="Times New Roman"/>
                <w:sz w:val="20"/>
              </w:rPr>
              <w:t>п/п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10308" w:leader="none"/>
              </w:tabs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Наименование закупаемых товаров, услуг, работ, входящих в объект закупки</w:t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10308" w:leader="none"/>
              </w:tabs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Требования, установленные к функциональным, техническим характеристикам закупаемых товаров, услуг, работ, входящих в объект закупки</w:t>
            </w:r>
          </w:p>
        </w:tc>
        <w:tc>
          <w:tcPr>
            <w:tcW w:w="16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10308" w:leader="none"/>
              </w:tabs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Требования, установленные к качественным характеристикам закупаемых товаров, услуг, работ, входящих в объект закупки</w:t>
            </w:r>
          </w:p>
        </w:tc>
        <w:tc>
          <w:tcPr>
            <w:tcW w:w="7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10308" w:leader="none"/>
              </w:tabs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Ед. изм.</w:t>
            </w:r>
          </w:p>
        </w:tc>
        <w:tc>
          <w:tcPr>
            <w:tcW w:w="9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10308" w:leader="none"/>
              </w:tabs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Необходимый объем, количество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10308" w:leader="none"/>
              </w:tabs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10308" w:leader="none"/>
              </w:tabs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10308" w:leader="none"/>
              </w:tabs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6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10308" w:leader="none"/>
              </w:tabs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7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10308" w:leader="none"/>
              </w:tabs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9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10308" w:leader="none"/>
              </w:tabs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0"/>
              </w:numPr>
              <w:tabs>
                <w:tab w:val="clear" w:pos="720"/>
                <w:tab w:val="left" w:pos="10308" w:leader="none"/>
              </w:tabs>
              <w:spacing w:lineRule="auto" w:line="240" w:before="0" w:after="0"/>
              <w:ind w:hanging="0" w:start="17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10308" w:leader="none"/>
              </w:tabs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Комплект обновления ПАК ViPNet Coordinator HW 5 Исполнение HW100 (Base, АП HW100 Q1/Q2) включая платформу (upgrade hw100) </w:t>
            </w:r>
            <w:r>
              <w:rPr>
                <w:rFonts w:ascii="Times New Roman" w:hAnsi="Times New Roman"/>
                <w:sz w:val="20"/>
                <w:vertAlign w:val="superscript"/>
              </w:rPr>
              <w:t>*</w:t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10308" w:leader="none"/>
              </w:tabs>
              <w:spacing w:lineRule="auto" w:line="240" w:before="0" w:after="0"/>
              <w:ind w:hanging="0" w:start="890" w:end="88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В соответствии с Приложением № 1 к техническому заданию</w:t>
            </w:r>
          </w:p>
        </w:tc>
        <w:tc>
          <w:tcPr>
            <w:tcW w:w="16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10308" w:leader="none"/>
              </w:tabs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В соответствии с Приложением № 1 к техническому заданию</w:t>
            </w:r>
          </w:p>
        </w:tc>
        <w:tc>
          <w:tcPr>
            <w:tcW w:w="7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10308" w:leader="none"/>
              </w:tabs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139</w:t>
            </w:r>
          </w:p>
        </w:tc>
        <w:tc>
          <w:tcPr>
            <w:tcW w:w="9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10308" w:leader="none"/>
              </w:tabs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Штука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0"/>
              </w:numPr>
              <w:tabs>
                <w:tab w:val="clear" w:pos="720"/>
                <w:tab w:val="left" w:pos="10308" w:leader="none"/>
              </w:tabs>
              <w:spacing w:lineRule="auto" w:line="240" w:before="0" w:after="0"/>
              <w:ind w:hanging="0" w:start="17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10308" w:leader="none"/>
              </w:tabs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Услуги по установке и настройке комплектов обновления аппаратных криптошлюзов</w:t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10308" w:leader="none"/>
              </w:tabs>
              <w:spacing w:lineRule="auto" w:line="240" w:before="0" w:after="0"/>
              <w:ind w:hanging="0" w:start="890" w:end="88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В соответствии с Приложением № 1 и Приложением № 2 к техническому заданию </w:t>
            </w:r>
          </w:p>
        </w:tc>
        <w:tc>
          <w:tcPr>
            <w:tcW w:w="16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10308" w:leader="none"/>
              </w:tabs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В соответствии с Приложением № 1 и Приложением № 2 к техническому заданию</w:t>
            </w:r>
          </w:p>
        </w:tc>
        <w:tc>
          <w:tcPr>
            <w:tcW w:w="7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10308" w:leader="none"/>
              </w:tabs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9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10308" w:leader="none"/>
              </w:tabs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Условная единица</w:t>
            </w:r>
          </w:p>
        </w:tc>
      </w:tr>
    </w:tbl>
    <w:p>
      <w:pPr>
        <w:pStyle w:val="Endnote1"/>
        <w:widowControl/>
        <w:spacing w:lineRule="auto" w:line="240" w:before="120" w:after="0"/>
        <w:ind w:hanging="0" w:start="0" w:end="-175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/>
        <w:spacing w:lineRule="auto" w:line="240"/>
        <w:ind w:firstLine="14" w:start="-14" w:end="-121"/>
        <w:rPr>
          <w:rFonts w:ascii="Times New Roman" w:hAnsi="Times New Roman"/>
        </w:rPr>
      </w:pPr>
      <w:r>
        <w:rPr>
          <w:rFonts w:ascii="Times New Roman" w:hAnsi="Times New Roman"/>
          <w:sz w:val="20"/>
          <w:vertAlign w:val="superscript"/>
        </w:rPr>
        <w:t>**</w:t>
      </w:r>
      <w:r>
        <w:rPr>
          <w:rFonts w:ascii="Times New Roman" w:hAnsi="Times New Roman"/>
          <w:sz w:val="20"/>
        </w:rPr>
        <w:t>В целях необходимости обеспечения взаимодействия приобретаемых прав на программное обеспечение и комплектующих с уже используемыми заказчиком (п. 3 ч. 6.1 ст. 3 Федерального закона от 18.07.2011 № 223-ФЗ), в настоящем ТЗ  указание на товарные знаки не сопровождается словами «или эквивалент».</w:t>
      </w:r>
    </w:p>
    <w:p>
      <w:pPr>
        <w:pStyle w:val="Normal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br w:type="page"/>
      </w:r>
    </w:p>
    <w:p>
      <w:pPr>
        <w:pStyle w:val="Normal"/>
        <w:widowControl/>
        <w:numPr>
          <w:ilvl w:val="0"/>
          <w:numId w:val="0"/>
        </w:numPr>
        <w:spacing w:lineRule="auto" w:line="240" w:before="0" w:after="0"/>
        <w:ind w:firstLine="561" w:start="5103" w:end="20"/>
        <w:jc w:val="end"/>
        <w:outlineLvl w:val="1"/>
        <w:rPr>
          <w:rFonts w:ascii="Times New Roman" w:hAnsi="Times New Roman"/>
        </w:rPr>
      </w:pPr>
      <w:r>
        <w:rPr>
          <w:rFonts w:ascii="Times New Roman" w:hAnsi="Times New Roman"/>
          <w:i w:val="false"/>
        </w:rPr>
        <w:t>Приложение № 1</w:t>
      </w:r>
    </w:p>
    <w:p>
      <w:pPr>
        <w:pStyle w:val="Normal"/>
        <w:widowControl/>
        <w:spacing w:lineRule="auto" w:line="240" w:before="0" w:after="0"/>
        <w:ind w:hanging="5103" w:start="5103" w:end="20"/>
        <w:jc w:val="end"/>
        <w:rPr>
          <w:rFonts w:ascii="Times New Roman" w:hAnsi="Times New Roman"/>
        </w:rPr>
      </w:pPr>
      <w:r>
        <w:rPr>
          <w:rFonts w:ascii="Times New Roman" w:hAnsi="Times New Roman"/>
          <w:i w:val="false"/>
        </w:rPr>
        <w:t>к Техническому заданию</w:t>
      </w:r>
    </w:p>
    <w:p>
      <w:pPr>
        <w:pStyle w:val="Normal"/>
        <w:widowControl/>
        <w:spacing w:before="240" w:after="240"/>
        <w:ind w:hanging="0" w:start="0" w:end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Информация о товарах (оборудовании), поставляемых при выполнении закупаемых работ, оказании закупаемых услуг</w:t>
      </w:r>
    </w:p>
    <w:tbl>
      <w:tblPr>
        <w:tblW w:w="10695" w:type="dxa"/>
        <w:jc w:val="center"/>
        <w:tblInd w:w="0" w:type="dxa"/>
        <w:tblLayout w:type="fixed"/>
        <w:tblCellMar>
          <w:top w:w="0" w:type="dxa"/>
          <w:start w:w="5" w:type="dxa"/>
          <w:bottom w:w="0" w:type="dxa"/>
          <w:end w:w="5" w:type="dxa"/>
        </w:tblCellMar>
      </w:tblPr>
      <w:tblGrid>
        <w:gridCol w:w="421"/>
        <w:gridCol w:w="1052"/>
        <w:gridCol w:w="1482"/>
        <w:gridCol w:w="2284"/>
        <w:gridCol w:w="991"/>
        <w:gridCol w:w="852"/>
        <w:gridCol w:w="1699"/>
        <w:gridCol w:w="994"/>
        <w:gridCol w:w="920"/>
      </w:tblGrid>
      <w:tr>
        <w:trPr/>
        <w:tc>
          <w:tcPr>
            <w:tcW w:w="8781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Тип объекта закупки</w:t>
            </w:r>
          </w:p>
        </w:tc>
        <w:tc>
          <w:tcPr>
            <w:tcW w:w="191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-57" w:end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Товар</w:t>
            </w:r>
          </w:p>
        </w:tc>
      </w:tr>
      <w:tr>
        <w:trPr/>
        <w:tc>
          <w:tcPr>
            <w:tcW w:w="42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№ </w:t>
            </w:r>
            <w:r>
              <w:rPr>
                <w:rFonts w:ascii="Times New Roman" w:hAnsi="Times New Roman"/>
                <w:sz w:val="20"/>
              </w:rPr>
              <w:t>п/п</w:t>
            </w:r>
          </w:p>
        </w:tc>
        <w:tc>
          <w:tcPr>
            <w:tcW w:w="1052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Наименование товара</w:t>
            </w:r>
          </w:p>
        </w:tc>
        <w:tc>
          <w:tcPr>
            <w:tcW w:w="1482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Код ОКПД2 </w:t>
            </w:r>
            <w:r>
              <w:rPr>
                <w:rFonts w:ascii="Times New Roman" w:hAnsi="Times New Roman"/>
                <w:b/>
                <w:sz w:val="20"/>
                <w:vertAlign w:val="superscript"/>
              </w:rPr>
              <w:t>*</w:t>
            </w:r>
          </w:p>
        </w:tc>
        <w:tc>
          <w:tcPr>
            <w:tcW w:w="5826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Характеристики товара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-57" w:end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Количество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-57" w:end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Единица измерения</w:t>
            </w:r>
          </w:p>
        </w:tc>
      </w:tr>
      <w:tr>
        <w:trPr/>
        <w:tc>
          <w:tcPr>
            <w:tcW w:w="42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05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8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2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Наименование характеристики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Значение характеристики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Единица измерения характеристики</w:t>
            </w:r>
          </w:p>
        </w:tc>
        <w:tc>
          <w:tcPr>
            <w:tcW w:w="16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Инструкция по заполнению характеристик в заявке</w:t>
            </w:r>
          </w:p>
        </w:tc>
        <w:tc>
          <w:tcPr>
            <w:tcW w:w="99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2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96" w:hRule="atLeast"/>
        </w:trPr>
        <w:tc>
          <w:tcPr>
            <w:tcW w:w="4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0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4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22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6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9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-57" w:end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9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-57" w:end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</w:tr>
      <w:tr>
        <w:trPr>
          <w:trHeight w:val="340" w:hRule="atLeast"/>
        </w:trPr>
        <w:tc>
          <w:tcPr>
            <w:tcW w:w="42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052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Комплект обновления ПАК ViPNet Coordinator HW 5 Исполнение HW100 (Base, АП HW100 Q1/Q2) включая платформу (upgrade hw100) </w:t>
            </w:r>
            <w:r>
              <w:rPr>
                <w:rFonts w:ascii="Times New Roman" w:hAnsi="Times New Roman"/>
                <w:b/>
                <w:sz w:val="20"/>
                <w:vertAlign w:val="superscript"/>
              </w:rPr>
              <w:t>**</w:t>
            </w:r>
          </w:p>
        </w:tc>
        <w:tc>
          <w:tcPr>
            <w:tcW w:w="1482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26.20.40.140/–</w:t>
            </w:r>
          </w:p>
        </w:tc>
        <w:tc>
          <w:tcPr>
            <w:tcW w:w="22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Обеспечение обновления ПАК ViPNet Coordinator HW 4 Исполнение ViPNet Coordinator HW100 на платформах HW100 N1/N2/N3</w:t>
            </w:r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vertAlign w:val="superscript"/>
              </w:rPr>
              <w:t>**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Соответствие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—</w:t>
            </w:r>
          </w:p>
        </w:tc>
        <w:tc>
          <w:tcPr>
            <w:tcW w:w="16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-57" w:end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139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-57" w:end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Штука</w:t>
            </w:r>
          </w:p>
        </w:tc>
      </w:tr>
      <w:tr>
        <w:trPr>
          <w:trHeight w:val="340" w:hRule="atLeast"/>
        </w:trPr>
        <w:tc>
          <w:tcPr>
            <w:tcW w:w="42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05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8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2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Лицензия на базовый набор модулей (BASE)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Наличие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Штука</w:t>
            </w:r>
          </w:p>
        </w:tc>
        <w:tc>
          <w:tcPr>
            <w:tcW w:w="16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9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2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40" w:hRule="atLeast"/>
        </w:trPr>
        <w:tc>
          <w:tcPr>
            <w:tcW w:w="42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05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8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2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Замена лицензии HW 4 (HW100) на HW 5 (HW100, Base) в рамках поставки комплекта обновления</w:t>
            </w:r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vertAlign w:val="superscript"/>
              </w:rPr>
              <w:t>**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Соответствие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Штука</w:t>
            </w:r>
          </w:p>
        </w:tc>
        <w:tc>
          <w:tcPr>
            <w:tcW w:w="16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9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2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40" w:hRule="atLeast"/>
        </w:trPr>
        <w:tc>
          <w:tcPr>
            <w:tcW w:w="42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05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8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2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Возможность функционирования с защищённой сетью передачи данных ViPNet № 1697</w:t>
            </w:r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vertAlign w:val="superscript"/>
              </w:rPr>
              <w:t>**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Наличие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—</w:t>
            </w:r>
          </w:p>
        </w:tc>
        <w:tc>
          <w:tcPr>
            <w:tcW w:w="16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9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2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Endnote1"/>
        <w:widowControl/>
        <w:spacing w:lineRule="auto" w:line="240" w:before="120" w:after="0"/>
        <w:ind w:hanging="0" w:start="-28" w:end="20"/>
        <w:rPr>
          <w:rFonts w:ascii="Times New Roman" w:hAnsi="Times New Roman"/>
        </w:rPr>
      </w:pPr>
      <w:r>
        <w:rPr>
          <w:rFonts w:ascii="Times New Roman" w:hAnsi="Times New Roman"/>
          <w:b/>
          <w:sz w:val="22"/>
          <w:vertAlign w:val="superscript"/>
        </w:rPr>
        <w:t>*</w:t>
      </w:r>
      <w:r>
        <w:rPr>
          <w:rFonts w:ascii="Times New Roman" w:hAnsi="Times New Roman"/>
          <w:sz w:val="22"/>
        </w:rPr>
        <w:t xml:space="preserve"> Общероссийский классификатор продукции по видам экономической деятельности ОК 034-2014.</w:t>
      </w:r>
    </w:p>
    <w:p>
      <w:pPr>
        <w:pStyle w:val="Normal"/>
        <w:widowControl/>
        <w:spacing w:lineRule="auto" w:line="240"/>
        <w:ind w:firstLine="14" w:start="-28" w:end="20"/>
        <w:rPr>
          <w:rFonts w:ascii="Times New Roman" w:hAnsi="Times New Roman"/>
        </w:rPr>
      </w:pPr>
      <w:r>
        <w:rPr>
          <w:rFonts w:ascii="Times New Roman" w:hAnsi="Times New Roman"/>
          <w:b/>
          <w:sz w:val="22"/>
          <w:vertAlign w:val="superscript"/>
        </w:rPr>
        <w:t xml:space="preserve">** </w:t>
      </w:r>
      <w:r>
        <w:rPr>
          <w:rFonts w:ascii="Times New Roman" w:hAnsi="Times New Roman"/>
          <w:sz w:val="22"/>
        </w:rPr>
        <w:t>В целях необходимости обеспечения взаимодействия приобретаемых прав на программное обеспечение и комплектующих с уже используемыми заказчиком (п. 3 ч. 6.1 ст. 3 Федерального закона от 18.07.2011 № 223-ФЗ), в настоящей документации указание на товарные знаки не сопровождается словами «или эквивалент».</w:t>
      </w:r>
    </w:p>
    <w:p>
      <w:pPr>
        <w:pStyle w:val="Normal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br w:type="page"/>
      </w:r>
    </w:p>
    <w:p>
      <w:pPr>
        <w:pStyle w:val="Normal"/>
        <w:widowControl/>
        <w:numPr>
          <w:ilvl w:val="0"/>
          <w:numId w:val="0"/>
        </w:numPr>
        <w:spacing w:lineRule="auto" w:line="240" w:before="0" w:after="0"/>
        <w:ind w:firstLine="561" w:start="5103" w:end="-121"/>
        <w:jc w:val="end"/>
        <w:outlineLvl w:val="1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z w:val="24"/>
        </w:rPr>
        <w:t>П</w:t>
      </w:r>
      <w:r>
        <w:rPr>
          <w:rFonts w:ascii="Times New Roman" w:hAnsi="Times New Roman"/>
          <w:b w:val="false"/>
          <w:i w:val="false"/>
        </w:rPr>
        <w:t>риложение № 2</w:t>
      </w:r>
    </w:p>
    <w:p>
      <w:pPr>
        <w:pStyle w:val="Normal"/>
        <w:widowControl/>
        <w:spacing w:lineRule="auto" w:line="240" w:before="0" w:after="0"/>
        <w:ind w:hanging="5103" w:start="5103" w:end="-121"/>
        <w:jc w:val="end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</w:rPr>
        <w:t>к Техническому заданию</w:t>
      </w:r>
    </w:p>
    <w:p>
      <w:pPr>
        <w:pStyle w:val="Normal"/>
        <w:widowControl/>
        <w:spacing w:before="120" w:after="0"/>
        <w:ind w:hanging="0" w:start="0" w:end="-31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Normal"/>
        <w:widowControl/>
        <w:spacing w:before="120" w:after="0"/>
        <w:ind w:hanging="0" w:start="0" w:end="-31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</w:rPr>
        <w:t>Функциональные и технические характеристики</w:t>
      </w:r>
    </w:p>
    <w:p>
      <w:pPr>
        <w:pStyle w:val="Normal"/>
        <w:widowControl/>
        <w:spacing w:before="120" w:after="0"/>
        <w:ind w:hanging="0" w:start="0" w:end="-31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Normal"/>
        <w:widowControl/>
        <w:spacing w:lineRule="auto" w:line="240" w:before="0" w:after="0"/>
        <w:ind w:hanging="0" w:start="0" w:end="-57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Исполнитель осуществляет услуги по установке и настройке поставляемых комплектов обновления аппаратных криптошлюзов в следующем объёме:</w:t>
      </w:r>
    </w:p>
    <w:p>
      <w:pPr>
        <w:pStyle w:val="Normal"/>
        <w:widowControl/>
        <w:spacing w:lineRule="auto" w:line="240" w:before="0" w:after="0"/>
        <w:ind w:hanging="0" w:start="0" w:end="-57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>Комплект обновления ПАК ViPNet Coordinator HW 5 Исполнение HW100 (Base, АП HW100 Q1/Q2) включая платформу (upgrade hw100) – 139 ед.</w:t>
      </w:r>
    </w:p>
    <w:p>
      <w:pPr>
        <w:pStyle w:val="Normal"/>
        <w:widowControl/>
        <w:spacing w:lineRule="auto" w:line="240" w:before="0" w:after="0"/>
        <w:ind w:hanging="0" w:start="0" w:end="-57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Адреса организаций, в рамках которых оказываются услуги по установке и настройке поставляемых комплектов обновления, приведены в Таблице № 1 настоящего приложения к техническому заданию.</w:t>
      </w:r>
    </w:p>
    <w:p>
      <w:pPr>
        <w:pStyle w:val="Normal"/>
        <w:widowControl/>
        <w:spacing w:lineRule="auto" w:line="240" w:before="0" w:after="0"/>
        <w:ind w:hanging="0" w:start="0" w:end="-57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В услуги по установке и настройке поставляемых программно-аппаратных комплексов входит:</w:t>
      </w:r>
    </w:p>
    <w:p>
      <w:pPr>
        <w:pStyle w:val="Normal"/>
        <w:widowControl/>
        <w:spacing w:lineRule="auto" w:line="240" w:before="0" w:after="0"/>
        <w:ind w:hanging="0" w:start="0" w:end="-57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1. Проведение внешнего осмотра и проверка комплектации;</w:t>
      </w:r>
    </w:p>
    <w:p>
      <w:pPr>
        <w:pStyle w:val="Normal"/>
        <w:widowControl/>
        <w:spacing w:lineRule="auto" w:line="240" w:before="0" w:after="0"/>
        <w:ind w:hanging="0" w:start="0" w:end="-57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2. Проверка необходимого количества свободных портов на коммутационном оборудовании учреждения;</w:t>
      </w:r>
    </w:p>
    <w:p>
      <w:pPr>
        <w:pStyle w:val="Normal"/>
        <w:widowControl/>
        <w:spacing w:lineRule="auto" w:line="240" w:before="0" w:after="0"/>
        <w:ind w:hanging="0" w:start="0" w:end="-57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3. Проверка наличия возможности подключения электропитания в предоставляемом месте размещения оборудования;</w:t>
      </w:r>
    </w:p>
    <w:p>
      <w:pPr>
        <w:pStyle w:val="Normal"/>
        <w:widowControl/>
        <w:spacing w:lineRule="auto" w:line="240" w:before="0" w:after="0"/>
        <w:ind w:hanging="0" w:start="0" w:end="-57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4. Монтаж поставляемого оборудования на месте эксплуатации;</w:t>
      </w:r>
    </w:p>
    <w:p>
      <w:pPr>
        <w:pStyle w:val="Normal"/>
        <w:widowControl/>
        <w:spacing w:lineRule="auto" w:line="240" w:before="0" w:after="0"/>
        <w:ind w:hanging="0" w:start="0" w:end="-57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5. Подключение к линии электропитания;</w:t>
      </w:r>
    </w:p>
    <w:p>
      <w:pPr>
        <w:pStyle w:val="Normal"/>
        <w:widowControl/>
        <w:spacing w:lineRule="auto" w:line="240" w:before="0" w:after="0"/>
        <w:ind w:hanging="0" w:start="0" w:end="-57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6. Подключение к локальной вычислительной сети учреждения.</w:t>
      </w:r>
    </w:p>
    <w:p>
      <w:pPr>
        <w:pStyle w:val="Normal"/>
        <w:widowControl/>
        <w:spacing w:lineRule="auto" w:line="240" w:before="0" w:after="0"/>
        <w:ind w:hanging="0" w:start="0" w:end="-57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Поставляемый товар должен быть настроен согласно регламенту защищённой сети ViPNet № 1697 и действующего законодательства в области информационной безопасности. Настройка поставляемых программно-аппаратных комплексов должна включать в себя:</w:t>
      </w:r>
    </w:p>
    <w:p>
      <w:pPr>
        <w:pStyle w:val="Normal"/>
        <w:widowControl/>
        <w:spacing w:lineRule="auto" w:line="240" w:before="0" w:after="0"/>
        <w:ind w:hanging="0" w:start="0" w:end="-57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1. Создание узлов защищённой сети, генерация парольно-ключевой информации;</w:t>
      </w:r>
    </w:p>
    <w:p>
      <w:pPr>
        <w:pStyle w:val="Normal"/>
        <w:widowControl/>
        <w:spacing w:lineRule="auto" w:line="240" w:before="0" w:after="0"/>
        <w:ind w:hanging="0" w:start="0" w:end="-57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2. Добавление связей узлов защищенной сети;</w:t>
      </w:r>
    </w:p>
    <w:p>
      <w:pPr>
        <w:pStyle w:val="Normal"/>
        <w:widowControl/>
        <w:spacing w:lineRule="auto" w:line="240" w:before="0" w:after="0"/>
        <w:ind w:hanging="0" w:start="0" w:end="-57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3. Настройка туннелирования;</w:t>
      </w:r>
    </w:p>
    <w:p>
      <w:pPr>
        <w:pStyle w:val="Normal"/>
        <w:widowControl/>
        <w:spacing w:lineRule="auto" w:line="240" w:before="0" w:after="0"/>
        <w:ind w:hanging="0" w:start="0" w:end="-57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 xml:space="preserve">4. Назначение ролей узлов; </w:t>
      </w:r>
    </w:p>
    <w:p>
      <w:pPr>
        <w:pStyle w:val="Normal"/>
        <w:widowControl/>
        <w:spacing w:lineRule="auto" w:line="240" w:before="0" w:after="0"/>
        <w:ind w:hanging="0" w:start="0" w:end="-57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5. Проведение процедуры первичной инициализации (установка даты, часового пояса, развёртывание парольно-ключевой информации);</w:t>
      </w:r>
    </w:p>
    <w:p>
      <w:pPr>
        <w:pStyle w:val="Normal"/>
        <w:widowControl/>
        <w:spacing w:lineRule="auto" w:line="240" w:before="0" w:after="0"/>
        <w:ind w:hanging="0" w:start="0" w:end="-57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6. Настройку сетевых интерфейсов в соответствии с планом IP-адресации Заказчика;</w:t>
      </w:r>
    </w:p>
    <w:p>
      <w:pPr>
        <w:pStyle w:val="Normal"/>
        <w:widowControl/>
        <w:spacing w:lineRule="auto" w:line="240" w:before="0" w:after="0"/>
        <w:ind w:hanging="0" w:start="0" w:end="-57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7. Задание локального имени хоста;</w:t>
      </w:r>
    </w:p>
    <w:p>
      <w:pPr>
        <w:pStyle w:val="Normal"/>
        <w:widowControl/>
        <w:spacing w:lineRule="auto" w:line="240" w:before="0" w:after="0"/>
        <w:ind w:hanging="0" w:start="0" w:end="-57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8. Установку режима работы через межсетевой экран, проверку соединения с ключевым узлом защищённой сети;</w:t>
      </w:r>
    </w:p>
    <w:p>
      <w:pPr>
        <w:pStyle w:val="Normal"/>
        <w:widowControl/>
        <w:spacing w:lineRule="auto" w:line="240" w:before="0" w:after="0"/>
        <w:ind w:hanging="0" w:start="0" w:end="-57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9. Завершение процесса первичной инициализации. Авторизацию в режиме пользователя и администратора. Проверку работы служб;</w:t>
      </w:r>
    </w:p>
    <w:p>
      <w:pPr>
        <w:pStyle w:val="Normal"/>
        <w:widowControl/>
        <w:spacing w:lineRule="auto" w:line="240" w:before="0" w:after="0"/>
        <w:ind w:hanging="0" w:start="0" w:end="-57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10. Настройку расширенного журналирования на сетевых интерфейсах;</w:t>
      </w:r>
    </w:p>
    <w:p>
      <w:pPr>
        <w:pStyle w:val="Normal"/>
        <w:widowControl/>
        <w:spacing w:lineRule="auto" w:line="240" w:before="0" w:after="0"/>
        <w:ind w:hanging="0" w:start="0" w:end="-57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11. Настройку правил фильтрации трафика;</w:t>
      </w:r>
    </w:p>
    <w:p>
      <w:pPr>
        <w:pStyle w:val="Normal"/>
        <w:widowControl/>
        <w:spacing w:lineRule="auto" w:line="240" w:before="0" w:after="0"/>
        <w:ind w:hanging="0" w:start="0" w:end="-57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11.1. Настройку правил фильтрации защищённой сети;</w:t>
      </w:r>
    </w:p>
    <w:p>
      <w:pPr>
        <w:pStyle w:val="Normal"/>
        <w:widowControl/>
        <w:spacing w:lineRule="auto" w:line="240" w:before="0" w:after="0"/>
        <w:ind w:hanging="0" w:start="0" w:end="-57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11.2. Настройку правил фильтрации открытой сети:</w:t>
      </w:r>
    </w:p>
    <w:p>
      <w:pPr>
        <w:pStyle w:val="Normal"/>
        <w:widowControl/>
        <w:spacing w:lineRule="auto" w:line="240" w:before="0" w:after="0"/>
        <w:ind w:hanging="0" w:start="0" w:end="-57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11.2.1. Локального трафика;</w:t>
      </w:r>
    </w:p>
    <w:p>
      <w:pPr>
        <w:pStyle w:val="Normal"/>
        <w:widowControl/>
        <w:spacing w:lineRule="auto" w:line="240" w:before="0" w:after="0"/>
        <w:ind w:hanging="0" w:start="0" w:end="-57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11.2.2. Транзитного трафика;</w:t>
      </w:r>
    </w:p>
    <w:p>
      <w:pPr>
        <w:pStyle w:val="Normal"/>
        <w:widowControl/>
        <w:spacing w:lineRule="auto" w:line="240" w:before="0" w:after="0"/>
        <w:ind w:hanging="0" w:start="0" w:end="-57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11.2.3. Туннелируемого трафика;</w:t>
      </w:r>
    </w:p>
    <w:p>
      <w:pPr>
        <w:pStyle w:val="Normal"/>
        <w:widowControl/>
        <w:spacing w:lineRule="auto" w:line="240" w:before="0" w:after="0"/>
        <w:ind w:hanging="0" w:start="0" w:end="-57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12. Проверку работы правил фильтрации трафика;</w:t>
      </w:r>
    </w:p>
    <w:p>
      <w:pPr>
        <w:pStyle w:val="Normal"/>
        <w:widowControl/>
        <w:spacing w:lineRule="auto" w:line="240" w:before="0" w:after="0"/>
        <w:ind w:hanging="0" w:start="0" w:end="-57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13. Проверку доступности локальных ресурсов;</w:t>
      </w:r>
    </w:p>
    <w:p>
      <w:pPr>
        <w:pStyle w:val="Normal"/>
        <w:widowControl/>
        <w:spacing w:lineRule="auto" w:line="240" w:before="0" w:after="0"/>
        <w:ind w:hanging="0" w:start="0" w:end="-57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14. Проверку доступа к внешним открытым ресурсам;</w:t>
      </w:r>
    </w:p>
    <w:p>
      <w:pPr>
        <w:pStyle w:val="Normal"/>
        <w:widowControl/>
        <w:spacing w:lineRule="auto" w:line="240" w:before="0" w:after="0"/>
        <w:ind w:hanging="0" w:start="0" w:end="-57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15. Проверку связи между узлами защищённой сети;</w:t>
      </w:r>
    </w:p>
    <w:p>
      <w:pPr>
        <w:pStyle w:val="Normal"/>
        <w:widowControl/>
        <w:spacing w:lineRule="auto" w:line="240" w:before="0" w:after="0"/>
        <w:ind w:hanging="0" w:start="0" w:end="-57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16. Проверку доступности программно-аппаратный комплексов доверенных защищённых сетей;</w:t>
      </w:r>
    </w:p>
    <w:p>
      <w:pPr>
        <w:pStyle w:val="Normal"/>
        <w:widowControl/>
        <w:spacing w:lineRule="auto" w:line="240" w:before="0" w:after="0"/>
        <w:ind w:hanging="0" w:start="0" w:end="-57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17. Настройку DHCP-сервера;</w:t>
      </w:r>
    </w:p>
    <w:p>
      <w:pPr>
        <w:pStyle w:val="Normal"/>
        <w:widowControl/>
        <w:spacing w:lineRule="auto" w:line="240" w:before="0" w:after="0"/>
        <w:ind w:hanging="0" w:start="0" w:end="-57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 xml:space="preserve">18. Настройку NAT для локальной сети. </w:t>
      </w:r>
    </w:p>
    <w:p>
      <w:pPr>
        <w:pStyle w:val="Normal"/>
        <w:widowControl/>
        <w:spacing w:lineRule="auto" w:line="240" w:before="0" w:after="0"/>
        <w:ind w:hanging="0" w:start="0" w:end="-57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19. Настройку DNS-сервера;</w:t>
      </w:r>
    </w:p>
    <w:p>
      <w:pPr>
        <w:pStyle w:val="Normal"/>
        <w:widowControl/>
        <w:spacing w:lineRule="auto" w:line="240" w:before="0" w:after="0"/>
        <w:ind w:hanging="0" w:start="0" w:end="-57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20. Настройку NTP-службы;</w:t>
      </w:r>
    </w:p>
    <w:p>
      <w:pPr>
        <w:pStyle w:val="Normal"/>
        <w:widowControl/>
        <w:spacing w:lineRule="auto" w:line="240" w:before="0" w:after="0"/>
        <w:ind w:hanging="0" w:start="0" w:end="-57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21. Проверку контрольных сумм программно-аппаратный комплексов на соответствие значениям, указанным в формуляре программно-аппаратного комплекса;</w:t>
      </w:r>
    </w:p>
    <w:p>
      <w:pPr>
        <w:pStyle w:val="Normal"/>
        <w:widowControl/>
        <w:spacing w:lineRule="auto" w:line="240" w:before="0" w:after="0"/>
        <w:ind w:hanging="0" w:start="0" w:end="-57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22. Проведение процедуры самотестирования программно-аппаратного комплекса;</w:t>
      </w:r>
    </w:p>
    <w:p>
      <w:pPr>
        <w:pStyle w:val="Normal"/>
        <w:widowControl/>
        <w:spacing w:lineRule="auto" w:line="240" w:before="0" w:after="0"/>
        <w:ind w:hanging="0" w:start="0" w:end="-57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23. Проверку механизма аутентификации средствами веб-интерфейса с любого защищённого узла из криптокарты.</w:t>
      </w:r>
    </w:p>
    <w:p>
      <w:pPr>
        <w:pStyle w:val="Normal"/>
        <w:widowControl/>
        <w:spacing w:lineRule="auto" w:line="240" w:before="0" w:after="0"/>
        <w:ind w:hanging="0" w:start="0" w:end="-57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Программно-аппаратные комплексы настраиваются Исполнителем в соответствии с параметрами защищённой сети ViPNet с № 1697.</w:t>
      </w:r>
    </w:p>
    <w:p>
      <w:pPr>
        <w:pStyle w:val="Normal"/>
        <w:widowControl/>
        <w:spacing w:lineRule="auto" w:line="240" w:before="0" w:after="0"/>
        <w:ind w:hanging="0" w:start="0" w:end="-57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Необходимые условия (организованные в серверных стойках Заказчика свободные места для монтажа оборудования и подключения к электропитанию), доступ к оборудованию и в помещения для проведения пусконаладочных работ предоставляются Заказчиком.</w:t>
      </w:r>
    </w:p>
    <w:p>
      <w:pPr>
        <w:pStyle w:val="Normal"/>
        <w:widowControl/>
        <w:ind w:hanging="0" w:start="0" w:end="35"/>
        <w:jc w:val="end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</w:r>
    </w:p>
    <w:p>
      <w:pPr>
        <w:pStyle w:val="Normal"/>
        <w:widowControl/>
        <w:ind w:hanging="0" w:start="0" w:end="35"/>
        <w:jc w:val="end"/>
        <w:rPr>
          <w:rFonts w:ascii="Times New Roman" w:hAnsi="Times New Roman"/>
        </w:rPr>
      </w:pPr>
      <w:r>
        <w:rPr>
          <w:rFonts w:ascii="Times New Roman" w:hAnsi="Times New Roman"/>
          <w:b/>
          <w:i/>
          <w:sz w:val="24"/>
        </w:rPr>
        <w:t>Таблица 1. Адреса установки ПАК и их количественный состав</w:t>
      </w:r>
    </w:p>
    <w:p>
      <w:pPr>
        <w:pStyle w:val="Normal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tbl>
      <w:tblPr>
        <w:tblW w:w="10631" w:type="dxa"/>
        <w:jc w:val="start"/>
        <w:tblInd w:w="-114" w:type="dxa"/>
        <w:tblLayout w:type="fixed"/>
        <w:tblCellMar>
          <w:top w:w="0" w:type="dxa"/>
          <w:start w:w="28" w:type="dxa"/>
          <w:bottom w:w="0" w:type="dxa"/>
          <w:end w:w="28" w:type="dxa"/>
        </w:tblCellMar>
      </w:tblPr>
      <w:tblGrid>
        <w:gridCol w:w="426"/>
        <w:gridCol w:w="2266"/>
        <w:gridCol w:w="3686"/>
        <w:gridCol w:w="2977"/>
        <w:gridCol w:w="111"/>
        <w:gridCol w:w="1165"/>
      </w:tblGrid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№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п/п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Тип ДС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Наименование ДС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Адрес ДС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Кол-во, шт.</w:t>
            </w:r>
          </w:p>
        </w:tc>
      </w:tr>
      <w:tr>
        <w:trPr>
          <w:trHeight w:val="541" w:hRule="atLeast"/>
        </w:trPr>
        <w:tc>
          <w:tcPr>
            <w:tcW w:w="10631" w:type="dxa"/>
            <w:gridSpan w:val="6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Александровский муниципальный округ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пожарной охраны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33 ПСЧ 2 ПСО ФПС ГПС ГУ МЧС России по СК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с. Александровское,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Заводская,18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2.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полиции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Отдел МВД России «Александровский» ГУ МВД России по СК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с. Александровское,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Пушкина, 96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3.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скорой медицинской помощи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ГБУЗ СК «Александровская РБ»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с. Александровское,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Красноармейская, 296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4.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Аварийная служба газовой сети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АО "Александровскрайгаз"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с. Александровское,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Кирпичная, 14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10631" w:type="dxa"/>
            <w:gridSpan w:val="6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Андроповский муниципальный округ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пожарной охраны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36 ПСЧ 2 ПСО ФПС ГПС ГУ МЧС России по СК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с. Курсавка,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Элеваторная, 1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2.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полиции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Отдел МВД России «Андроповский» ГУ МВД России по СК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с. Курсавка,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1-го Мая, 2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3.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скорой медицинской помощи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ГБУЗ "Андроповская РБ"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с. Курсавка,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Войтика, 205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4.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Аварийная служба газовой сети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АО "Андроповскрайгаз" 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с. Курсавка,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Стратейчука, 121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10631" w:type="dxa"/>
            <w:gridSpan w:val="6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Апанасенковский муниципальный округ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пожарной охраны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35 ПСЧ 5 ПСО ФПС ГПС ГУ МЧС России по СК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с. Дивное,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Советская, 1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2.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полиции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Отдел МВД России «Апанасенковский» ГУ МВД России по СК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с. Дивное,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Советская, 18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  <w:b w:val="false"/>
                <w:sz w:val="22"/>
              </w:rPr>
            </w:pPr>
            <w:r>
              <w:rPr>
                <w:rFonts w:ascii="Times New Roman" w:hAnsi="Times New Roman"/>
                <w:b w:val="false"/>
                <w:sz w:val="22"/>
              </w:rPr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3.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скорой медицинской помощи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ГБУЗ СК  "Апанасенковская РБ»    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с. Дивное,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Кашубы, 2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  <w:b w:val="false"/>
                <w:sz w:val="22"/>
              </w:rPr>
            </w:pPr>
            <w:r>
              <w:rPr>
                <w:rFonts w:ascii="Times New Roman" w:hAnsi="Times New Roman"/>
                <w:b w:val="false"/>
                <w:sz w:val="22"/>
              </w:rPr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4.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Аварийная служба газовой сети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АО "Апанасенкирайгаз" 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с. Дивное,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Олега Кошевого, 190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10631" w:type="dxa"/>
            <w:gridSpan w:val="6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Арзгирский муниципальный округ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пожарной охраны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34 ПСЧ 4 ПСО ФПС ГПС ГУ МЧС России по СК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с. Арзгир,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Шаумяна, 1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2.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полиции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Отдел МВД России «Арзгирский» ГУ МВД России по СК 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с. Арзгир,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Матросова, № 5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3.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скорой медицинской помощи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ГБУЗ "Арзгирская РБ" 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с. Арзгир,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Кирова, № 1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4.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Аварийная служба газовой сети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АО "Арзгиррайгаз"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с. Арзгир,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Арзгирская, № 22,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10631" w:type="dxa"/>
            <w:gridSpan w:val="6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Благодарненский муниципальный округ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пожарной охраны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37 ПСЧ 5 ПСО ФПС ГПС ГУ МЧС России по СК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г. Благодарный,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Вокзальная № 58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2.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полиции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Отдел МВД России «Благодарненский» ГУ МВД России по СК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г. Благодарный,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пер. Октябрьский № 6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3.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скорой медицинской помощи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ГБУЗ СК «Благодарненская РБ» 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г. Благодарный,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Однокозова, № 162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4.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Аварийная служба газовой сети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АО "Благодарненскрайгаз" 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г. Благодарный,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Московская, № 253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10631" w:type="dxa"/>
            <w:gridSpan w:val="6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Буденновский муниципальный округ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пожарной охраны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30 ПСЧ 4 ПСО ФПС ГПС ГУ МЧС России по СК 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г. Будённовск,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Прикумская, 74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2.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полиции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Отдел МВД России  «Буденновский» ГУ МВД России по СК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г. Буденновск,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Ставропольская, 64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3.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скорой медицинской помощи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ГБУЗ СК "Краевой центр СВМП №1" СМП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г. Будённовск,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пр. Энтузиастов 2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4.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Аварийная служба газовой сети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АО "Будённовскгазпромбыт-сервис" 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г. Будённовск,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Красноармейская, 362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10631" w:type="dxa"/>
            <w:gridSpan w:val="6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Георгиевский муниципальный округ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пожарной охраны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24 ПСЧ 2 ПСО ФПС ГПС ГУ МЧС России по СК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г. Георгиевск,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Пятигорская, 4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2.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полиции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Отдел МВД России «Георгиевский» ГУ МВД России по СК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г. Георгиевск,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Калинина, 12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3.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скорой медицинской помощи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ГБУЗ СК «Георгиевская ССМП» 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г. Георгиевск,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Маяковского, 83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4.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Аварийная служба газовой сети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АО «Георгиевскмежрайгаз» 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г. Георгиевск,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Гагарина, 238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10631" w:type="dxa"/>
            <w:gridSpan w:val="6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город – курорт Ессентуки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пожарной охраны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19 ПСЧ 2 ПСО ФПС ГПС ГУ МЧС России по СК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г. Ессентуки,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Долина Роз, 18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2.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полиции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Отдел МВД России по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г.  Ессентуки ГУ МВД России по СК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г. Ессентуки, ул. Чкалова, 3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3.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скорой медицинской помощи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ГБУЗ СК «Пятигорская межрайонная ССМП»» Ессентукский филиал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г. Ессентуки,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Октябрьская, 460 а/2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4.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Аварийная служба газовой сети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АО "Ессентукигоргаз" 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г. Ессентуки,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Советская, 67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10631" w:type="dxa"/>
            <w:gridSpan w:val="6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город – курорт Железноводск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пожарной охраны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39 ПСЧ 2 ПСО ФПС ГПС ГУ МЧС России по СК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город-курорт Железноводск,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Ленина, д. 173 «А»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2.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полиции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Отдел МВД России по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г. Железноводску ГУ МВД России по СК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город-курорт Железноводск,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Октябрьская, д. 62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3.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скорой медицинской помощи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ГБУЗ "Пятигорская межрайонная ССМП" Железноводский филиал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город-курорт Железноводск,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Чапаева, д. 5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4.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Аварийная служба газовой сети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АО "Железноводскгоргаз" 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город-курорт Железноводск,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ул. Интернациональная,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д. 57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10631" w:type="dxa"/>
            <w:gridSpan w:val="6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город – курорт Кисловодск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пожарной охраны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 ПСЧ 2 ПСО ФПС ГПС ГУ МЧС России по СК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г. Кисловодск,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40 лет Октября, д.33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2.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полиции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Отдел МВД России по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г. Кисловодску ГУ МВД России по СК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г. Кисловодск,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Умара Алиева, д. 91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3.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скорой медицинской помощи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ГБУЗ СК "Кисловодская городская ССМП"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г. Кисловодск,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Тельмана, д. 1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4.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Аварийная служба газовой сети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АО "Кисловодскгоргаз"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г. Кисловодск,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Нелюбина, д. 5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10631" w:type="dxa"/>
            <w:gridSpan w:val="6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город Лермонтов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пожарной охраны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29 ПСЧ 2 ПСО ФПС ГПС ГУ МЧС России по СК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г. Лермонтов,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пр. Заводской 11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2.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полиции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Отдел МВД России по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г. Лермонтову ГУ МВД России по СК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г. Лермонтов,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П.Лумумбы, д.3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3.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скорой медицинской помощи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КБ № 101 ФФГБУ СКФНКЦ ФМБА России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г. Лермонтова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г. Лермонтов,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Ленина, 26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4.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Аварийная служба газовой сети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МУП "Лермонтовское городское газовое хозяйство" 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г. Лермонтов,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Нагорная, д. 10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10631" w:type="dxa"/>
            <w:gridSpan w:val="6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город Невинномысск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пожарной охраны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21 ПСЧ 3 ПСО ФПС ГПС ГУ МЧС России по СК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г. Невинномысск,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Первомайская, 66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2.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полиции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Отдел МВД России по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г. Невинномысску ГУ МВД России по СК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г. Невинномысск,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Октябрьская, 59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3.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скорой медицинской помощи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ГБУЗ СК «Городская больница»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г. Невинномысска  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г. Невинномысск,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пер. Клубный, 17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4.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Аварийная служба газовой сети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АДС АО "Невинномысскгоргаз" 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г. Невинномысск,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Менделеева, 62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10631" w:type="dxa"/>
            <w:gridSpan w:val="6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город – курорт Пятигорск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пожарной охраны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15 ПСЧ 2 ПСО ФПС ГПС ГУ МЧС России по СК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г. Пятигорск,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пр-т Калинина, 83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2.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полиции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Отдел МВД России по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г. Пятигорску ГУ МВД России по СК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г. Пятигорск,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Рубина, 2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3.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скорой медицинской помощи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ГБУЗ СК «Пятигорская межрайонная станция скорой медицинской помощи»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г. Пятигорск,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Пирогова, 22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4.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Аварийная служба газовой сети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АО "Пятигорскгоргаз" 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г. Пятигорск,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Козлова, 52 «А»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10631" w:type="dxa"/>
            <w:gridSpan w:val="6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город Ставрополь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пожарной охраны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3 ПСО ФПС ГПС ГУ МЧС России по СК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г. Ставрополь,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Лермонтова, 191, А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2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2.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реагирования в ЧС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  <w:b w:val="false"/>
                <w:sz w:val="22"/>
              </w:rPr>
            </w:pPr>
            <w:r>
              <w:rPr>
                <w:rFonts w:ascii="Times New Roman" w:hAnsi="Times New Roman"/>
                <w:b w:val="false"/>
                <w:sz w:val="22"/>
              </w:rPr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Филиал ГКУ «Противопожарная и аварийно-спасательная служба СК» - «АСС»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г. Ставрополь,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Старомарьевское шоссе, 17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3.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полиции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Управление МВД России по г. Ставрополю ГУ МВД России по СК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г. Ставрополь,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Ленина, 421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4.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скорой медицинской помощи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 </w:t>
            </w:r>
            <w:r>
              <w:rPr>
                <w:rFonts w:ascii="Times New Roman" w:hAnsi="Times New Roman"/>
                <w:b w:val="false"/>
                <w:sz w:val="22"/>
              </w:rPr>
              <w:t xml:space="preserve">ГБУЗ СК «Ставропольская краевая клиническая станция скорой медицинской помощи» 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г. Ставрополь,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Артема, 35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5.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Аварийная служба газовой сети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АО «Ставропольгоргаз»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г. Ставрополь,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Маяковского, 9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6.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«Антитеррор»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УФСБ РФ по СК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г. Ставрополь,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Дзержинского, 110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10631" w:type="dxa"/>
            <w:gridSpan w:val="6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Грачевский муниципальный округ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пожарной охраны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38 ПСЧ 5 ПСО ФПС ГПС ГУ МЧС России по СК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с. Грачевка, ул. Шоссейная, 43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2.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полиции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Отдел МВД России  «Грачевский» ГУ МВД России по СК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с. Грачевка, ул. Советская, 2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3.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скорой медицинской помощи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ГБУЗ СК «Грачевская РБ»  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с. Грачевка,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Южная, 53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4.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Аварийная служба газовой сети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ОАО «Грачевскрайгаз» 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с. Грачевка,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Ставропольская, 101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10631" w:type="dxa"/>
            <w:gridSpan w:val="6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Изобильненский муниципальный округ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пожарной охраны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3 ПСЧ 3 ПСО ФПС ГПС ГУ МЧС России по СК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г. Изобильный,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Промышленная, 116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2.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полиции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Отдел МВД России «Изобильненский» ГУ МВД России по СК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г. Изобильный,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Чапаева, 68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3.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скорой медицинской помощи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ГБУЗ СК «Изобильненская РБ» 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г. Изобильный,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Западная, 125 а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4.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Аварийная служба газовой сети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АО "Изобильненскрайгаз"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г. Изобильный,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Промышленная, 94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10631" w:type="dxa"/>
            <w:gridSpan w:val="6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Ипатовский муниципальный округ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пожарной охраны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40 ПСЧ 5 ПСО ФПС ГПС ГУ МЧС России по СК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г. Ипатово,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Ленинградская, №8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2.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полиции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Отдел МВД России  «Ипатовский» ГУ МВД России по СК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г. Ипатово,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Центральная, №1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3.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скорой медицинской помощи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ГБУЗ СК "Ипатовская РБ" 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г. Ипатово,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Гагарина, № 123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4.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Аварийная служба газовой сети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АО "Ипатоворайгаз" 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г. Ипатово,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Заречная, № 23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10631" w:type="dxa"/>
            <w:gridSpan w:val="6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Кировский муниципальный округ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пожарной охраны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41 ПСЧ 2 ПСО ФПС ГПС ГУ МЧС России по СК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г. Новопавловск,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Центральная, д.105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2.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полиции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Отдел  МВД России «Кировский» ГУ МВД России по СК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г. Новопавловск,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ул. Ставропольская,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д. 57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3.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скорой медицинской помощи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ГБУЗ СК "Кировская РБ"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г. Новопавловск,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Кирова, д. 35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4.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Аварийная служба газовой сети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АО «Новопавловскрайгаз»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г. Новопавловск,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ул. Ставропольская,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д. 49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10631" w:type="dxa"/>
            <w:gridSpan w:val="6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Кочубеевский муниципальный округ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пожарной охраны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42 ПСЧ 3 ПСО ФПС ГПС ГУ МЧС России по СК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с. Кочубеевское,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Восточная, 75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2.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полиции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Отдел МВД России «Кочубеевский» ГУ МВД России по СК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с. Кочубеевское,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Советская, 50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3.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скорой медицинской помощи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ГБУЗ СК "Кочубеевская РБ"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с. Кочубеевское,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Восточная, 63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4.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Аварийная служба газовой сети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АО "Кочубеевскрайгаз" 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с. Кочубеевское,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Новая, 64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10631" w:type="dxa"/>
            <w:gridSpan w:val="6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Красногвардейский муниципальный округ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пожарной охраны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5 ПСЧ 3 ПСО ФПС ГПС ГУ МЧС России по СК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с. Красногвардейское,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Красная, 325/1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2.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полиции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Отдел МВД России «Красногвардейский» ГУ МВД России по СК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с. Красногвардейское,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Красная, 219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3.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скорой медицинской помощи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ГБУЗ СК «Красногвардейская РБ» 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с. Красногвардейское,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Ярмарочная,1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4.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Аварийная служба газовой сети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АО Красногардейскрайгаз" 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с. Красногвардейское,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Ярмарочная, 9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10631" w:type="dxa"/>
            <w:gridSpan w:val="6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Курской муниципальный округ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пожарной охраны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28 ПСЧ 4 ПСО ФПС ГПС ГУ МЧС России по СК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ст-ца Курская, </w:t>
            </w:r>
          </w:p>
          <w:p>
            <w:pPr>
              <w:pStyle w:val="Normal"/>
              <w:widowControl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Моздокская, 70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2.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полиции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Отдел МВД России «Курский» ГУ МВД России по СК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ст-ца Курская, </w:t>
            </w:r>
          </w:p>
          <w:p>
            <w:pPr>
              <w:pStyle w:val="Normal"/>
              <w:widowControl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пер. Школьный, 8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3.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скорой медицинской помощи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ГБУЗ СК "Курская РБ" 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ст-ца Курская, </w:t>
            </w:r>
          </w:p>
          <w:p>
            <w:pPr>
              <w:pStyle w:val="Normal"/>
              <w:widowControl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ул. Ессентукская, 47 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4.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Аварийная служба газовой сети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АО "Курскаямежстройгаз"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ст-ца Курская, </w:t>
            </w:r>
          </w:p>
          <w:p>
            <w:pPr>
              <w:pStyle w:val="Normal"/>
              <w:widowControl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Калинина, 5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10631" w:type="dxa"/>
            <w:gridSpan w:val="6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Левокумский муниципальный округ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пожарной охраны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26 ПСЧ 4 ПСО ФПС ГПС ГУ МЧС России по СК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с. Левокумское,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Шоссейная, 62 А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2.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полиции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Отдел МВД  России «Левокумский» ГУ МВД России по СК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с. Левокумское,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Карла Маркса, 195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3.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скорой медицинской помощи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ГБУЗ СК «Левокумская РБ»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с. Левокумское, ул. Гагарина, 5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4.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Аварийная служба газовой сети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АО «Левокумскрайгаз»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с. Левокумское,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Шоссейная, 15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10631" w:type="dxa"/>
            <w:gridSpan w:val="6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Минераловодский муниципальный округ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пожарной охраны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СПСЧ ФПС ГПС ГУ МЧС России по СК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г. Мин-Воды,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50 лет Октября, 87, «Б»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2.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полиции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Отдел МВД России  «Минераловодский» ГУ МВД России по СК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 </w:t>
            </w:r>
            <w:r>
              <w:rPr>
                <w:rFonts w:ascii="Times New Roman" w:hAnsi="Times New Roman"/>
                <w:b w:val="false"/>
                <w:sz w:val="22"/>
              </w:rPr>
              <w:t xml:space="preserve">г. Мин-Воды,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Пятигорская, 7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3.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скорой медицинской помощи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ГБУЗ СК «Минераловодская РБ» СМП 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г. Мин-Воды,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Гагарина, 67 «А»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4.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Аварийная служба газовой сети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АО "Минераловодская газовая компания"</w:t>
            </w:r>
          </w:p>
        </w:tc>
        <w:tc>
          <w:tcPr>
            <w:tcW w:w="297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г. Мин-Воды,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Ставропольская, 25</w:t>
            </w:r>
          </w:p>
        </w:tc>
        <w:tc>
          <w:tcPr>
            <w:tcW w:w="127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10631" w:type="dxa"/>
            <w:gridSpan w:val="6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Нефтекумский муниципальный округ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пожарной охраны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22 ПСЧ 4 ПСО ФПС ГПС ГУ МЧС России по СК</w:t>
            </w:r>
          </w:p>
        </w:tc>
        <w:tc>
          <w:tcPr>
            <w:tcW w:w="3088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г. Нефтекумск,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Восточная, 2</w:t>
            </w:r>
          </w:p>
        </w:tc>
        <w:tc>
          <w:tcPr>
            <w:tcW w:w="1165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2.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полиции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Отдел МВД России  «Нефтекумский» ГУ МВД России по СК</w:t>
            </w:r>
          </w:p>
        </w:tc>
        <w:tc>
          <w:tcPr>
            <w:tcW w:w="3088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г. Нефтекумск,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Дзержинского, 7 а</w:t>
            </w:r>
          </w:p>
        </w:tc>
        <w:tc>
          <w:tcPr>
            <w:tcW w:w="1165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3.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скорой медицинской помощи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 </w:t>
            </w:r>
            <w:r>
              <w:rPr>
                <w:rFonts w:ascii="Times New Roman" w:hAnsi="Times New Roman"/>
                <w:b w:val="false"/>
                <w:sz w:val="22"/>
              </w:rPr>
              <w:t>ГБУЗ СК «Нефтекумская РБ», отделение СМП</w:t>
            </w:r>
          </w:p>
        </w:tc>
        <w:tc>
          <w:tcPr>
            <w:tcW w:w="3088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г. Нефтекумск,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Транспортная, 22</w:t>
            </w:r>
          </w:p>
        </w:tc>
        <w:tc>
          <w:tcPr>
            <w:tcW w:w="1165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4.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Аварийная служба газовой сети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АО «Нефтекумскрайгаз» АДС</w:t>
            </w:r>
          </w:p>
        </w:tc>
        <w:tc>
          <w:tcPr>
            <w:tcW w:w="3088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г. Нефтекумск,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Шоссейная, 15</w:t>
            </w:r>
          </w:p>
        </w:tc>
        <w:tc>
          <w:tcPr>
            <w:tcW w:w="1165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10631" w:type="dxa"/>
            <w:gridSpan w:val="6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Новоалександровский муниципальный округ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пожарной охраны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4 ПСЧ 3 ПСО ФПС ГПС ГУ МЧС России по СК</w:t>
            </w:r>
          </w:p>
        </w:tc>
        <w:tc>
          <w:tcPr>
            <w:tcW w:w="3088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г. Новоалександровск,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Заводская, 18</w:t>
            </w:r>
          </w:p>
        </w:tc>
        <w:tc>
          <w:tcPr>
            <w:tcW w:w="1165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2.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полиции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Отдел МВД России  «Новоалександровский» ГУ МВД России по СК</w:t>
            </w:r>
          </w:p>
        </w:tc>
        <w:tc>
          <w:tcPr>
            <w:tcW w:w="3088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г. Новоалександровск,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Гагарина, 388</w:t>
            </w:r>
          </w:p>
        </w:tc>
        <w:tc>
          <w:tcPr>
            <w:tcW w:w="1165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3.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скорой медицинской помощи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ГБУЗ СК «Новоалександровская РБ»</w:t>
            </w:r>
          </w:p>
        </w:tc>
        <w:tc>
          <w:tcPr>
            <w:tcW w:w="3088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г. Новоалександровск,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пер. Больничный, 1</w:t>
            </w:r>
          </w:p>
        </w:tc>
        <w:tc>
          <w:tcPr>
            <w:tcW w:w="1165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4.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Аварийная служба газовой сети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АО «Новоалександровск-райгаз»,</w:t>
            </w:r>
          </w:p>
        </w:tc>
        <w:tc>
          <w:tcPr>
            <w:tcW w:w="3088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г. Новоалександровск,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пер. Красноармейский, 59</w:t>
            </w:r>
          </w:p>
        </w:tc>
        <w:tc>
          <w:tcPr>
            <w:tcW w:w="1165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10631" w:type="dxa"/>
            <w:gridSpan w:val="6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Новоселицкий муниципальный округ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пожарной охраны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31 ПСЧ 4 ПСО ФПС ГПС ГУ МЧС России по СК</w:t>
            </w:r>
          </w:p>
        </w:tc>
        <w:tc>
          <w:tcPr>
            <w:tcW w:w="3088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с. Новоселицкое,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Шоссейная, 18</w:t>
            </w:r>
          </w:p>
        </w:tc>
        <w:tc>
          <w:tcPr>
            <w:tcW w:w="1165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2.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полиции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Отдел МВД России  «Новоселицкий» ГУ МВД России по СК</w:t>
            </w:r>
          </w:p>
        </w:tc>
        <w:tc>
          <w:tcPr>
            <w:tcW w:w="3088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с. Новоселицкое,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пер. Кавказский, 1</w:t>
            </w:r>
          </w:p>
        </w:tc>
        <w:tc>
          <w:tcPr>
            <w:tcW w:w="1165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3.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скорой медицинской помощи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 </w:t>
            </w:r>
            <w:r>
              <w:rPr>
                <w:rFonts w:ascii="Times New Roman" w:hAnsi="Times New Roman"/>
                <w:b w:val="false"/>
                <w:sz w:val="22"/>
              </w:rPr>
              <w:t xml:space="preserve">ГБУЗ СК  «Новоселицкая РБ» </w:t>
            </w:r>
          </w:p>
        </w:tc>
        <w:tc>
          <w:tcPr>
            <w:tcW w:w="3088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с. Новоселицкое,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Шоссейная, 13</w:t>
            </w:r>
          </w:p>
        </w:tc>
        <w:tc>
          <w:tcPr>
            <w:tcW w:w="1165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4.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Аварийная служба газовой сети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АО "Новоселицкрайгаз". </w:t>
            </w:r>
          </w:p>
        </w:tc>
        <w:tc>
          <w:tcPr>
            <w:tcW w:w="3088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с. Новоселицкое,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Шоссейная, 7</w:t>
            </w:r>
          </w:p>
        </w:tc>
        <w:tc>
          <w:tcPr>
            <w:tcW w:w="1165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10631" w:type="dxa"/>
            <w:gridSpan w:val="6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Петровский муниципальный округ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пожарной охраны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18 ПСЧ 5 ПСО ФПС ГПС ГУ МЧС России по СК</w:t>
            </w:r>
          </w:p>
        </w:tc>
        <w:tc>
          <w:tcPr>
            <w:tcW w:w="3088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г. Светлоград ,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Трудовая 1</w:t>
            </w:r>
          </w:p>
        </w:tc>
        <w:tc>
          <w:tcPr>
            <w:tcW w:w="1165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2.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полиции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Отдел МВД России  «Петровский» ГУ МВД России по СК</w:t>
            </w:r>
          </w:p>
        </w:tc>
        <w:tc>
          <w:tcPr>
            <w:tcW w:w="3088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г. Светлоград,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Красная , 61</w:t>
            </w:r>
          </w:p>
        </w:tc>
        <w:tc>
          <w:tcPr>
            <w:tcW w:w="1165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3.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скорой медицинской помощи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ГБУЗ СК «Петровская РБ»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  <w:b w:val="false"/>
                <w:sz w:val="22"/>
              </w:rPr>
            </w:pPr>
            <w:r>
              <w:rPr>
                <w:rFonts w:ascii="Times New Roman" w:hAnsi="Times New Roman"/>
                <w:b w:val="false"/>
                <w:sz w:val="22"/>
              </w:rPr>
            </w:r>
          </w:p>
        </w:tc>
        <w:tc>
          <w:tcPr>
            <w:tcW w:w="3088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г. Светлоград,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Калинина,  67</w:t>
            </w:r>
          </w:p>
        </w:tc>
        <w:tc>
          <w:tcPr>
            <w:tcW w:w="1165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4.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Аварийная служба газовой сети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АО "Светлоградрайгаз". </w:t>
            </w:r>
          </w:p>
        </w:tc>
        <w:tc>
          <w:tcPr>
            <w:tcW w:w="3088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г. Светлоград,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Комсомольская, 59</w:t>
            </w:r>
          </w:p>
        </w:tc>
        <w:tc>
          <w:tcPr>
            <w:tcW w:w="1165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10631" w:type="dxa"/>
            <w:gridSpan w:val="6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Предгорный муниципальный округ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пожарной охраны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10 ПСЧ 2 ПСО ФПС ГПС ГУ МЧС России по СК</w:t>
            </w:r>
          </w:p>
        </w:tc>
        <w:tc>
          <w:tcPr>
            <w:tcW w:w="3088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ст. Ессентукская,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Этокская, 190 А.</w:t>
            </w:r>
          </w:p>
        </w:tc>
        <w:tc>
          <w:tcPr>
            <w:tcW w:w="1165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2.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полиции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Отдел МВД России   «Предгорный» ГУ МВД России по СК</w:t>
            </w:r>
          </w:p>
        </w:tc>
        <w:tc>
          <w:tcPr>
            <w:tcW w:w="3088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ст. Ессентукская,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Гагарина, 76</w:t>
            </w:r>
          </w:p>
        </w:tc>
        <w:tc>
          <w:tcPr>
            <w:tcW w:w="1165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3.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скорой медицинской помощи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ГБУЗ СК "Предгорная РБ"</w:t>
            </w:r>
          </w:p>
        </w:tc>
        <w:tc>
          <w:tcPr>
            <w:tcW w:w="3088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ст. Ессентукская,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Павлова, 4</w:t>
            </w:r>
          </w:p>
        </w:tc>
        <w:tc>
          <w:tcPr>
            <w:tcW w:w="1165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4.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Аварийная служба газовой сети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АО "Предгорныйрайгаз"</w:t>
            </w:r>
          </w:p>
        </w:tc>
        <w:tc>
          <w:tcPr>
            <w:tcW w:w="3088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ст. Ессентукская,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Московская, 41</w:t>
            </w:r>
          </w:p>
        </w:tc>
        <w:tc>
          <w:tcPr>
            <w:tcW w:w="1165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10631" w:type="dxa"/>
            <w:gridSpan w:val="6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Советский муниципальный округ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пожарной охраны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25 ПСЧ 4 ПСО ФПС ГПС ГУ МЧС России по СК</w:t>
            </w:r>
          </w:p>
        </w:tc>
        <w:tc>
          <w:tcPr>
            <w:tcW w:w="3088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г. Зеленокумск,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Советская, 10</w:t>
            </w:r>
          </w:p>
        </w:tc>
        <w:tc>
          <w:tcPr>
            <w:tcW w:w="1165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2.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полиции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Отдел МВД России  «Советский» ГУ МВД России по СК</w:t>
            </w:r>
          </w:p>
        </w:tc>
        <w:tc>
          <w:tcPr>
            <w:tcW w:w="3088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г. Зеленокумск,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площадь Ленина, 8</w:t>
            </w:r>
          </w:p>
        </w:tc>
        <w:tc>
          <w:tcPr>
            <w:tcW w:w="1165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3.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скорой медицинской помощи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ГБУЗ СК «Зеленокумская РБ»</w:t>
            </w:r>
          </w:p>
        </w:tc>
        <w:tc>
          <w:tcPr>
            <w:tcW w:w="3088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г. Зеленокумск,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пл. Ленина,13</w:t>
            </w:r>
          </w:p>
        </w:tc>
        <w:tc>
          <w:tcPr>
            <w:tcW w:w="1165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4.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Аварийная служба газовой сети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АО "Зеленокумскрайгаз"</w:t>
            </w:r>
          </w:p>
        </w:tc>
        <w:tc>
          <w:tcPr>
            <w:tcW w:w="3088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г. Зеленокумск,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50 лет Октября, 105</w:t>
            </w:r>
          </w:p>
        </w:tc>
        <w:tc>
          <w:tcPr>
            <w:tcW w:w="1165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10631" w:type="dxa"/>
            <w:gridSpan w:val="6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Степновский муниципальный округ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пожарной охраны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27 ПСЧ 4 ПСО ФПС ГПС ГУ МЧС России по СК</w:t>
            </w:r>
          </w:p>
        </w:tc>
        <w:tc>
          <w:tcPr>
            <w:tcW w:w="3088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с. Степное,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пер. Чугуева, д. 64</w:t>
            </w:r>
          </w:p>
        </w:tc>
        <w:tc>
          <w:tcPr>
            <w:tcW w:w="1165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2.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полиции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Отдел МВД России  «Степновский» ГУ МВД России по СК</w:t>
            </w:r>
          </w:p>
        </w:tc>
        <w:tc>
          <w:tcPr>
            <w:tcW w:w="3088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с. Степное,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П. Явецкого, д.55</w:t>
            </w:r>
          </w:p>
        </w:tc>
        <w:tc>
          <w:tcPr>
            <w:tcW w:w="1165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3.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скорой медицинской помощи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ГБУЗ СК «Степновская РБ»</w:t>
            </w:r>
          </w:p>
        </w:tc>
        <w:tc>
          <w:tcPr>
            <w:tcW w:w="3088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с. Степное,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Додонова, д. 22</w:t>
            </w:r>
          </w:p>
        </w:tc>
        <w:tc>
          <w:tcPr>
            <w:tcW w:w="1165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4.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Аварийная служба газовой сети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АО "Степновскрайгаз" </w:t>
            </w:r>
          </w:p>
        </w:tc>
        <w:tc>
          <w:tcPr>
            <w:tcW w:w="3088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с. Степное,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Додонова, д. 42</w:t>
            </w:r>
          </w:p>
        </w:tc>
        <w:tc>
          <w:tcPr>
            <w:tcW w:w="1165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10631" w:type="dxa"/>
            <w:gridSpan w:val="6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Труновский муниципальный округ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пожарной охраны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6 ПСЧ 3 ПСО ФПС ГПС ГУ МЧС России по СК</w:t>
            </w:r>
          </w:p>
        </w:tc>
        <w:tc>
          <w:tcPr>
            <w:tcW w:w="3088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с. Донское,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Промышленная, 2</w:t>
            </w:r>
          </w:p>
        </w:tc>
        <w:tc>
          <w:tcPr>
            <w:tcW w:w="1165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2.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полиции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Отдел МВД России  «Труновский» ГУ МВД России по СК</w:t>
            </w:r>
          </w:p>
        </w:tc>
        <w:tc>
          <w:tcPr>
            <w:tcW w:w="3088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с. Донское,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пр. Дзержинского, д. 3</w:t>
            </w:r>
          </w:p>
        </w:tc>
        <w:tc>
          <w:tcPr>
            <w:tcW w:w="1165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3.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скорой медицинской помощи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ГБУЗ СК "Труновская РБ" </w:t>
            </w:r>
          </w:p>
        </w:tc>
        <w:tc>
          <w:tcPr>
            <w:tcW w:w="3088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с. Донское,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Солненчная, д.26</w:t>
            </w:r>
          </w:p>
        </w:tc>
        <w:tc>
          <w:tcPr>
            <w:tcW w:w="1165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4.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Аварийная служба газовой сети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АО «Труновскрайгаз»</w:t>
            </w:r>
          </w:p>
        </w:tc>
        <w:tc>
          <w:tcPr>
            <w:tcW w:w="3088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с. Донское,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Октябрьская, д.14б</w:t>
            </w:r>
          </w:p>
        </w:tc>
        <w:tc>
          <w:tcPr>
            <w:tcW w:w="1165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10631" w:type="dxa"/>
            <w:gridSpan w:val="6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Туркменский муниципальный округ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пожарной охраны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32 ПСЧ 5 ПСО ФПС ГПС ГУ МЧС России по СК</w:t>
            </w:r>
          </w:p>
        </w:tc>
        <w:tc>
          <w:tcPr>
            <w:tcW w:w="3088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с. Летняя Ставка,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Чкалова,14</w:t>
            </w:r>
          </w:p>
        </w:tc>
        <w:tc>
          <w:tcPr>
            <w:tcW w:w="1165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2.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полиции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Отдел МВД России  «Туркменский» ГУ МВД России по СК </w:t>
            </w:r>
          </w:p>
        </w:tc>
        <w:tc>
          <w:tcPr>
            <w:tcW w:w="3088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с. Летняя Ставка,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Советская,126</w:t>
            </w:r>
          </w:p>
        </w:tc>
        <w:tc>
          <w:tcPr>
            <w:tcW w:w="1165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3.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скорой медицинской помощи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ГБУЗ «Туркменская РБ»</w:t>
            </w:r>
          </w:p>
        </w:tc>
        <w:tc>
          <w:tcPr>
            <w:tcW w:w="3088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с. Летняя Ставка,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Больничная, 5</w:t>
            </w:r>
          </w:p>
        </w:tc>
        <w:tc>
          <w:tcPr>
            <w:tcW w:w="1165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4.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Аварийная служба газовой сети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АО "Туркменскрайгаз" </w:t>
            </w:r>
          </w:p>
        </w:tc>
        <w:tc>
          <w:tcPr>
            <w:tcW w:w="3088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с. Летняя Ставка,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Кооперативная,29</w:t>
            </w:r>
          </w:p>
        </w:tc>
        <w:tc>
          <w:tcPr>
            <w:tcW w:w="1165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10631" w:type="dxa"/>
            <w:gridSpan w:val="6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Шпаковский муниципальный округ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пожарной охраны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2 ПСЧ 3 ПСО ФПС ГПС ГУ МЧС России по СК</w:t>
            </w:r>
          </w:p>
        </w:tc>
        <w:tc>
          <w:tcPr>
            <w:tcW w:w="3088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г. Михайловск,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пер. Промышленный, 31а</w:t>
            </w:r>
          </w:p>
        </w:tc>
        <w:tc>
          <w:tcPr>
            <w:tcW w:w="1165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2.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полиции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Отдел МВД России  «Шпаковский» ГУ МВД России по СК</w:t>
            </w:r>
          </w:p>
        </w:tc>
        <w:tc>
          <w:tcPr>
            <w:tcW w:w="3088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г. Михайловск,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Гагарина,324</w:t>
            </w:r>
          </w:p>
        </w:tc>
        <w:tc>
          <w:tcPr>
            <w:tcW w:w="1165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3.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Служба скорой медицинской помощи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 </w:t>
            </w:r>
            <w:r>
              <w:rPr>
                <w:rFonts w:ascii="Times New Roman" w:hAnsi="Times New Roman"/>
                <w:b w:val="false"/>
                <w:sz w:val="22"/>
              </w:rPr>
              <w:t xml:space="preserve">ГБУЗ СК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«Шпаковская РБ»   </w:t>
            </w:r>
          </w:p>
        </w:tc>
        <w:tc>
          <w:tcPr>
            <w:tcW w:w="3088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г. Михайловск,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К. Маркса 126/3</w:t>
            </w:r>
          </w:p>
        </w:tc>
        <w:tc>
          <w:tcPr>
            <w:tcW w:w="1165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4.</w:t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Аварийная служба газовой сети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ОАО "Шпаковскрайгаз" </w:t>
            </w:r>
          </w:p>
        </w:tc>
        <w:tc>
          <w:tcPr>
            <w:tcW w:w="3088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 xml:space="preserve">г. Михайловск,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ул. Трактовая,14</w:t>
            </w:r>
          </w:p>
        </w:tc>
        <w:tc>
          <w:tcPr>
            <w:tcW w:w="1165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1</w:t>
            </w:r>
          </w:p>
        </w:tc>
      </w:tr>
      <w:tr>
        <w:trPr>
          <w:trHeight w:val="541" w:hRule="atLeast"/>
        </w:trPr>
        <w:tc>
          <w:tcPr>
            <w:tcW w:w="42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rPr>
                <w:rFonts w:ascii="Times New Roman" w:hAnsi="Times New Roman"/>
                <w:b w:val="false"/>
                <w:sz w:val="22"/>
              </w:rPr>
            </w:pPr>
            <w:r>
              <w:rPr>
                <w:rFonts w:ascii="Times New Roman" w:hAnsi="Times New Roman"/>
                <w:b w:val="false"/>
                <w:sz w:val="22"/>
              </w:rPr>
            </w:r>
          </w:p>
        </w:tc>
        <w:tc>
          <w:tcPr>
            <w:tcW w:w="226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ЗИП</w:t>
            </w:r>
          </w:p>
        </w:tc>
        <w:tc>
          <w:tcPr>
            <w:tcW w:w="3686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Центральный узел связи ПАО «Ростелеком» г.Ставрополь</w:t>
            </w:r>
          </w:p>
        </w:tc>
        <w:tc>
          <w:tcPr>
            <w:tcW w:w="3088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г.Ставрополь, ул.Мира,290</w:t>
            </w:r>
          </w:p>
        </w:tc>
        <w:tc>
          <w:tcPr>
            <w:tcW w:w="1165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sz w:val="22"/>
              </w:rPr>
              <w:t>5</w:t>
            </w:r>
          </w:p>
        </w:tc>
      </w:tr>
      <w:tr>
        <w:trPr>
          <w:trHeight w:val="541" w:hRule="atLeast"/>
        </w:trPr>
        <w:tc>
          <w:tcPr>
            <w:tcW w:w="2692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0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2"/>
              </w:rPr>
              <w:t>ИТОГО</w:t>
            </w:r>
          </w:p>
        </w:tc>
        <w:tc>
          <w:tcPr>
            <w:tcW w:w="6774" w:type="dxa"/>
            <w:gridSpan w:val="3"/>
            <w:tcBorders>
              <w:top w:val="single" w:sz="4" w:space="0" w:color="00000A"/>
              <w:start w:val="single" w:sz="4" w:space="0" w:color="00000A"/>
              <w:bottom w:val="single" w:sz="4" w:space="0" w:color="000000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</w:r>
          </w:p>
        </w:tc>
        <w:tc>
          <w:tcPr>
            <w:tcW w:w="1165" w:type="dxa"/>
            <w:tcBorders>
              <w:top w:val="single" w:sz="4" w:space="0" w:color="00000A"/>
              <w:start w:val="single" w:sz="4" w:space="0" w:color="00000A"/>
              <w:bottom w:val="single" w:sz="4" w:space="0" w:color="000000"/>
              <w:end w:val="single" w:sz="4" w:space="0" w:color="00000A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2"/>
              </w:rPr>
              <w:t>139</w:t>
            </w:r>
          </w:p>
        </w:tc>
      </w:tr>
    </w:tbl>
    <w:p>
      <w:pPr>
        <w:pStyle w:val="Normal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br w:type="page"/>
      </w:r>
    </w:p>
    <w:p>
      <w:pPr>
        <w:pStyle w:val="Normal"/>
        <w:widowControl/>
        <w:spacing w:lineRule="auto" w:line="240" w:before="0" w:after="240"/>
        <w:ind w:hanging="0" w:start="0" w:end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Обязательные требования</w:t>
      </w:r>
    </w:p>
    <w:p>
      <w:pPr>
        <w:pStyle w:val="Normal"/>
        <w:widowControl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Во исполнение требований Федерального закона Российской Федерации от 04 мая 2011 г. № 99-ФЗ «О лицензировании отдельных видов деятельности» участники закупки должны иметь следующие лицензии:</w:t>
      </w:r>
    </w:p>
    <w:p>
      <w:pPr>
        <w:pStyle w:val="Normal"/>
        <w:widowControl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>Лицензия ФСТЭК России на осуществление деятельности по технической защите конфиденциальной информации, включающая следующие виды работ и услуг в соответствии с Постановлением Правительства РФ от 03 февраля 2012 г. № 79 «О лицензировании деятельности по технической защите конфиденциальной информации»:</w:t>
      </w:r>
    </w:p>
    <w:p>
      <w:pPr>
        <w:pStyle w:val="Normal"/>
        <w:widowControl/>
        <w:spacing w:lineRule="auto" w:line="240" w:before="0" w:after="0"/>
        <w:ind w:hanging="0" w:start="709" w:end="0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>услуги по установке, монтажу, наладке, испытаниям, ремонту средств защиты информации (технических средств защиты информации, защищенных технических средств обработки информации, технических средств контроля эффективности мер защиты информации, программных (программно-технических) средств защиты информации, защищенных программных (программно-технических) средств обработки информации, программных (программно-технических) средств контроля эффективности защиты информации);</w:t>
      </w:r>
    </w:p>
    <w:p>
      <w:pPr>
        <w:pStyle w:val="Normal"/>
        <w:widowControl/>
        <w:tabs>
          <w:tab w:val="clear" w:pos="720"/>
        </w:tabs>
        <w:spacing w:lineRule="auto" w:line="240" w:before="0" w:after="0"/>
        <w:ind w:firstLine="709" w:start="0" w:end="0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>Лицензия ФСБ России включающая следующие виды работ и услуг в соответствии с Положением о лицензировании деятельности по разработке, производству, распространению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выполнению работ, оказанию услуг в области шифрования информации, техническому обслуживанию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 (за исключением случая, если техническое обслуживание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осуществляется для обеспечения собственных нужд юридического лица или индивидуального предпринимателя), утвержденного постановлением Правительства Российской Федерации от 16 апреля 2012 г. № 313:</w:t>
      </w:r>
    </w:p>
    <w:p>
      <w:pPr>
        <w:pStyle w:val="Normal"/>
        <w:widowControl/>
        <w:tabs>
          <w:tab w:val="clear" w:pos="720"/>
        </w:tabs>
        <w:spacing w:lineRule="auto" w:line="240" w:before="0" w:after="0"/>
        <w:ind w:hanging="0" w:start="728" w:end="0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>монтаж, установка (инсталляция), наладка шифровальных (криптографических) средств, за исключением шифровальных (криптографических) средств защиты фискальных данных, разработанных для применения в составе контрольно-кассовой техники, сертифицированных Федеральной службой безопасности Российской Федерации, и шифровальных (криптографических) средств, разработанных для применения в составе технологии, реализуемой промежуточными элементами интеллектуальной системы учета электрической энергии (мощности) и приборами учета электрической энергии, сертифицированных Федеральной службой безопасности Российской Федерации;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  <w:highlight w:val="white"/>
        </w:rPr>
        <w:t>передача шифровальных (криптографических) средств, за исключением шифровальных (криптографических) средств защиты фискальных данных, разработанных для применения в составе контрольно-кассовой техники, сертифицированных Федеральной службой безопасности Российской Федерации, и шифровальных (криптографических) средств, разработанных для применения в составе технологии, реализуемой промежуточными элементами интеллектуальной системы учета электрической энергии (мощности) и приборами учета электрической энергии, сертифицированных Федеральной службой безопасности Российской Федерации.</w:t>
      </w:r>
    </w:p>
    <w:sectPr>
      <w:type w:val="nextPage"/>
      <w:pgSz w:w="11906" w:h="16838"/>
      <w:pgMar w:left="737" w:right="737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XO Thames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Times New Roman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XO Thames" w:hAnsi="XO Thames" w:eastAsia="Tahoma" w:cs="Noto Sans"/>
        <w:color w:val="000000"/>
        <w:sz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40" w:before="0" w:after="0"/>
      <w:ind w:hanging="0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1">
    <w:name w:val="heading 1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start="0" w:end="0"/>
      <w:jc w:val="both"/>
      <w:outlineLvl w:val="0"/>
    </w:pPr>
    <w:rPr>
      <w:rFonts w:ascii="XO Thames" w:hAnsi="XO Thames" w:eastAsia="Tahoma" w:cs="Noto 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">
    <w:name w:val="heading 2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start="0" w:end="0"/>
      <w:jc w:val="both"/>
      <w:outlineLvl w:val="1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start="0" w:end="0"/>
      <w:jc w:val="both"/>
      <w:outlineLvl w:val="2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start="0" w:end="0"/>
      <w:jc w:val="both"/>
      <w:outlineLvl w:val="3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start="0" w:end="0"/>
      <w:jc w:val="both"/>
      <w:outlineLvl w:val="4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Endnote">
    <w:name w:val="Endnote"/>
    <w:link w:val="Endnote1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Heading11">
    <w:name w:val="Heading 11"/>
    <w:qFormat/>
    <w:rPr>
      <w:rFonts w:ascii="XO Thames" w:hAnsi="XO Thames"/>
      <w:b/>
      <w:sz w:val="32"/>
    </w:rPr>
  </w:style>
  <w:style w:type="character" w:styleId="Hyperlink">
    <w:name w:val="Hyperlink"/>
    <w:rPr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Heading21">
    <w:name w:val="Heading 21"/>
    <w:qFormat/>
    <w:rPr>
      <w:rFonts w:ascii="XO Thames" w:hAnsi="XO Thames"/>
      <w:b/>
      <w:sz w:val="28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20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60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100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120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1">
    <w:name w:val="Endnote1"/>
    <w:link w:val="Endnote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40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">
    <w:name w:val="Internet link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FF"/>
      <w:spacing w:val="0"/>
      <w:kern w:val="0"/>
      <w:sz w:val="24"/>
      <w:szCs w:val="20"/>
      <w:u w:val="single"/>
      <w:lang w:val="ru-RU" w:eastAsia="zh-CN" w:bidi="hi-IN"/>
    </w:rPr>
  </w:style>
  <w:style w:type="paragraph" w:styleId="Footnote1">
    <w:name w:val="Footnote1"/>
    <w:link w:val="Footnote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user2">
    <w:name w:val="Колонтитулы (user)"/>
    <w:qFormat/>
    <w:pPr>
      <w:widowControl/>
      <w:suppressAutoHyphens w:val="true"/>
      <w:bidi w:val="0"/>
      <w:spacing w:lineRule="auto" w:line="240" w:before="0" w:after="0"/>
      <w:ind w:hanging="0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160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140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80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suppressAutoHyphens w:val="true"/>
      <w:bidi w:val="0"/>
      <w:spacing w:lineRule="auto" w:line="240" w:before="0" w:after="0"/>
      <w:ind w:hanging="0" w:start="0" w:end="0"/>
      <w:jc w:val="both"/>
    </w:pPr>
    <w:rPr>
      <w:rFonts w:ascii="XO Thames" w:hAnsi="XO Thames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suppressAutoHyphens w:val="true"/>
      <w:bidi w:val="0"/>
      <w:spacing w:lineRule="auto" w:line="240" w:before="567" w:after="567"/>
      <w:ind w:hanging="0" w:start="0" w:end="0"/>
      <w:jc w:val="center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 pitchFamily="0" charset="1"/>
        <a:ea typeface=""/>
        <a:cs typeface=""/>
      </a:majorFont>
      <a:minorFont>
        <a:latin typeface="XO Thames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63000"/>
              </a:schemeClr>
            </a:gs>
            <a:gs pos="100000">
              <a:schemeClr val="phClr">
                <a:tint val="8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</a:schemeClr>
            </a:gs>
            <a:gs pos="40000">
              <a:schemeClr val="phClr">
                <a:tint val="5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2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LibreOffice/25.8.7.3$Linux_X86_64 LibreOffice_project/30742500f2d3eb4366ac312fa33d3dcabdb3eba5</Application>
  <AppVersion>15.0000</AppVersion>
  <Pages>4</Pages>
  <Words>3553</Words>
  <Characters>20860</Characters>
  <CharactersWithSpaces>23623</CharactersWithSpaces>
  <Paragraphs>983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2025-07-25T09:04:47Z</dcterms:created>
  <dc:creator/>
  <dc:description/>
  <dc:language>ru-RU</dc:language>
  <cp:lastModifiedBy/>
  <dcterms:modified xsi:type="dcterms:W3CDTF">2026-09-18T14:16:06Z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