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/>
        <w:jc w:val="center"/>
        <w:rPr>
          <w:b/>
          <w:bCs/>
          <w:sz w:val="24"/>
          <w:szCs w:val="24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ОКПД 2: </w:t>
      </w: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20.30.22.170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Поставка полиуретановой смолы для нужд Кубанского филиала</w:t>
      </w:r>
    </w:p>
    <w:p>
      <w:pPr>
        <w:pStyle w:val="Normal"/>
        <w:ind w:hanging="0" w:left="-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/>
        <w:outlineLvl w:val="1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/>
        <w:ind w:hanging="0" w:lef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tbl>
      <w:tblPr>
        <w:tblW w:w="10492" w:type="dxa"/>
        <w:jc w:val="left"/>
        <w:tblInd w:w="-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10033"/>
        <w:gridCol w:w="458"/>
      </w:tblGrid>
      <w:tr>
        <w:trPr>
          <w:trHeight w:val="405" w:hRule="atLeast"/>
        </w:trPr>
        <w:tc>
          <w:tcPr>
            <w:tcW w:w="10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1. Общие сведения</w:t>
            </w:r>
          </w:p>
        </w:tc>
        <w:tc>
          <w:tcPr>
            <w:tcW w:w="4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 Наименование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2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Цель использования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  <w:tab/>
              <w:t>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1.1 Перечень и объем закупаемой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3"/>
              <w:widowControl w:val="false"/>
              <w:spacing w:before="0"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</w:t>
              <w:tab/>
              <w:t>Требования к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2.1 Требования по срокам поставки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2.2 Требование к качеству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0033" w:type="dxa"/>
            <w:tcBorders>
              <w:left w:val="single" w:sz="4" w:space="0" w:color="FFFFFF"/>
              <w:bottom w:val="single" w:sz="4" w:space="0" w:color="FFFFFF"/>
            </w:tcBorders>
          </w:tcPr>
          <w:p>
            <w:pPr>
              <w:pStyle w:val="TOC1"/>
              <w:widowControl w:val="false"/>
              <w:spacing w:before="0" w:after="100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Таблица 3. Требования к продукции</w:t>
            </w:r>
          </w:p>
        </w:tc>
        <w:tc>
          <w:tcPr>
            <w:tcW w:w="4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Style19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TOC2"/>
        <w:rPr>
          <w:rFonts w:ascii="Times New Roman" w:hAnsi="Times New Roman" w:eastAsia="Times New Roman" w:cs="Times New Roman"/>
          <w:b/>
          <w:bCs/>
          <w:lang w:eastAsia="ar-SA"/>
        </w:rPr>
      </w:pPr>
      <w:r>
        <w:rPr>
          <w:rFonts w:eastAsia="Times New Roman" w:cs="Times New Roman" w:ascii="Times New Roman" w:hAnsi="Times New Roman"/>
          <w:b/>
          <w:bCs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ar-SA"/>
        </w:rPr>
      </w:r>
    </w:p>
    <w:p>
      <w:pPr>
        <w:pStyle w:val="Heading1"/>
        <w:keepLines/>
        <w:numPr>
          <w:ilvl w:val="0"/>
          <w:numId w:val="7"/>
        </w:numPr>
        <w:jc w:val="center"/>
        <w:rPr>
          <w:sz w:val="24"/>
          <w:szCs w:val="24"/>
        </w:rPr>
      </w:pPr>
      <w:bookmarkStart w:id="1" w:name="_Toc125476050"/>
      <w:bookmarkStart w:id="2" w:name="_Toc125473240"/>
      <w:bookmarkStart w:id="3" w:name="_Toc75446566"/>
      <w:bookmarkStart w:id="4" w:name="_Toc51339692"/>
      <w:r>
        <w:rPr>
          <w:sz w:val="24"/>
          <w:szCs w:val="24"/>
          <w:lang w:val="ru-RU"/>
        </w:rPr>
        <w:t>Общие сведения</w:t>
      </w:r>
      <w:bookmarkEnd w:id="1"/>
      <w:bookmarkEnd w:id="2"/>
      <w:bookmarkEnd w:id="3"/>
      <w:bookmarkEnd w:id="4"/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5" w:name="_Toc125476051"/>
      <w:bookmarkStart w:id="6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</w:p>
    <w:p>
      <w:pPr>
        <w:pStyle w:val="Normal"/>
        <w:widowControl/>
        <w:suppressAutoHyphens w:val="true"/>
        <w:bidi w:val="0"/>
        <w:spacing w:before="0" w:after="0"/>
        <w:ind w:hanging="0" w:left="0" w:right="22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ОКПД 2: </w:t>
      </w:r>
      <w:r>
        <w:rPr>
          <w:rStyle w:val="Strong"/>
          <w:rFonts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20.30.22.170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Поставка полиуретановой смолы для нужд Кубанского филиала</w:t>
      </w:r>
      <w:r>
        <w:rPr>
          <w:rFonts w:cs="Times New Roman" w:ascii="Times New Roman" w:hAnsi="Times New Roman"/>
          <w:sz w:val="24"/>
          <w:szCs w:val="24"/>
        </w:rPr>
        <w:t xml:space="preserve"> (далее продукция).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22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widowControl w:val="false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widowControl/>
        <w:tabs>
          <w:tab w:val="clear" w:pos="708"/>
          <w:tab w:val="left" w:pos="426" w:leader="none"/>
          <w:tab w:val="left" w:pos="993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Исполнение обязательств по Договору подряда № 1190-288-2023 от 11.10.2023 «Капитальный и текущий ремонт оборудования, зданий и сооружений Филиала ПАО «РусГидро» - «Карачаево-Черкесский филиал» заключенного между ПАО «РусГидро» и АО «Гидроремонт-ВКК».</w:t>
      </w:r>
      <w:bookmarkStart w:id="9" w:name="_Toc125473249"/>
      <w:bookmarkStart w:id="10" w:name="_Toc125476056"/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sz w:val="24"/>
          <w:szCs w:val="24"/>
        </w:rPr>
      </w:pP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9"/>
      <w:bookmarkEnd w:id="10"/>
      <w:bookmarkEnd w:id="11"/>
      <w:bookmarkEnd w:id="12"/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bookmarkStart w:id="13" w:name="_Toc75446574"/>
      <w:r>
        <w:rPr>
          <w:bCs w:val="false"/>
        </w:rPr>
        <w:t>Требования к объемам и срокам постав</w:t>
      </w:r>
      <w:r>
        <w:rPr/>
        <w:t>ки</w:t>
      </w:r>
      <w:bookmarkEnd w:id="13"/>
      <w:r>
        <w:rPr/>
        <w:t>.</w:t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/>
          <w:sz w:val="24"/>
          <w:szCs w:val="24"/>
        </w:rPr>
      </w:pPr>
      <w:bookmarkStart w:id="14" w:name="_Toc125476057"/>
      <w:bookmarkStart w:id="15" w:name="_Toc75446575"/>
      <w:bookmarkStart w:id="16" w:name="_Toc125473250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/>
          <w:sz w:val="24"/>
          <w:szCs w:val="24"/>
        </w:rPr>
      </w:pPr>
      <w:bookmarkStart w:id="17" w:name="_Toc75446576"/>
      <w:bookmarkStart w:id="18" w:name="_Toc125476058"/>
      <w:bookmarkStart w:id="19" w:name="_Toc125473251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  <w:r>
        <w:rPr>
          <w:rFonts w:cs="Times New Roman" w:ascii="Times New Roman" w:hAnsi="Times New Roman"/>
          <w:b/>
          <w:sz w:val="24"/>
          <w:szCs w:val="24"/>
          <w:lang w:eastAsia="x-none"/>
        </w:rPr>
        <w:t>.</w:t>
      </w:r>
    </w:p>
    <w:tbl>
      <w:tblPr>
        <w:tblW w:w="9975" w:type="dxa"/>
        <w:jc w:val="left"/>
        <w:tblInd w:w="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7"/>
        <w:gridCol w:w="6241"/>
        <w:gridCol w:w="1698"/>
        <w:gridCol w:w="146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27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Смола полиуретановая PolyGrund 30-1K W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1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260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hanging="0" w:left="0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eastAsia="x-none"/>
        </w:rPr>
      </w:pPr>
      <w:bookmarkStart w:id="21" w:name="_Toc125476060"/>
      <w:bookmarkStart w:id="22" w:name="_Toc125473253"/>
      <w:bookmarkStart w:id="23" w:name="_Toc75446579"/>
      <w:bookmarkStart w:id="24" w:name="_Toc51339697"/>
      <w:bookmarkStart w:id="25" w:name="_Toc5012512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975" w:type="dxa"/>
        <w:jc w:val="left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623"/>
        <w:gridCol w:w="3556"/>
        <w:gridCol w:w="2963"/>
        <w:gridCol w:w="2832"/>
      </w:tblGrid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продукции/лота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969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 xml:space="preserve">ОКПД 2: 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20.30.22.170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 xml:space="preserve"> Поставка полиуретановой смолы для нужд Кубанского филиала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(Таблица 1.1 Перечень объемов закупаемой продукции)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течение 60 календарных дней, с даты подписания договора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</w:p>
    <w:p>
      <w:pPr>
        <w:sectPr>
          <w:footerReference w:type="default" r:id="rId2"/>
          <w:type w:val="nextPage"/>
          <w:pgSz w:w="11906" w:h="16838"/>
          <w:pgMar w:left="1134" w:right="857" w:gutter="0" w:header="0" w:top="1188" w:footer="1" w:bottom="1151"/>
          <w:pgNumType w:fmt="decimal"/>
          <w:formProt w:val="false"/>
          <w:textDirection w:val="lrTb"/>
          <w:docGrid w:type="default" w:linePitch="360" w:charSpace="36864"/>
        </w:sectPr>
        <w:pStyle w:val="Heading4"/>
        <w:numPr>
          <w:ilvl w:val="1"/>
          <w:numId w:val="4"/>
        </w:numPr>
        <w:tabs>
          <w:tab w:val="clear" w:pos="708"/>
          <w:tab w:val="left" w:pos="450" w:leader="none"/>
        </w:tabs>
        <w:spacing w:before="120" w:after="0"/>
        <w:ind w:hanging="0" w:left="0"/>
        <w:rPr>
          <w:sz w:val="26"/>
          <w:szCs w:val="26"/>
        </w:rPr>
      </w:pPr>
      <w:bookmarkStart w:id="27" w:name="_Toc125473255"/>
      <w:bookmarkStart w:id="28" w:name="_Toc125476061"/>
      <w:r>
        <w:rPr/>
        <w:t>Требования к качеству продукц</w:t>
      </w:r>
      <w:bookmarkEnd w:id="27"/>
      <w:bookmarkEnd w:id="28"/>
      <w:r>
        <w:rPr/>
        <w:t>ии</w:t>
      </w:r>
    </w:p>
    <w:p>
      <w:pPr>
        <w:pStyle w:val="Normal"/>
        <w:numPr>
          <w:ilvl w:val="0"/>
          <w:numId w:val="0"/>
        </w:numPr>
        <w:spacing w:before="240" w:after="0"/>
        <w:ind w:hanging="0" w:left="0"/>
        <w:outlineLvl w:val="0"/>
        <w:rPr>
          <w:rFonts w:ascii="Times New Roman" w:hAnsi="Times New Roman" w:cs="Times New Roman"/>
          <w:b/>
          <w:sz w:val="24"/>
          <w:szCs w:val="24"/>
          <w:lang w:val="x-none" w:eastAsia="x-none"/>
        </w:rPr>
      </w:pPr>
      <w:bookmarkStart w:id="29" w:name="_Toc125476062"/>
      <w:bookmarkStart w:id="30" w:name="_Toc125473256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29"/>
      <w:bookmarkEnd w:id="30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ar-SA"/>
        </w:rPr>
      </w:pPr>
      <w:bookmarkStart w:id="31" w:name="_Toc125473257"/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 xml:space="preserve">согласно Таблицы 1.1 </w:t>
      </w: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ar-SA"/>
        </w:rPr>
        <w:t>«</w:t>
      </w:r>
      <w:bookmarkEnd w:id="31"/>
      <w:r>
        <w:rPr>
          <w:rFonts w:cs="Times New Roman" w:ascii="Times New Roman" w:hAnsi="Times New Roman"/>
          <w:i/>
          <w:iCs/>
          <w:sz w:val="24"/>
          <w:szCs w:val="24"/>
          <w:lang w:eastAsia="ar-SA"/>
        </w:rPr>
        <w:t>Перечень объемов закупаемой продукции»</w:t>
      </w:r>
    </w:p>
    <w:tbl>
      <w:tblPr>
        <w:tblW w:w="14794" w:type="dxa"/>
        <w:jc w:val="left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735"/>
        <w:gridCol w:w="3173"/>
        <w:gridCol w:w="10886"/>
      </w:tblGrid>
      <w:tr>
        <w:trPr>
          <w:trHeight w:val="85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10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40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97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Смола полиуретановая</w:t>
            </w:r>
          </w:p>
        </w:tc>
      </w:tr>
      <w:tr>
        <w:trPr>
          <w:trHeight w:val="10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Марка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ru-RU"/>
              </w:rPr>
              <w:t>PolyGrund 30-1K W</w:t>
            </w:r>
          </w:p>
        </w:tc>
      </w:tr>
      <w:tr>
        <w:trPr>
          <w:trHeight w:val="10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Плотность при 20 °C, кг/л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</w:tr>
      <w:tr>
        <w:trPr>
          <w:trHeight w:val="10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Вязкость при 20 °C, </w:t>
            </w:r>
            <w:r>
              <w:rPr>
                <w:rFonts w:ascii="Times New Roman" w:hAnsi="Times New Roman"/>
                <w:sz w:val="24"/>
                <w:szCs w:val="24"/>
              </w:rPr>
              <w:t>мПа·с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</w:tr>
      <w:tr>
        <w:trPr>
          <w:trHeight w:val="10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Химическая основа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полиуретановые форполимеры на основе 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sz w:val="24"/>
                <w:szCs w:val="24"/>
              </w:rPr>
              <w:t>изоцианатов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.</w:t>
            </w:r>
          </w:p>
        </w:tc>
      </w:tr>
      <w:tr>
        <w:trPr>
          <w:trHeight w:val="10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Фасовка, л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>
        <w:trPr>
          <w:trHeight w:val="10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Страна производитель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Россия</w:t>
            </w:r>
          </w:p>
        </w:tc>
      </w:tr>
      <w:tr>
        <w:trPr>
          <w:trHeight w:val="75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679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Продукцию устанавливается гарантийный срок, 12 (двенадцать)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94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 экземпляра</w:t>
            </w:r>
          </w:p>
        </w:tc>
      </w:tr>
      <w:tr>
        <w:trPr>
          <w:trHeight w:val="249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Упаковочный лист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шт.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511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 объект Покупателя по адресу: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Кубанский филиал АО «Гидроремонт – ВКК» в г. Невинномысск, Ставропольский край, Кочубеевский р-н, с. Кочубеевское, АВТОДОРОГА «КАВКАЗ» 246КМ+1200М (СПРАВА) в рабочие дни: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8-00 до 12-00 и с 13-00 до 16-00 (по местному времени).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>
        <w:trPr>
          <w:trHeight w:val="250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1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10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>
        <w:trPr/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 xml:space="preserve">PolyGrund 30-1K W транспортируется как опасный груз класса 6.1 (токсичные вещества), поскольку материал содержит изоцианаты. Перевозка осуществляется в крытых транспортных средствах любого вида транспорта с обязательной защитой от влаги, прямых солнечных лучей и атмосферных осадков. Материал поставляется в заводской герметичной упаковке — ведре 20 литров, укупорка которого должна обеспечивать герметичность в условиях перевозки, а тара должна быть инертна к содержимому согласно ГОСТ 26319-2020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«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Грузы опасные. Упаковка»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 xml:space="preserve">. Оптимальный температурный режим транспортирования — от +5 до +30 °C, следует избегать замерзания и перегрева. Совместная перевозка со спиртами, аминами, кислотами и щёлочами категорически запрещена. Маркировка груза включает манипуляционные знаки «Беречь от влаги», «Беречь от солнечных лучей», «Верх» по ГОСТ 14192-96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«Маркировка грузов»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, знаки опасности класса 6.1 по ГОСТ 19433-88 «Грузы опасные. Классификация и маркировка» и предупредительную маркировку с P</w:t>
              <w:noBreakHyphen/>
              <w:t xml:space="preserve">фразами по ГОСТ 31340-2022 </w:t>
            </w:r>
            <w:r>
              <w:rPr>
                <w:rStyle w:val="Strong"/>
                <w:rFonts w:eastAsia="Times New Roman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«Предупредительная маркировка химической продукции. Общие требования»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. При автодорожной перевозке транспортное средство оборудуется огнетушителями, противооткатными упорами, заземлительной цепочкой, средствами нейтрализации и средствами индивидуальной защиты, а водитель обязан пройти специальную подготовку по перевозке опасных грузов (Приказ Минтранса РФ № 73). Сопроводительными документами являются паспорт безопасности (MSDS) и транспортная накладная.</w:t>
            </w:r>
          </w:p>
        </w:tc>
      </w:tr>
      <w:tr>
        <w:trPr>
          <w:trHeight w:val="382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382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60" w:after="0"/>
              <w:ind w:hanging="0" w:left="0" w:right="0"/>
              <w:contextualSpacing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>
        <w:trPr>
          <w:trHeight w:val="371" w:hRule="atLeast"/>
        </w:trPr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405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Продукция  должна быть новой, не бывшей в употреблении.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120" w:after="0"/>
        <w:ind w:hanging="0" w:left="0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3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z w:val="24"/>
        <w:b w:val="false"/>
        <w:szCs w:val="24"/>
        <w:bCs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Hyperlink">
    <w:name w:val="Hyperlink"/>
    <w:rPr>
      <w:color w:val="000080"/>
      <w:u w:val="single"/>
    </w:rPr>
  </w:style>
  <w:style w:type="character" w:styleId="Strong1">
    <w:name w:val="Strong1"/>
    <w:qFormat/>
    <w:rPr>
      <w:b/>
      <w:bCs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12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12"/>
    <w:qFormat/>
    <w:pPr/>
    <w:rPr/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qFormat/>
    <w:pPr>
      <w:spacing w:before="0" w:after="200"/>
      <w:ind w:hanging="0"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right" w:pos="10138" w:leader="dot"/>
      </w:tabs>
      <w:spacing w:lineRule="exact" w:line="227" w:before="0" w:after="100"/>
    </w:pPr>
    <w:rPr>
      <w:rFonts w:ascii="Times New Roman" w:hAnsi="Times New Roman" w:cs="Times New Roman"/>
      <w:b/>
      <w:lang w:eastAsia="ru-RU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tabs>
        <w:tab w:val="clear" w:pos="708"/>
        <w:tab w:val="left" w:pos="567" w:leader="none"/>
        <w:tab w:val="right" w:pos="10138" w:leader="dot"/>
      </w:tabs>
      <w:spacing w:before="0" w:after="100"/>
    </w:pPr>
    <w:rPr/>
  </w:style>
  <w:style w:type="paragraph" w:styleId="Style1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32680644281" w:customStyle="1">
    <w:name w:val="3268064428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9B505-5CA3-4B86-AC0F-3A6FB71BE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3867</TotalTime>
  <Application>AlterOffice/2026.2.1.0$Linux_X86_64 LibreOffice_project/f008988ffacaa0b2bf57911c2759d08ca79831df</Application>
  <AppVersion>15.0000</AppVersion>
  <Pages>5</Pages>
  <Words>692</Words>
  <Characters>4680</Characters>
  <CharactersWithSpaces>5241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2023-12-05T11:22:00Z</dcterms:created>
  <dc:creator>Катков Олег Валерьевич</dc:creator>
  <dc:description/>
  <dc:language>ru-RU</dc:language>
  <cp:lastModifiedBy>velikosvyatnn@corp.gidroogk.com</cp:lastModifiedBy>
  <cp:lastPrinted>2025-03-14T08:36:00Z</cp:lastPrinted>
  <dcterms:modified xsi:type="dcterms:W3CDTF">2026-09-18T16:37:15Z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