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true"/>
        <w:numPr>
          <w:ilvl w:val="0"/>
          <w:numId w:val="0"/>
        </w:numPr>
        <w:ind w:left="0" w:right="15" w:hanging="0"/>
        <w:jc w:val="right"/>
        <w:outlineLvl w:val="2"/>
        <w:rPr>
          <w:sz w:val="24"/>
          <w:szCs w:val="24"/>
        </w:rPr>
      </w:pPr>
      <w:r>
        <w:rPr/>
      </w:r>
    </w:p>
    <w:p>
      <w:pPr>
        <w:pStyle w:val="Heading1"/>
        <w:numPr>
          <w:ilvl w:val="0"/>
          <w:numId w:val="1"/>
        </w:numPr>
        <w:spacing w:lineRule="auto" w:line="360"/>
        <w:jc w:val="left"/>
        <w:rPr>
          <w:rFonts w:eastAsia="Calibri"/>
          <w:b w:val="false"/>
          <w:sz w:val="24"/>
          <w:szCs w:val="24"/>
          <w:lang w:eastAsia="en-US"/>
        </w:rPr>
      </w:pPr>
      <w:r>
        <w:rPr>
          <w:rFonts w:eastAsia="Calibri"/>
          <w:b w:val="false"/>
          <w:sz w:val="24"/>
          <w:szCs w:val="24"/>
          <w:lang w:eastAsia="en-US"/>
        </w:rPr>
      </w:r>
    </w:p>
    <w:p>
      <w:pPr>
        <w:pStyle w:val="Heading1"/>
        <w:numPr>
          <w:ilvl w:val="0"/>
          <w:numId w:val="1"/>
        </w:numPr>
        <w:spacing w:lineRule="auto" w:line="360"/>
        <w:rPr>
          <w:rFonts w:eastAsia="Calibri"/>
          <w:b w:val="false"/>
          <w:sz w:val="24"/>
          <w:szCs w:val="24"/>
          <w:lang w:eastAsia="en-US"/>
        </w:rPr>
      </w:pPr>
      <w:r>
        <w:rPr>
          <w:rFonts w:eastAsia="Calibri"/>
          <w:b w:val="false"/>
          <w:sz w:val="24"/>
          <w:szCs w:val="24"/>
          <w:lang w:eastAsia="en-US"/>
        </w:rPr>
      </w:r>
    </w:p>
    <w:p>
      <w:pPr>
        <w:pStyle w:val="Heading1"/>
        <w:numPr>
          <w:ilvl w:val="0"/>
          <w:numId w:val="1"/>
        </w:numPr>
        <w:spacing w:lineRule="auto" w:line="360"/>
        <w:rPr>
          <w:rFonts w:eastAsia="Calibri"/>
          <w:b w:val="false"/>
          <w:sz w:val="24"/>
          <w:szCs w:val="24"/>
          <w:lang w:eastAsia="en-US"/>
        </w:rPr>
      </w:pPr>
      <w:r>
        <w:rPr>
          <w:rFonts w:eastAsia="Calibri"/>
          <w:b w:val="false"/>
          <w:sz w:val="24"/>
          <w:szCs w:val="24"/>
          <w:lang w:eastAsia="en-US"/>
        </w:rPr>
      </w:r>
    </w:p>
    <w:p>
      <w:pPr>
        <w:pStyle w:val="Heading1"/>
        <w:numPr>
          <w:ilvl w:val="0"/>
          <w:numId w:val="1"/>
        </w:numPr>
        <w:spacing w:lineRule="auto" w:line="360"/>
        <w:rPr>
          <w:rFonts w:eastAsia="Calibri"/>
          <w:b w:val="false"/>
          <w:sz w:val="24"/>
          <w:szCs w:val="24"/>
          <w:lang w:eastAsia="en-US"/>
        </w:rPr>
      </w:pPr>
      <w:r>
        <w:rPr>
          <w:rFonts w:eastAsia="Calibri"/>
          <w:b w:val="false"/>
          <w:sz w:val="24"/>
          <w:szCs w:val="24"/>
          <w:lang w:eastAsia="en-US"/>
        </w:rPr>
      </w:r>
    </w:p>
    <w:p>
      <w:pPr>
        <w:pStyle w:val="Heading1"/>
        <w:numPr>
          <w:ilvl w:val="0"/>
          <w:numId w:val="1"/>
        </w:numPr>
        <w:spacing w:lineRule="auto" w:line="360"/>
        <w:rPr>
          <w:rFonts w:eastAsia="Calibri"/>
          <w:b w:val="false"/>
          <w:sz w:val="24"/>
          <w:szCs w:val="24"/>
          <w:lang w:eastAsia="en-US"/>
        </w:rPr>
      </w:pPr>
      <w:r>
        <w:rPr>
          <w:rFonts w:eastAsia="Calibri"/>
          <w:b w:val="false"/>
          <w:sz w:val="24"/>
          <w:szCs w:val="24"/>
          <w:lang w:eastAsia="en-US"/>
        </w:rPr>
      </w:r>
    </w:p>
    <w:p>
      <w:pPr>
        <w:pStyle w:val="Heading1"/>
        <w:numPr>
          <w:ilvl w:val="0"/>
          <w:numId w:val="1"/>
        </w:numPr>
        <w:spacing w:lineRule="auto" w:line="360"/>
        <w:rPr>
          <w:rFonts w:eastAsia="Calibri"/>
          <w:b w:val="false"/>
          <w:sz w:val="24"/>
          <w:szCs w:val="24"/>
          <w:lang w:eastAsia="en-US"/>
        </w:rPr>
      </w:pPr>
      <w:r>
        <w:rPr>
          <w:rFonts w:eastAsia="Calibri"/>
          <w:b w:val="false"/>
          <w:sz w:val="24"/>
          <w:szCs w:val="24"/>
          <w:lang w:eastAsia="en-US"/>
        </w:rPr>
      </w:r>
    </w:p>
    <w:p>
      <w:pPr>
        <w:pStyle w:val="Heading1"/>
        <w:numPr>
          <w:ilvl w:val="0"/>
          <w:numId w:val="1"/>
        </w:numPr>
        <w:spacing w:lineRule="auto" w:line="360"/>
        <w:jc w:val="left"/>
        <w:rPr>
          <w:rFonts w:eastAsia="Calibri"/>
          <w:b w:val="false"/>
          <w:sz w:val="24"/>
          <w:szCs w:val="24"/>
          <w:lang w:eastAsia="en-US"/>
        </w:rPr>
      </w:pPr>
      <w:r>
        <w:rPr>
          <w:rFonts w:eastAsia="Calibri"/>
          <w:b w:val="false"/>
          <w:sz w:val="24"/>
          <w:szCs w:val="24"/>
          <w:lang w:eastAsia="en-US"/>
        </w:rPr>
      </w:r>
    </w:p>
    <w:p>
      <w:pPr>
        <w:pStyle w:val="Heading1"/>
        <w:numPr>
          <w:ilvl w:val="0"/>
          <w:numId w:val="1"/>
        </w:numPr>
        <w:spacing w:lineRule="auto" w:line="360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                                                                                               </w:t>
      </w:r>
    </w:p>
    <w:p>
      <w:pPr>
        <w:pStyle w:val="Heading1"/>
        <w:numPr>
          <w:ilvl w:val="0"/>
          <w:numId w:val="1"/>
        </w:numPr>
        <w:spacing w:lineRule="auto" w:line="36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Heading1"/>
        <w:numPr>
          <w:ilvl w:val="0"/>
          <w:numId w:val="1"/>
        </w:numPr>
        <w:spacing w:lineRule="auto" w:line="36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Heading1"/>
        <w:numPr>
          <w:ilvl w:val="0"/>
          <w:numId w:val="1"/>
        </w:numPr>
        <w:spacing w:lineRule="auto" w:line="36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Технические требования на оказание услуг</w:t>
      </w:r>
    </w:p>
    <w:p>
      <w:pPr>
        <w:pStyle w:val="Heading1"/>
        <w:numPr>
          <w:ilvl w:val="0"/>
          <w:numId w:val="1"/>
        </w:numPr>
        <w:spacing w:lineRule="auto" w:line="36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Heading1"/>
        <w:numPr>
          <w:ilvl w:val="0"/>
          <w:numId w:val="1"/>
        </w:numPr>
        <w:spacing w:lineRule="auto" w:line="360"/>
        <w:rPr/>
      </w:pPr>
      <w:r>
        <w:rPr>
          <w:rFonts w:eastAsia="Calibri"/>
          <w:sz w:val="24"/>
          <w:szCs w:val="24"/>
          <w:lang w:eastAsia="en-US"/>
        </w:rPr>
        <w:t>ОКПД 2: 33.15.10.000 - У</w:t>
      </w:r>
      <w:r>
        <w:rPr>
          <w:rFonts w:eastAsia="Calibri"/>
          <w:bCs/>
          <w:sz w:val="24"/>
          <w:szCs w:val="24"/>
          <w:lang w:eastAsia="en-US"/>
        </w:rPr>
        <w:t xml:space="preserve">слуги по слипованию, дефектации </w:t>
      </w:r>
    </w:p>
    <w:p>
      <w:pPr>
        <w:pStyle w:val="Normal"/>
        <w:rPr/>
      </w:pPr>
      <w:r>
        <w:rPr>
          <w:rFonts w:eastAsia="Calibri"/>
          <w:b/>
          <w:bCs/>
          <w:sz w:val="24"/>
          <w:szCs w:val="24"/>
          <w:lang w:eastAsia="en-US"/>
        </w:rPr>
        <w:t>и ремонту рейдового буксира «РБТ-301» для нужд Саратовского транспортного участка</w:t>
      </w:r>
    </w:p>
    <w:p>
      <w:pPr>
        <w:pStyle w:val="Normal"/>
        <w:spacing w:lineRule="auto" w:line="360"/>
        <w:jc w:val="center"/>
        <w:rPr/>
      </w:pPr>
      <w:r>
        <w:rPr>
          <w:rFonts w:eastAsia="Calibri"/>
          <w:b/>
          <w:bCs/>
          <w:sz w:val="24"/>
          <w:szCs w:val="24"/>
          <w:lang w:eastAsia="en-US"/>
        </w:rPr>
        <w:t>Приволжского филиала АО «ТК РусГидро»</w:t>
      </w:r>
    </w:p>
    <w:p>
      <w:pPr>
        <w:pStyle w:val="Heading1"/>
        <w:numPr>
          <w:ilvl w:val="0"/>
          <w:numId w:val="1"/>
        </w:numPr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Лот ___________________________________________</w:t>
      </w:r>
    </w:p>
    <w:p>
      <w:pPr>
        <w:pStyle w:val="Heading1"/>
        <w:numPr>
          <w:ilvl w:val="0"/>
          <w:numId w:val="1"/>
        </w:numPr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Heading1"/>
        <w:numPr>
          <w:ilvl w:val="0"/>
          <w:numId w:val="0"/>
        </w:numPr>
        <w:spacing w:lineRule="auto" w:line="360"/>
        <w:ind w:left="0" w:hanging="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spacing w:lineRule="auto" w:line="360"/>
        <w:rPr>
          <w:rFonts w:eastAsia="Calibri"/>
          <w:i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jc w:val="center"/>
        <w:rPr>
          <w:b/>
          <w:shd w:fill="FFFF00" w:val="clear"/>
        </w:rPr>
      </w:pPr>
      <w:r>
        <w:rPr>
          <w:b/>
          <w:shd w:fill="FFFF00" w:val="clear"/>
        </w:rPr>
      </w:r>
    </w:p>
    <w:p>
      <w:pPr>
        <w:pStyle w:val="Normal"/>
        <w:numPr>
          <w:ilvl w:val="0"/>
          <w:numId w:val="2"/>
        </w:numPr>
        <w:ind w:left="426" w:hanging="426"/>
        <w:rPr/>
      </w:pPr>
      <w:r>
        <w:rPr>
          <w:b/>
          <w:sz w:val="24"/>
          <w:szCs w:val="24"/>
        </w:rPr>
        <w:t>Общие сведения …………………………………………………………………………… 3</w:t>
      </w:r>
    </w:p>
    <w:p>
      <w:pPr>
        <w:pStyle w:val="Normal"/>
        <w:numPr>
          <w:ilvl w:val="1"/>
          <w:numId w:val="2"/>
        </w:numPr>
        <w:rPr/>
      </w:pPr>
      <w:r>
        <w:rPr/>
        <w:t>Обозначения и сокращения                                                                                                                            3</w:t>
      </w:r>
    </w:p>
    <w:p>
      <w:pPr>
        <w:pStyle w:val="Normal"/>
        <w:numPr>
          <w:ilvl w:val="1"/>
          <w:numId w:val="2"/>
        </w:numPr>
        <w:rPr/>
      </w:pPr>
      <w:r>
        <w:rPr/>
        <w:t>Наименование закупаемой продукции                                                                                                          4</w:t>
      </w:r>
    </w:p>
    <w:p>
      <w:pPr>
        <w:pStyle w:val="Normal"/>
        <w:numPr>
          <w:ilvl w:val="1"/>
          <w:numId w:val="2"/>
        </w:numPr>
        <w:rPr/>
      </w:pPr>
      <w:r>
        <w:rPr/>
        <w:t>Цели оказания услуг                                                                                                                                        4</w:t>
      </w:r>
    </w:p>
    <w:p>
      <w:pPr>
        <w:pStyle w:val="Normal"/>
        <w:ind w:left="397" w:hanging="0"/>
        <w:rPr/>
      </w:pPr>
      <w:r>
        <w:rPr>
          <w:b/>
          <w:bCs/>
          <w:sz w:val="24"/>
          <w:szCs w:val="24"/>
        </w:rPr>
        <w:t>Таблица 1. Перечень объектов заказчика ……………………………………………….4</w:t>
      </w:r>
      <w:r>
        <w:rPr/>
        <w:t xml:space="preserve">                                                                                                                                      </w:t>
      </w:r>
    </w:p>
    <w:p>
      <w:pPr>
        <w:pStyle w:val="Normal"/>
        <w:numPr>
          <w:ilvl w:val="0"/>
          <w:numId w:val="2"/>
        </w:numPr>
        <w:ind w:left="426" w:hanging="426"/>
        <w:rPr/>
      </w:pPr>
      <w:r>
        <w:rPr>
          <w:b/>
          <w:bCs/>
          <w:sz w:val="24"/>
          <w:szCs w:val="24"/>
        </w:rPr>
        <w:t>Требования к продукции …………………………………………………………………..4</w:t>
      </w:r>
    </w:p>
    <w:p>
      <w:pPr>
        <w:pStyle w:val="Normal"/>
        <w:ind w:left="426" w:hanging="0"/>
        <w:rPr/>
      </w:pPr>
      <w:r>
        <w:rPr/>
        <w:t xml:space="preserve">2.1 </w:t>
      </w:r>
      <w:r>
        <w:rPr>
          <w:bCs/>
        </w:rPr>
        <w:t>Требования к объемам и срокам оказания услуг                                                                                           4</w:t>
      </w:r>
    </w:p>
    <w:p>
      <w:pPr>
        <w:pStyle w:val="Normal"/>
        <w:ind w:left="426" w:hanging="0"/>
        <w:rPr/>
      </w:pPr>
      <w:r>
        <w:rPr>
          <w:bCs/>
        </w:rPr>
        <w:t>2.1.1 Требования к перечню</w:t>
      </w:r>
      <w:r>
        <w:rPr/>
        <w:t xml:space="preserve"> и объему услуг                                                                                                       </w:t>
      </w:r>
      <w:r>
        <w:rPr>
          <w:b/>
          <w:sz w:val="24"/>
          <w:szCs w:val="24"/>
          <w:lang w:val="x-none"/>
        </w:rPr>
        <w:t>4</w:t>
      </w:r>
    </w:p>
    <w:p>
      <w:pPr>
        <w:pStyle w:val="Normal"/>
        <w:ind w:left="426" w:hanging="0"/>
        <w:rPr/>
      </w:pPr>
      <w:r>
        <w:rPr>
          <w:b/>
          <w:sz w:val="24"/>
          <w:szCs w:val="24"/>
          <w:lang w:val="x-none"/>
        </w:rPr>
        <w:t xml:space="preserve">Таблица </w:t>
      </w:r>
      <w:r>
        <w:rPr>
          <w:b/>
          <w:sz w:val="24"/>
          <w:szCs w:val="24"/>
        </w:rPr>
        <w:t>2.</w:t>
      </w:r>
      <w:r>
        <w:rPr>
          <w:b/>
          <w:sz w:val="24"/>
          <w:szCs w:val="24"/>
          <w:lang w:val="x-none"/>
        </w:rPr>
        <w:t xml:space="preserve"> </w:t>
      </w:r>
      <w:r>
        <w:rPr>
          <w:b/>
          <w:sz w:val="24"/>
          <w:szCs w:val="24"/>
        </w:rPr>
        <w:t>Перечень и объем оказываемых услуг ……………………………………..4</w:t>
      </w:r>
    </w:p>
    <w:p>
      <w:pPr>
        <w:pStyle w:val="Normal"/>
        <w:ind w:left="426" w:hanging="0"/>
        <w:rPr/>
      </w:pPr>
      <w:r>
        <w:rPr/>
        <w:t>2.1.2 Требования к срокам оказания услуг                                                                                                           4</w:t>
      </w:r>
    </w:p>
    <w:p>
      <w:pPr>
        <w:pStyle w:val="Normal"/>
        <w:ind w:left="426" w:hanging="0"/>
        <w:rPr/>
      </w:pPr>
      <w:r>
        <w:rPr>
          <w:b/>
          <w:sz w:val="24"/>
          <w:szCs w:val="24"/>
          <w:lang w:val="x-none"/>
        </w:rPr>
        <w:t xml:space="preserve">Таблица 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  <w:lang w:val="x-none"/>
        </w:rPr>
        <w:t xml:space="preserve">. Требования </w:t>
      </w:r>
      <w:r>
        <w:rPr>
          <w:b/>
          <w:sz w:val="24"/>
          <w:szCs w:val="24"/>
        </w:rPr>
        <w:t>к</w:t>
      </w:r>
      <w:r>
        <w:rPr>
          <w:b/>
          <w:sz w:val="24"/>
          <w:szCs w:val="24"/>
          <w:lang w:val="x-none"/>
        </w:rPr>
        <w:t xml:space="preserve"> срокам </w:t>
      </w:r>
      <w:r>
        <w:rPr>
          <w:b/>
          <w:sz w:val="24"/>
          <w:szCs w:val="24"/>
        </w:rPr>
        <w:t>оказания услуг……………………………………….4</w:t>
      </w:r>
      <w:r>
        <w:rPr/>
        <w:t xml:space="preserve">                                                                                                   </w:t>
      </w:r>
    </w:p>
    <w:p>
      <w:pPr>
        <w:pStyle w:val="Normal"/>
        <w:ind w:left="426" w:hanging="0"/>
        <w:rPr/>
      </w:pPr>
      <w:r>
        <w:rPr/>
        <w:t>2.2    Требования к качеству продукции                                                                                                                4</w:t>
      </w:r>
    </w:p>
    <w:p>
      <w:pPr>
        <w:pStyle w:val="Normal"/>
        <w:ind w:left="426" w:hanging="0"/>
        <w:rPr>
          <w:sz w:val="20"/>
          <w:szCs w:val="20"/>
        </w:rPr>
      </w:pPr>
      <w:r>
        <w:rPr>
          <w:sz w:val="20"/>
          <w:szCs w:val="20"/>
          <w:lang w:val="x-none"/>
        </w:rPr>
        <w:t>2.2.1.  Наименование услуг/этапа услуг                                                                                                                4</w:t>
      </w:r>
    </w:p>
    <w:p>
      <w:pPr>
        <w:pStyle w:val="Normal"/>
        <w:ind w:left="426" w:hanging="0"/>
        <w:rPr/>
      </w:pPr>
      <w:r>
        <w:rPr>
          <w:b/>
          <w:sz w:val="24"/>
          <w:szCs w:val="24"/>
          <w:lang w:val="x-none"/>
        </w:rPr>
        <w:t xml:space="preserve">Таблица 4. Требования </w:t>
      </w:r>
      <w:r>
        <w:rPr>
          <w:b/>
          <w:sz w:val="24"/>
          <w:szCs w:val="24"/>
        </w:rPr>
        <w:t>к</w:t>
      </w:r>
      <w:r>
        <w:rPr>
          <w:b/>
          <w:sz w:val="24"/>
          <w:szCs w:val="24"/>
          <w:lang w:val="x-none"/>
        </w:rPr>
        <w:t xml:space="preserve"> качеству</w:t>
      </w:r>
      <w:r>
        <w:rPr>
          <w:b/>
          <w:sz w:val="24"/>
          <w:szCs w:val="24"/>
        </w:rPr>
        <w:t xml:space="preserve"> продукции   ………………………………………...4</w:t>
      </w:r>
    </w:p>
    <w:p>
      <w:pPr>
        <w:pStyle w:val="Normal"/>
        <w:numPr>
          <w:ilvl w:val="0"/>
          <w:numId w:val="2"/>
        </w:numPr>
        <w:ind w:left="426" w:hanging="426"/>
        <w:rPr/>
      </w:pPr>
      <w:r>
        <w:rPr>
          <w:b/>
          <w:sz w:val="24"/>
          <w:szCs w:val="24"/>
        </w:rPr>
        <w:t>Требования к документации по ценообразованию на этапе закупки ………………. 7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426" w:leader="none"/>
        </w:tabs>
        <w:ind w:left="426" w:hanging="426"/>
        <w:rPr/>
      </w:pPr>
      <w:r>
        <w:rPr>
          <w:b/>
          <w:sz w:val="24"/>
          <w:szCs w:val="24"/>
        </w:rPr>
        <w:t>Требования к документации по ценообразованию на этапе заключения (исполнения) договора …………………………………………………………………………..…………..7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426" w:leader="none"/>
        </w:tabs>
        <w:ind w:left="426" w:hanging="426"/>
        <w:rPr/>
      </w:pPr>
      <w:r>
        <w:rPr>
          <w:b/>
          <w:sz w:val="24"/>
          <w:szCs w:val="24"/>
        </w:rPr>
        <w:t>Приложение №1……………………………………………………………………………...7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1"/>
        </w:numPr>
        <w:spacing w:lineRule="auto" w:line="360"/>
        <w:jc w:val="left"/>
        <w:rPr>
          <w:rFonts w:eastAsia="Calibri" w:cs="Calibri Light (Заголовки)"/>
          <w:b w:val="false"/>
          <w:i/>
          <w:i/>
          <w:sz w:val="26"/>
          <w:szCs w:val="26"/>
        </w:rPr>
      </w:pPr>
      <w:r>
        <w:rPr>
          <w:rFonts w:eastAsia="Calibri" w:cs="Calibri Light (Заголовки)"/>
          <w:b w:val="false"/>
          <w:i/>
          <w:sz w:val="26"/>
          <w:szCs w:val="26"/>
        </w:rPr>
      </w:r>
    </w:p>
    <w:p>
      <w:pPr>
        <w:pStyle w:val="Normal"/>
        <w:spacing w:lineRule="auto" w:line="276"/>
        <w:rPr>
          <w:rFonts w:eastAsia="Calibri" w:cs="Calibri Light (Заголовки)"/>
          <w:b/>
          <w:i/>
          <w:i/>
          <w:sz w:val="26"/>
          <w:szCs w:val="26"/>
        </w:rPr>
      </w:pPr>
      <w:r>
        <w:rPr>
          <w:rFonts w:eastAsia="Calibri" w:cs="Calibri Light (Заголовки)"/>
          <w:b/>
          <w:i/>
          <w:sz w:val="26"/>
          <w:szCs w:val="26"/>
        </w:rPr>
      </w:r>
    </w:p>
    <w:p>
      <w:pPr>
        <w:pStyle w:val="Normal"/>
        <w:spacing w:lineRule="auto" w:line="276"/>
        <w:rPr>
          <w:rFonts w:eastAsia="Calibri" w:cs="Calibri Light (Заголовки)"/>
          <w:b/>
          <w:i/>
          <w:i/>
          <w:sz w:val="26"/>
          <w:szCs w:val="26"/>
        </w:rPr>
      </w:pPr>
      <w:r>
        <w:rPr>
          <w:rFonts w:eastAsia="Calibri" w:cs="Calibri Light (Заголовки)"/>
          <w:b/>
          <w:i/>
          <w:sz w:val="26"/>
          <w:szCs w:val="26"/>
        </w:rPr>
      </w:r>
    </w:p>
    <w:p>
      <w:pPr>
        <w:pStyle w:val="Normal"/>
        <w:spacing w:lineRule="auto" w:line="276"/>
        <w:rPr>
          <w:rFonts w:eastAsia="Calibri" w:cs="Calibri Light (Заголовки)"/>
          <w:b/>
          <w:i/>
          <w:i/>
          <w:sz w:val="26"/>
          <w:szCs w:val="26"/>
        </w:rPr>
      </w:pPr>
      <w:r>
        <w:rPr>
          <w:rFonts w:eastAsia="Calibri" w:cs="Calibri Light (Заголовки)"/>
          <w:b/>
          <w:i/>
          <w:sz w:val="26"/>
          <w:szCs w:val="26"/>
        </w:rPr>
      </w:r>
    </w:p>
    <w:p>
      <w:pPr>
        <w:pStyle w:val="Normal"/>
        <w:spacing w:lineRule="auto" w:line="276"/>
        <w:rPr>
          <w:rFonts w:eastAsia="Calibri" w:cs="Calibri Light (Заголовки)"/>
          <w:b/>
          <w:i/>
          <w:i/>
          <w:sz w:val="26"/>
          <w:szCs w:val="26"/>
        </w:rPr>
      </w:pPr>
      <w:r>
        <w:rPr>
          <w:rFonts w:eastAsia="Calibri" w:cs="Calibri Light (Заголовки)"/>
          <w:b/>
          <w:i/>
          <w:sz w:val="26"/>
          <w:szCs w:val="26"/>
        </w:rPr>
      </w:r>
    </w:p>
    <w:p>
      <w:pPr>
        <w:pStyle w:val="Normal"/>
        <w:spacing w:lineRule="auto" w:line="276"/>
        <w:rPr>
          <w:rFonts w:eastAsia="Calibri" w:cs="Calibri Light (Заголовки)"/>
          <w:b/>
          <w:i/>
          <w:i/>
          <w:sz w:val="26"/>
          <w:szCs w:val="26"/>
        </w:rPr>
      </w:pPr>
      <w:r>
        <w:rPr>
          <w:rFonts w:eastAsia="Calibri" w:cs="Calibri Light (Заголовки)"/>
          <w:b/>
          <w:i/>
          <w:sz w:val="26"/>
          <w:szCs w:val="26"/>
        </w:rPr>
      </w:r>
    </w:p>
    <w:p>
      <w:pPr>
        <w:pStyle w:val="Normal"/>
        <w:spacing w:lineRule="auto" w:line="276"/>
        <w:rPr>
          <w:rFonts w:eastAsia="Calibri" w:cs="Calibri Light (Заголовки)"/>
          <w:b/>
          <w:i/>
          <w:i/>
          <w:sz w:val="26"/>
          <w:szCs w:val="26"/>
        </w:rPr>
      </w:pPr>
      <w:r>
        <w:rPr>
          <w:rFonts w:eastAsia="Calibri" w:cs="Calibri Light (Заголовки)"/>
          <w:b/>
          <w:i/>
          <w:sz w:val="26"/>
          <w:szCs w:val="26"/>
        </w:rPr>
      </w:r>
    </w:p>
    <w:p>
      <w:pPr>
        <w:pStyle w:val="Normal"/>
        <w:spacing w:lineRule="auto" w:line="276"/>
        <w:rPr>
          <w:rFonts w:eastAsia="Calibri" w:cs="Calibri Light (Заголовки)"/>
          <w:b/>
          <w:i/>
          <w:i/>
          <w:sz w:val="26"/>
          <w:szCs w:val="26"/>
        </w:rPr>
      </w:pPr>
      <w:r>
        <w:rPr>
          <w:rFonts w:eastAsia="Calibri" w:cs="Calibri Light (Заголовки)"/>
          <w:b/>
          <w:i/>
          <w:sz w:val="26"/>
          <w:szCs w:val="26"/>
        </w:rPr>
      </w:r>
    </w:p>
    <w:p>
      <w:pPr>
        <w:pStyle w:val="Normal"/>
        <w:spacing w:lineRule="auto" w:line="276"/>
        <w:rPr>
          <w:rFonts w:eastAsia="Calibri" w:cs="Calibri Light (Заголовки)"/>
          <w:b/>
          <w:i/>
          <w:i/>
          <w:sz w:val="26"/>
          <w:szCs w:val="26"/>
        </w:rPr>
      </w:pPr>
      <w:r>
        <w:rPr>
          <w:rFonts w:eastAsia="Calibri" w:cs="Calibri Light (Заголовки)"/>
          <w:b/>
          <w:i/>
          <w:sz w:val="26"/>
          <w:szCs w:val="26"/>
        </w:rPr>
      </w:r>
    </w:p>
    <w:p>
      <w:pPr>
        <w:pStyle w:val="Normal"/>
        <w:spacing w:lineRule="auto" w:line="276"/>
        <w:rPr>
          <w:rFonts w:eastAsia="Calibri" w:cs="Calibri Light (Заголовки)"/>
          <w:b/>
          <w:i/>
          <w:i/>
          <w:sz w:val="26"/>
          <w:szCs w:val="26"/>
        </w:rPr>
      </w:pPr>
      <w:r>
        <w:rPr>
          <w:rFonts w:eastAsia="Calibri" w:cs="Calibri Light (Заголовки)"/>
          <w:b/>
          <w:i/>
          <w:sz w:val="26"/>
          <w:szCs w:val="26"/>
        </w:rPr>
      </w:r>
    </w:p>
    <w:p>
      <w:pPr>
        <w:pStyle w:val="Normal"/>
        <w:spacing w:lineRule="auto" w:line="276"/>
        <w:rPr>
          <w:rFonts w:eastAsia="Calibri" w:cs="Calibri Light (Заголовки)"/>
          <w:b/>
          <w:i/>
          <w:i/>
          <w:sz w:val="26"/>
          <w:szCs w:val="26"/>
        </w:rPr>
      </w:pPr>
      <w:r>
        <w:rPr>
          <w:rFonts w:eastAsia="Calibri" w:cs="Calibri Light (Заголовки)"/>
          <w:b/>
          <w:i/>
          <w:sz w:val="26"/>
          <w:szCs w:val="26"/>
        </w:rPr>
      </w:r>
    </w:p>
    <w:p>
      <w:pPr>
        <w:pStyle w:val="Normal"/>
        <w:keepNext w:val="true"/>
        <w:keepLines/>
        <w:numPr>
          <w:ilvl w:val="0"/>
          <w:numId w:val="5"/>
        </w:numPr>
        <w:spacing w:before="120" w:after="60"/>
        <w:jc w:val="center"/>
        <w:outlineLvl w:val="0"/>
        <w:rPr>
          <w:b/>
          <w:bCs/>
          <w:sz w:val="24"/>
          <w:szCs w:val="24"/>
        </w:rPr>
      </w:pPr>
      <w:r>
        <w:rPr>
          <w:rFonts w:eastAsia="Calibri"/>
          <w:b/>
          <w:sz w:val="28"/>
          <w:szCs w:val="28"/>
        </w:rPr>
        <w:t>Общие сведения</w:t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450" w:leader="none"/>
        </w:tabs>
        <w:spacing w:before="120" w:after="60"/>
        <w:ind w:left="432" w:hanging="432"/>
        <w:outlineLvl w:val="3"/>
        <w:rPr>
          <w:rFonts w:eastAsia="Calibri"/>
          <w:b/>
          <w:bCs/>
          <w:i/>
          <w:i/>
          <w:iCs/>
          <w:sz w:val="26"/>
          <w:szCs w:val="26"/>
          <w:shd w:fill="FFFF99" w:val="clear"/>
          <w:lang w:val="x-none"/>
        </w:rPr>
      </w:pPr>
      <w:r>
        <w:rPr>
          <w:b/>
          <w:bCs/>
          <w:sz w:val="24"/>
          <w:szCs w:val="24"/>
        </w:rPr>
        <w:t xml:space="preserve"> </w:t>
      </w:r>
      <w:r>
        <w:rPr>
          <w:rFonts w:eastAsia="Calibri"/>
          <w:b/>
          <w:bCs/>
          <w:sz w:val="24"/>
          <w:szCs w:val="24"/>
        </w:rPr>
        <w:t>1.1.</w:t>
        <w:tab/>
        <w:tab/>
        <w:t xml:space="preserve"> </w:t>
      </w:r>
      <w:r>
        <w:rPr>
          <w:rFonts w:eastAsia="Calibri"/>
          <w:b/>
          <w:bCs/>
          <w:sz w:val="24"/>
          <w:szCs w:val="24"/>
          <w:lang w:val="x-none"/>
        </w:rPr>
        <w:t>Обозначения и сокращения</w:t>
      </w:r>
    </w:p>
    <w:p>
      <w:pPr>
        <w:pStyle w:val="Normal"/>
        <w:rPr>
          <w:rFonts w:eastAsia="Calibri"/>
          <w:b/>
          <w:bCs/>
          <w:i/>
          <w:i/>
          <w:iCs/>
          <w:sz w:val="26"/>
          <w:szCs w:val="26"/>
          <w:shd w:fill="FFFF99" w:val="clear"/>
          <w:lang w:val="x-none"/>
        </w:rPr>
      </w:pPr>
      <w:r>
        <w:rPr>
          <w:rFonts w:eastAsia="Calibri"/>
          <w:b/>
          <w:bCs/>
          <w:i/>
          <w:iCs/>
          <w:sz w:val="26"/>
          <w:szCs w:val="26"/>
          <w:shd w:fill="FFFF99" w:val="clear"/>
          <w:lang w:val="x-none"/>
        </w:rPr>
      </w:r>
    </w:p>
    <w:tbl>
      <w:tblPr>
        <w:tblW w:w="986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2684"/>
        <w:gridCol w:w="7178"/>
      </w:tblGrid>
      <w:tr>
        <w:trPr>
          <w:cantSplit w:val="true"/>
        </w:trPr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rPr/>
            </w:pPr>
            <w:r>
              <w:rPr>
                <w:sz w:val="24"/>
                <w:szCs w:val="24"/>
              </w:rPr>
              <w:t>ДЗА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z w:val="24"/>
                <w:szCs w:val="24"/>
              </w:rPr>
              <w:t>Днищевая закрывающая арматура</w:t>
            </w:r>
          </w:p>
        </w:tc>
      </w:tr>
      <w:tr>
        <w:trPr>
          <w:cantSplit w:val="true"/>
        </w:trPr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СЗЧ</w:t>
            </w:r>
          </w:p>
        </w:tc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Сменные запасные части</w:t>
            </w:r>
          </w:p>
        </w:tc>
      </w:tr>
      <w:tr>
        <w:trPr>
          <w:cantSplit w:val="true"/>
        </w:trPr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ДРК</w:t>
            </w:r>
          </w:p>
        </w:tc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Движетельно-рулевой комплекс</w:t>
            </w:r>
          </w:p>
        </w:tc>
      </w:tr>
      <w:tr>
        <w:trPr>
          <w:cantSplit w:val="true"/>
        </w:trPr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rPr/>
            </w:pPr>
            <w:r>
              <w:rPr>
                <w:sz w:val="24"/>
                <w:szCs w:val="24"/>
              </w:rPr>
              <w:t>РКО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z w:val="24"/>
                <w:szCs w:val="24"/>
              </w:rPr>
              <w:t>Российское Классификационное Общество</w:t>
            </w:r>
          </w:p>
        </w:tc>
      </w:tr>
    </w:tbl>
    <w:p>
      <w:pPr>
        <w:pStyle w:val="Normal"/>
        <w:spacing w:lineRule="auto" w:line="276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br w:type="page"/>
      </w:r>
    </w:p>
    <w:p>
      <w:pPr>
        <w:pStyle w:val="Normal"/>
        <w:tabs>
          <w:tab w:val="clear" w:pos="720"/>
          <w:tab w:val="left" w:pos="426" w:leader="none"/>
        </w:tabs>
        <w:jc w:val="both"/>
        <w:rPr/>
      </w:pPr>
      <w:r>
        <w:rPr>
          <w:rFonts w:eastAsia="Calibri"/>
          <w:b/>
          <w:bCs/>
          <w:sz w:val="24"/>
          <w:szCs w:val="24"/>
        </w:rPr>
        <w:t>1.2.</w:t>
        <w:tab/>
      </w:r>
      <w:r>
        <w:rPr>
          <w:b/>
          <w:bCs/>
          <w:sz w:val="24"/>
          <w:szCs w:val="24"/>
        </w:rPr>
        <w:t>Наименование закупаемой продукции</w:t>
      </w:r>
    </w:p>
    <w:p>
      <w:pPr>
        <w:pStyle w:val="Normal"/>
        <w:jc w:val="both"/>
        <w:rPr/>
      </w:pPr>
      <w:r>
        <w:rPr>
          <w:spacing w:val="-2"/>
          <w:sz w:val="24"/>
          <w:szCs w:val="24"/>
        </w:rPr>
        <w:t>«ОКПД 2: 33.15.10.000 - Услуги по слипованию, дефектации и ремонту рейдового буксира «РБТ-301» для нужд Саратовского транспортного участка Приволжского филиала АО «ТК РусГидро»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426" w:leader="none"/>
        </w:tabs>
        <w:ind w:left="0" w:hanging="0"/>
        <w:jc w:val="both"/>
        <w:outlineLvl w:val="8"/>
        <w:rPr>
          <w:bCs/>
          <w:sz w:val="24"/>
        </w:rPr>
      </w:pPr>
      <w:r>
        <w:rPr>
          <w:b/>
          <w:bCs/>
          <w:spacing w:val="-10"/>
          <w:sz w:val="24"/>
          <w:szCs w:val="24"/>
        </w:rPr>
        <w:t>1.3.</w:t>
        <w:tab/>
        <w:t>Цель оказания услуг</w:t>
      </w:r>
    </w:p>
    <w:p>
      <w:pPr>
        <w:pStyle w:val="Normal"/>
        <w:jc w:val="both"/>
        <w:rPr/>
      </w:pPr>
      <w:r>
        <w:rPr>
          <w:bCs/>
          <w:spacing w:val="-2"/>
          <w:sz w:val="24"/>
          <w:szCs w:val="24"/>
        </w:rPr>
        <w:t xml:space="preserve">Для прохождения очередного освидетельствования федеральным автономным учреждением "Российское Классификационное Общество" </w:t>
      </w:r>
      <w:r>
        <w:rPr/>
        <w:commentReference w:id="0"/>
      </w:r>
      <w:r>
        <w:rPr>
          <w:bCs/>
          <w:spacing w:val="-2"/>
          <w:sz w:val="24"/>
          <w:szCs w:val="24"/>
        </w:rPr>
        <w:t xml:space="preserve"> необходимо провести дефектацию и ремонт рейдового буксира «РБТ-301», принадлежащего Саратовскому транспортному участку Приволжского филиала АО «ТК РусГидро».</w:t>
      </w:r>
    </w:p>
    <w:p>
      <w:pPr>
        <w:pStyle w:val="Normal"/>
        <w:jc w:val="both"/>
        <w:rPr>
          <w:b/>
          <w:bCs/>
          <w:spacing w:val="-10"/>
          <w:sz w:val="24"/>
          <w:szCs w:val="24"/>
        </w:rPr>
      </w:pPr>
      <w:r>
        <w:rPr>
          <w:b/>
          <w:bCs/>
          <w:spacing w:val="-10"/>
          <w:sz w:val="24"/>
          <w:szCs w:val="24"/>
        </w:rPr>
        <w:t>Таблица 1. Перечень объектов заказчика</w:t>
      </w:r>
    </w:p>
    <w:p>
      <w:pPr>
        <w:pStyle w:val="Normal"/>
        <w:ind w:left="360" w:hanging="0"/>
        <w:jc w:val="both"/>
        <w:rPr>
          <w:b/>
          <w:bCs/>
          <w:spacing w:val="-10"/>
          <w:sz w:val="24"/>
          <w:szCs w:val="24"/>
        </w:rPr>
      </w:pPr>
      <w:r>
        <w:rPr>
          <w:b/>
          <w:bCs/>
          <w:spacing w:val="-10"/>
          <w:sz w:val="24"/>
          <w:szCs w:val="24"/>
        </w:rPr>
      </w:r>
    </w:p>
    <w:tbl>
      <w:tblPr>
        <w:tblW w:w="10038" w:type="dxa"/>
        <w:jc w:val="left"/>
        <w:tblInd w:w="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660"/>
        <w:gridCol w:w="3128"/>
        <w:gridCol w:w="2125"/>
        <w:gridCol w:w="2125"/>
        <w:gridCol w:w="2000"/>
      </w:tblGrid>
      <w:tr>
        <w:trPr/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п/п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Наименование объекта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Расположение объекта </w:t>
              <w:br/>
            </w:r>
            <w:r>
              <w:rPr>
                <w:i/>
                <w:iCs/>
              </w:rPr>
              <w:t>(место оказания услуг)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Примечания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1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5</w:t>
            </w:r>
          </w:p>
        </w:tc>
      </w:tr>
      <w:tr>
        <w:trPr>
          <w:trHeight w:val="904" w:hRule="atLeast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napToGrid w:val="false"/>
              <w:spacing w:before="0" w:after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</w:rPr>
              <w:t>Услуги по слипованию, дефектации и ремонту рейдового буксира «РБТ-301».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Cs w:val="24"/>
              </w:rPr>
              <w:t>Саратовская область, г. Балаково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«РБТ-301»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iCs/>
                <w:szCs w:val="24"/>
              </w:rPr>
              <w:t>Приволжский филиал АО «ТК РусГидро»</w:t>
            </w:r>
          </w:p>
        </w:tc>
      </w:tr>
    </w:tbl>
    <w:p>
      <w:pPr>
        <w:pStyle w:val="Normal"/>
        <w:ind w:left="360" w:hanging="0"/>
        <w:jc w:val="both"/>
        <w:rPr>
          <w:b/>
          <w:bCs/>
          <w:spacing w:val="-10"/>
          <w:sz w:val="24"/>
          <w:szCs w:val="24"/>
        </w:rPr>
      </w:pPr>
      <w:r>
        <w:rPr>
          <w:b/>
          <w:bCs/>
          <w:spacing w:val="-10"/>
          <w:sz w:val="24"/>
          <w:szCs w:val="24"/>
        </w:rPr>
      </w:r>
    </w:p>
    <w:p>
      <w:pPr>
        <w:pStyle w:val="Normal"/>
        <w:tabs>
          <w:tab w:val="clear" w:pos="720"/>
          <w:tab w:val="left" w:pos="738" w:leader="none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numPr>
          <w:ilvl w:val="0"/>
          <w:numId w:val="5"/>
        </w:numPr>
        <w:spacing w:before="0" w:after="0"/>
        <w:ind w:left="-57" w:firstLine="57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Требования к продукции.</w:t>
      </w:r>
    </w:p>
    <w:p>
      <w:pPr>
        <w:pStyle w:val="Normal"/>
        <w:spacing w:before="0" w:after="0"/>
        <w:ind w:left="360" w:hanging="360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2.1. </w:t>
        <w:tab/>
        <w:t>Требования к объемам и срокам оказания услуг</w:t>
      </w:r>
    </w:p>
    <w:p>
      <w:pPr>
        <w:pStyle w:val="Normal"/>
        <w:tabs>
          <w:tab w:val="clear" w:pos="720"/>
          <w:tab w:val="left" w:pos="788" w:leader="none"/>
        </w:tabs>
        <w:spacing w:before="0" w:after="0"/>
        <w:ind w:left="306" w:hanging="363"/>
        <w:contextualSpacing/>
        <w:rPr>
          <w:rFonts w:eastAsia="Calibri"/>
          <w:b/>
          <w:sz w:val="24"/>
          <w:szCs w:val="24"/>
          <w:lang w:val="x-none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2.1.1. </w:t>
        <w:tab/>
        <w:t>Требования к перечню</w:t>
      </w:r>
      <w:r>
        <w:rPr>
          <w:rFonts w:eastAsia="Calibri"/>
          <w:sz w:val="24"/>
          <w:szCs w:val="24"/>
        </w:rPr>
        <w:t xml:space="preserve"> и объему услуг</w:t>
      </w:r>
    </w:p>
    <w:p>
      <w:pPr>
        <w:pStyle w:val="Normal"/>
        <w:keepNext w:val="true"/>
        <w:keepLines/>
        <w:numPr>
          <w:ilvl w:val="0"/>
          <w:numId w:val="0"/>
        </w:numPr>
        <w:spacing w:before="68" w:after="62"/>
        <w:ind w:left="0" w:hanging="0"/>
        <w:outlineLvl w:val="0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  <w:lang w:val="x-none"/>
        </w:rPr>
        <w:t xml:space="preserve">Таблица </w:t>
      </w:r>
      <w:r>
        <w:rPr>
          <w:rFonts w:eastAsia="Calibri"/>
          <w:b/>
          <w:sz w:val="24"/>
          <w:szCs w:val="24"/>
        </w:rPr>
        <w:t>2.</w:t>
      </w:r>
      <w:r>
        <w:rPr>
          <w:rFonts w:eastAsia="Calibri"/>
          <w:b/>
          <w:sz w:val="24"/>
          <w:szCs w:val="24"/>
          <w:lang w:val="x-none"/>
        </w:rPr>
        <w:t xml:space="preserve"> </w:t>
      </w:r>
      <w:r>
        <w:rPr>
          <w:rFonts w:eastAsia="Calibri"/>
          <w:b/>
          <w:sz w:val="24"/>
          <w:szCs w:val="24"/>
        </w:rPr>
        <w:t>Перечень и объем оказываемых услуг</w:t>
      </w:r>
    </w:p>
    <w:tbl>
      <w:tblPr>
        <w:tblW w:w="9871" w:type="dxa"/>
        <w:jc w:val="left"/>
        <w:tblInd w:w="-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5849"/>
        <w:gridCol w:w="1380"/>
        <w:gridCol w:w="1906"/>
      </w:tblGrid>
      <w:tr>
        <w:trPr>
          <w:trHeight w:val="562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18"/>
                <w:szCs w:val="18"/>
              </w:rPr>
              <w:t xml:space="preserve">№ </w:t>
            </w: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Единица измерения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Количество*</w:t>
            </w:r>
          </w:p>
        </w:tc>
      </w:tr>
      <w:tr>
        <w:trPr>
          <w:trHeight w:val="562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Услуги по слипованию, дефектации и ремонту рейдового буксира «РБТ-301».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усл. ед.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  <w:kern w:val="0"/>
                <w:sz w:val="20"/>
                <w:szCs w:val="20"/>
                <w:lang w:val="ru-RU" w:eastAsia="zh-CN"/>
              </w:rPr>
            </w:pPr>
            <w:r>
              <w:rPr>
                <w:b w:val="false"/>
                <w:bCs w:val="false"/>
                <w:kern w:val="0"/>
                <w:sz w:val="20"/>
                <w:szCs w:val="20"/>
                <w:lang w:val="ru-RU" w:eastAsia="zh-CN"/>
              </w:rPr>
              <w:t>В соответствии с Перечнем услуг (Приложение № 1 к настоящим Техническим требованиям)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12"/>
          <w:szCs w:val="12"/>
        </w:rPr>
      </w:pPr>
      <w:r>
        <w:rPr>
          <w:rFonts w:cs="Times New Roman"/>
          <w:sz w:val="12"/>
          <w:szCs w:val="12"/>
        </w:rPr>
      </w:r>
    </w:p>
    <w:p>
      <w:pPr>
        <w:pStyle w:val="Normal"/>
        <w:numPr>
          <w:ilvl w:val="0"/>
          <w:numId w:val="0"/>
        </w:numPr>
        <w:ind w:left="0" w:right="0" w:hanging="0"/>
        <w:outlineLvl w:val="2"/>
        <w:rPr>
          <w:rFonts w:eastAsia="Calibri" w:cs="Times New Roman"/>
          <w:b w:val="false"/>
          <w:bCs w:val="false"/>
          <w:color w:val="auto"/>
          <w:sz w:val="24"/>
          <w:szCs w:val="24"/>
          <w:lang w:val="ru-RU" w:eastAsia="zh-CN" w:bidi="ar-SA"/>
        </w:rPr>
      </w:pPr>
      <w:r>
        <w:rPr>
          <w:rFonts w:eastAsia="Calibri" w:cs="Times New Roman"/>
          <w:b w:val="false"/>
          <w:bCs w:val="false"/>
          <w:color w:val="auto"/>
          <w:sz w:val="24"/>
          <w:szCs w:val="24"/>
          <w:lang w:val="ru-RU" w:eastAsia="zh-CN" w:bidi="ar-SA"/>
        </w:rPr>
        <w:t>* Объем оказываемых услуг является ориентировочным и Заказчик не несет ответственность за неполную выборку услуг на общую сумму договора.</w:t>
      </w:r>
    </w:p>
    <w:p>
      <w:pPr>
        <w:pStyle w:val="Normal"/>
        <w:spacing w:before="0" w:after="0"/>
        <w:ind w:left="360" w:right="0" w:hanging="360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2.1.2 Требования к срокам оказания услуг</w:t>
      </w:r>
    </w:p>
    <w:p>
      <w:pPr>
        <w:pStyle w:val="NoSpacing"/>
        <w:rPr/>
      </w:pPr>
      <w:r>
        <w:rPr>
          <w:rFonts w:cs="Times New Roman" w:ascii="Times New Roman" w:hAnsi="Times New Roman"/>
          <w:b/>
          <w:bCs/>
        </w:rPr>
        <w:t xml:space="preserve">Таблица 3. </w:t>
      </w:r>
      <w:bookmarkStart w:id="0" w:name="_Hlk50465284"/>
      <w:r>
        <w:rPr>
          <w:rFonts w:cs="Times New Roman" w:ascii="Times New Roman" w:hAnsi="Times New Roman"/>
          <w:b/>
          <w:bCs/>
        </w:rPr>
        <w:t xml:space="preserve">Требования к срокам </w:t>
      </w:r>
      <w:bookmarkEnd w:id="0"/>
      <w:r>
        <w:rPr>
          <w:rFonts w:cs="Times New Roman" w:ascii="Times New Roman" w:hAnsi="Times New Roman"/>
          <w:b/>
          <w:bCs/>
        </w:rPr>
        <w:t>оказания услуг</w:t>
      </w:r>
    </w:p>
    <w:p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tbl>
      <w:tblPr>
        <w:tblW w:w="9956" w:type="dxa"/>
        <w:jc w:val="left"/>
        <w:tblInd w:w="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905"/>
        <w:gridCol w:w="2942"/>
        <w:gridCol w:w="2987"/>
        <w:gridCol w:w="3121"/>
      </w:tblGrid>
      <w:tr>
        <w:trPr/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Наименование услуг/ этапа услуг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Требования к началу срока оказания услуг/ этапа услуг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2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4</w:t>
            </w:r>
          </w:p>
        </w:tc>
      </w:tr>
      <w:tr>
        <w:trPr/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napToGrid w:val="false"/>
              <w:spacing w:before="0" w:after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</w:rPr>
              <w:t>Услуги по слипованию, дефектации и ремонту рейдового буксира «РБТ-301».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24.11.2027 г.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15.04.2028г.</w:t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Spacing"/>
        <w:rPr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bookmarkStart w:id="1" w:name="_Hlk50465284_Копия_1"/>
      <w:r>
        <w:rPr>
          <w:rFonts w:ascii="Times New Roman" w:hAnsi="Times New Roman"/>
          <w:b/>
          <w:bCs/>
          <w:sz w:val="24"/>
          <w:szCs w:val="24"/>
        </w:rPr>
        <w:t>.</w:t>
      </w:r>
      <w:bookmarkEnd w:id="1"/>
      <w:r>
        <w:rPr>
          <w:rFonts w:ascii="Times New Roman" w:hAnsi="Times New Roman"/>
          <w:b/>
          <w:bCs/>
          <w:sz w:val="24"/>
          <w:szCs w:val="24"/>
        </w:rPr>
        <w:t>2. Требования к качеству продукции</w:t>
      </w:r>
      <w:r>
        <w:rPr/>
        <w:commentReference w:id="1"/>
      </w:r>
    </w:p>
    <w:p>
      <w:pPr>
        <w:pStyle w:val="Normal"/>
        <w:jc w:val="both"/>
        <w:rPr/>
      </w:pPr>
      <w:r>
        <w:rPr>
          <w:sz w:val="24"/>
          <w:szCs w:val="24"/>
        </w:rPr>
        <w:t>2.2.1.  Наименование услуг/этапа услуг (Позиция 1, таблицы 2): «ОКПД 2: 33.15.10.000 - Услуги по слипованию, дефектации и ремонту рейдового буксира «РБТ-301» для нужд Саратовского транспортного участка Приволжского филиала АО «ТК РусГидро»</w:t>
      </w:r>
    </w:p>
    <w:p>
      <w:pPr>
        <w:pStyle w:val="Heading4"/>
        <w:numPr>
          <w:ilvl w:val="0"/>
          <w:numId w:val="1"/>
        </w:numPr>
        <w:spacing w:before="0" w:after="0"/>
        <w:rPr/>
      </w:pPr>
      <w:r>
        <w:rPr>
          <w:rFonts w:ascii="Times New Roman" w:hAnsi="Times New Roman"/>
          <w:sz w:val="22"/>
          <w:szCs w:val="22"/>
        </w:rPr>
        <w:t>Таблица 4. Требования к качеству</w:t>
      </w:r>
      <w:commentRangeStart w:id="2"/>
      <w:r>
        <w:rPr>
          <w:rFonts w:ascii="Times New Roman" w:hAnsi="Times New Roman"/>
          <w:sz w:val="22"/>
          <w:szCs w:val="22"/>
        </w:rPr>
        <w:t xml:space="preserve"> продукции </w:t>
      </w:r>
    </w:p>
    <w:p>
      <w:pPr>
        <w:pStyle w:val="Normal"/>
        <w:keepNext w:val="true"/>
        <w:keepLines/>
        <w:tabs>
          <w:tab w:val="clear" w:pos="720"/>
          <w:tab w:val="left" w:pos="426" w:leader="none"/>
        </w:tabs>
        <w:jc w:val="both"/>
        <w:rPr>
          <w:sz w:val="22"/>
          <w:szCs w:val="22"/>
        </w:rPr>
      </w:pPr>
      <w:commentRangeEnd w:id="2"/>
      <w:r>
        <w:commentReference w:id="2"/>
      </w:r>
      <w:r>
        <w:rPr/>
      </w:r>
    </w:p>
    <w:tbl>
      <w:tblPr>
        <w:tblW w:w="10263" w:type="dxa"/>
        <w:jc w:val="left"/>
        <w:tblInd w:w="-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987"/>
        <w:gridCol w:w="1433"/>
        <w:gridCol w:w="3103"/>
        <w:gridCol w:w="2847"/>
        <w:gridCol w:w="1893"/>
      </w:tblGrid>
      <w:tr>
        <w:trPr/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lang w:eastAsia="ru-RU"/>
              </w:rPr>
              <w:t xml:space="preserve">№ </w:t>
            </w:r>
            <w:r>
              <w:rPr>
                <w:b/>
                <w:bCs/>
                <w:lang w:eastAsia="ru-RU"/>
              </w:rPr>
              <w:t>п/п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lang w:eastAsia="ru-RU"/>
              </w:rPr>
              <w:t>Наименование параметра</w:t>
            </w:r>
          </w:p>
        </w:tc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lang w:eastAsia="ru-RU"/>
              </w:rPr>
              <w:t>Требование заказчика</w:t>
            </w:r>
          </w:p>
        </w:tc>
        <w:tc>
          <w:tcPr>
            <w:tcW w:w="4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022" w:hRule="atLeast"/>
        </w:trPr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4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  <w:lang w:eastAsia="ru-RU"/>
              </w:rPr>
              <w:t>5</w:t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0"/>
                <w:numId w:val="6"/>
              </w:numPr>
              <w:spacing w:before="60" w:after="60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lang w:eastAsia="ru-RU"/>
              </w:rPr>
              <w:t>Требования к оказанию услуг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/>
            </w:pPr>
            <w:r>
              <w:rPr>
                <w:b/>
                <w:lang w:eastAsia="ru-RU"/>
              </w:rPr>
              <w:t>-//-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/>
            </w:pPr>
            <w:r>
              <w:rPr>
                <w:b/>
                <w:lang w:eastAsia="ru-RU"/>
              </w:rPr>
              <w:t>-//-</w:t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>
                <w:b/>
                <w:lang w:eastAsia="ru-RU"/>
              </w:rPr>
              <w:t>Общие требования к оказанию услуг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/>
            </w:pPr>
            <w:r>
              <w:rPr>
                <w:b/>
                <w:lang w:eastAsia="ru-RU"/>
              </w:rPr>
              <w:t>-//-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/>
            </w:pPr>
            <w:r>
              <w:rPr>
                <w:b/>
                <w:lang w:eastAsia="ru-RU"/>
              </w:rPr>
              <w:t>-//-</w:t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lang w:eastAsia="ru-RU"/>
              </w:rPr>
              <w:t>Основание для оказания услуг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lang w:eastAsia="ru-RU"/>
              </w:rPr>
              <w:t>Исполнитель обязуется оказывать Заказчику услуги по слипованию, дефектации и ремонту рейдового буксира «РБТ-301» Заказчика на основании заявок Заказчика.</w:t>
            </w:r>
          </w:p>
          <w:p>
            <w:pPr>
              <w:pStyle w:val="14"/>
              <w:widowControl w:val="false"/>
              <w:tabs>
                <w:tab w:val="clear" w:pos="720"/>
                <w:tab w:val="left" w:pos="709" w:leader="none"/>
                <w:tab w:val="left" w:pos="738" w:leader="none"/>
              </w:tabs>
              <w:ind w:left="0" w:hanging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После рассмотрения предварительного </w:t>
            </w:r>
            <w:commentRangeStart w:id="3"/>
            <w:r>
              <w:rPr>
                <w:bCs/>
                <w:sz w:val="20"/>
                <w:szCs w:val="20"/>
                <w:lang w:eastAsia="ru-RU"/>
              </w:rPr>
              <w:t>заказ-наряда</w:t>
            </w:r>
            <w:r>
              <w:rPr>
                <w:bCs/>
                <w:sz w:val="20"/>
                <w:szCs w:val="20"/>
                <w:lang w:eastAsia="ru-RU"/>
              </w:rPr>
            </w:r>
            <w:commentRangeEnd w:id="3"/>
            <w:r>
              <w:commentReference w:id="3"/>
            </w:r>
            <w:r>
              <w:rPr>
                <w:bCs/>
                <w:sz w:val="20"/>
                <w:szCs w:val="20"/>
                <w:lang w:eastAsia="ru-RU"/>
              </w:rPr>
              <w:t xml:space="preserve"> по форме Исполнителя и общей суммы ремонта представитель Заказчика принимает решение на проведение или не проведение технических воздействий. Работы должны проводится под наблюдением федерального автономного учреждения "Российское Классификационное Общество"</w:t>
            </w:r>
          </w:p>
        </w:tc>
        <w:tc>
          <w:tcPr>
            <w:tcW w:w="2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закупке.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lang w:eastAsia="ru-RU"/>
              </w:rPr>
              <w:t>Расходные материалы и запчасти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lang w:eastAsia="ru-RU"/>
              </w:rPr>
              <w:t xml:space="preserve">Исполнитель при оказании услуг </w:t>
            </w:r>
            <w:r>
              <w:rPr>
                <w:bCs/>
                <w:lang w:eastAsia="ru-RU"/>
              </w:rPr>
              <w:t>должен осуществлять текущий ремонт с использованием собственных материалов и запчастей или материалов и запчастей Заказчика.</w:t>
            </w:r>
          </w:p>
          <w:p>
            <w:pPr>
              <w:pStyle w:val="14"/>
              <w:widowControl w:val="false"/>
              <w:tabs>
                <w:tab w:val="clear" w:pos="720"/>
                <w:tab w:val="left" w:pos="709" w:leader="none"/>
              </w:tabs>
              <w:ind w:left="0" w:hanging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>Исполнитель обязуется предварительно согласовывать с Заказчиком стоимость и происхождение (оригинал/аналог) запасных частей, используемых в ходе проведения технических воздействий на водный транспорт.</w:t>
            </w:r>
          </w:p>
          <w:p>
            <w:pPr>
              <w:pStyle w:val="14"/>
              <w:widowControl w:val="false"/>
              <w:tabs>
                <w:tab w:val="clear" w:pos="720"/>
                <w:tab w:val="left" w:pos="709" w:leader="none"/>
              </w:tabs>
              <w:ind w:left="0" w:hanging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>Все расходные материалы, замененные в процессе ремонта «РБТ-301» переходят в собственность Исполнителя, и утилизируются его силами.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>
          <w:trHeight w:val="603" w:hRule="atLeast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lang w:eastAsia="ru-RU"/>
              </w:rPr>
              <w:t>Возможность выбора запасных частей и расходных материалов.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lang w:eastAsia="ru-RU"/>
              </w:rPr>
              <w:t>Предоставить возможность выбора запасных частей и расходных материалов у различных официальных источников.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757" w:hRule="atLeast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lang w:eastAsia="ru-RU"/>
              </w:rPr>
              <w:t>Осуществление контроля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lang w:eastAsia="ru-RU"/>
              </w:rPr>
              <w:t>Исполнитель обязан по требованию Заказчика допускать его представителей для контроля процесса выполнения технологических и ремонтных операций, качества и полноты оказания услуг и в целом выполнения договорных обязательств непосредственно к местам производства работ.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757" w:hRule="atLeast"/>
        </w:trPr>
        <w:tc>
          <w:tcPr>
            <w:tcW w:w="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Место оказания услуг</w:t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4"/>
              <w:widowControl w:val="false"/>
              <w:tabs>
                <w:tab w:val="clear" w:pos="720"/>
                <w:tab w:val="left" w:pos="851" w:leader="none"/>
              </w:tabs>
              <w:ind w:lef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 должен иметь свою ремонтную базу в г. Балаково Саратовской области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b/>
                <w:lang w:eastAsia="ru-RU"/>
              </w:rPr>
              <w:t>Требования к способам оказания услуг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6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Ремонт должен проводиться с соблюдением </w:t>
            </w:r>
            <w:r>
              <w:rPr/>
              <w:commentReference w:id="4"/>
            </w:r>
            <w:r>
              <w:rPr>
                <w:shd w:fill="auto" w:val="clear"/>
                <w:lang w:eastAsia="ru-RU"/>
              </w:rPr>
              <w:t>"РД 212.0182-02. Руководящий документ по стандартизации. Руководство по технической эксплуатации судов внутреннего водного транспорта" (утв. Минтрансом России 20.12.2001) (в действующей редакции).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>
                <w:b/>
                <w:lang w:eastAsia="ru-RU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60"/>
              <w:rPr/>
            </w:pPr>
            <w:r>
              <w:rPr>
                <w:lang w:eastAsia="ru-RU"/>
              </w:rPr>
              <w:t>Требования к характеристикам устанавливаемых деталей, узлов, механизмов, материалам, маслам и специальных жидкостей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lang w:eastAsia="ru-RU"/>
              </w:rPr>
              <w:t>Устанавливаемые и используемые  детали, узлы, механизмы, материалы, приборы, масла и специальные жидкости должны быть новыми, не бывшими в употреблении, не восстановленными, не содержать восстановленных элементов, не должны иметь дефектов, связанных с конструкцией, материалами или работой по их изготовлению. Должны соответствовать рекомендациям, изложенным в руководстве по эксплуатации, выданным заводом-изготовителем.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lang w:eastAsia="ru-RU"/>
              </w:rPr>
              <w:t>Требования к персоналу исполнителя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60"/>
              <w:rPr/>
            </w:pPr>
            <w:r>
              <w:rPr>
                <w:lang w:eastAsia="ru-RU"/>
              </w:rPr>
              <w:t>Проведение текущего ремонта</w:t>
            </w:r>
            <w:r>
              <w:rPr>
                <w:rFonts w:eastAsia="Calibri"/>
                <w:lang w:eastAsia="ru-RU"/>
              </w:rPr>
              <w:t xml:space="preserve"> </w:t>
            </w:r>
            <w:r>
              <w:rPr>
                <w:lang w:eastAsia="ru-RU"/>
              </w:rPr>
              <w:t>должно выполняться квалифицированным персоналом.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60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49" w:hRule="atLeast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0"/>
                <w:numId w:val="6"/>
              </w:numPr>
              <w:spacing w:before="60" w:after="60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lang w:eastAsia="ru-RU"/>
              </w:rPr>
              <w:t>Требования к результатам у</w:t>
            </w:r>
            <w:r>
              <w:rPr>
                <w:b/>
                <w:lang w:eastAsia="ru-RU"/>
              </w:rPr>
              <w:t>слуг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lang w:eastAsia="ru-RU"/>
              </w:rPr>
              <w:t>Общие требования к результатам услуг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lang w:eastAsia="ru-RU"/>
              </w:rPr>
              <w:t>После выполнения работ водный транспорт должен отвечать требованиям федерального автономного учреждения «Российское Классификационное Общество», регламентирующим техническое состояние и оборудование судов.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lang w:eastAsia="ru-RU"/>
              </w:rPr>
              <w:t>Требования к приемке результата оказания у</w:t>
            </w:r>
            <w:r>
              <w:rPr>
                <w:b/>
                <w:lang w:eastAsia="ru-RU"/>
              </w:rPr>
              <w:t>слуг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60"/>
              <w:rPr/>
            </w:pPr>
            <w:r>
              <w:rPr>
                <w:lang w:eastAsia="ru-RU"/>
              </w:rPr>
              <w:t>Осмотр водного транспорта после оказании услуги.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60"/>
              <w:rPr/>
            </w:pPr>
            <w:r>
              <w:rPr>
                <w:lang w:eastAsia="ru-RU"/>
              </w:rPr>
              <w:t>После оказании услуги Заказчик проводит визуальный осмотр водного транспорта на предмет соответствия заменённых деталей, узлов, агрегатов, механизмов в процессе ремонта.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60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>
                <w:b/>
                <w:lang w:eastAsia="ru-RU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lang w:eastAsia="ru-RU"/>
              </w:rPr>
              <w:t>Акт сдачи-приемки оказанных услуг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lang w:eastAsia="ru-RU"/>
              </w:rPr>
              <w:t>Исполнитель передает Заказчику акт сдачи-приемки оказанных услуг в двух экземплярах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>
          <w:trHeight w:val="989" w:hRule="atLeast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lang w:eastAsia="ru-RU"/>
              </w:rPr>
              <w:t>Счет на оплату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lang w:eastAsia="ru-RU"/>
              </w:rPr>
              <w:t>Исполнитель передает счет на оплату после оказания услуги.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>
          <w:trHeight w:val="404" w:hRule="atLeast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lang w:eastAsia="ru-RU"/>
              </w:rPr>
              <w:t>Счет-фактура (если контрагент является плательщиком НДС)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lang w:eastAsia="ru-RU"/>
              </w:rPr>
              <w:t>Исполнитель передает счет фактуру (если Исполнитель является плательщиком НДС)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0"/>
                <w:numId w:val="6"/>
              </w:numPr>
              <w:spacing w:before="60" w:after="60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20" w:after="60"/>
              <w:jc w:val="both"/>
              <w:rPr/>
            </w:pPr>
            <w:r>
              <w:rPr>
                <w:b/>
                <w:lang w:eastAsia="ru-RU"/>
              </w:rPr>
              <w:t>Требования к ответственности и гарантиям исполнителя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459" w:hRule="atLeast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4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 w:val="false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bCs/>
                <w:lang w:eastAsia="ru-RU"/>
              </w:rPr>
              <w:t>Исполнитель обязан предоставить гарантии на установленные узлы, агрегаты и запасные части согласно срокам, установленных заводом-изготовителем, а на оказанные услуги по текущему ремонту не менее 6 (шести) месяцев при условии эксплуатации водного транспорта согласно руководству по эксплуатации.</w:t>
            </w:r>
          </w:p>
        </w:tc>
        <w:tc>
          <w:tcPr>
            <w:tcW w:w="28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40" w:after="6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Normal"/>
        <w:tabs>
          <w:tab w:val="clear" w:pos="720"/>
          <w:tab w:val="left" w:pos="709" w:leader="none"/>
        </w:tabs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</w:rPr>
        <w:t xml:space="preserve">3.  </w:t>
      </w:r>
      <w:r>
        <w:rPr>
          <w:b/>
          <w:sz w:val="24"/>
          <w:szCs w:val="24"/>
        </w:rPr>
        <w:t>Требования к документации по ценообразованию на этапе закупки</w:t>
      </w:r>
    </w:p>
    <w:p>
      <w:pPr>
        <w:pStyle w:val="Normal"/>
        <w:numPr>
          <w:ilvl w:val="1"/>
          <w:numId w:val="7"/>
        </w:numPr>
        <w:tabs>
          <w:tab w:val="clear" w:pos="720"/>
          <w:tab w:val="left" w:pos="284" w:leader="none"/>
          <w:tab w:val="left" w:pos="426" w:leader="none"/>
        </w:tabs>
        <w:ind w:left="0" w:right="0" w:hanging="0"/>
        <w:rPr>
          <w:vanish w:val="false"/>
          <w:sz w:val="24"/>
          <w:szCs w:val="24"/>
        </w:rPr>
      </w:pPr>
      <w:r>
        <w:rPr>
          <w:bCs/>
          <w:sz w:val="24"/>
        </w:rPr>
        <w:t xml:space="preserve">В цену Товара должны быть включены все затраты, связанные с исполнением обязательств </w:t>
      </w:r>
      <w:r>
        <w:rPr/>
        <w:commentReference w:id="5"/>
      </w:r>
      <w:r>
        <w:rPr>
          <w:bCs/>
          <w:sz w:val="24"/>
        </w:rPr>
        <w:t>, в том числе, все налоги, сборы и пошлины, расходы на доставку Товара до места подачи топлива, погрузку и разгрузку, иные расходы, связанные с исполнением обязательств по Договору.</w:t>
      </w:r>
    </w:p>
    <w:p>
      <w:pPr>
        <w:pStyle w:val="Normal"/>
        <w:numPr>
          <w:ilvl w:val="1"/>
          <w:numId w:val="7"/>
        </w:numPr>
        <w:tabs>
          <w:tab w:val="clear" w:pos="720"/>
          <w:tab w:val="left" w:pos="567" w:leader="none"/>
        </w:tabs>
        <w:ind w:left="0" w:right="-2" w:hanging="0"/>
        <w:jc w:val="both"/>
        <w:rPr>
          <w:vanish w:val="false"/>
          <w:sz w:val="24"/>
          <w:szCs w:val="24"/>
        </w:rPr>
      </w:pPr>
      <w:r>
        <w:rPr>
          <w:vanish w:val="false"/>
          <w:sz w:val="24"/>
          <w:szCs w:val="24"/>
        </w:rPr>
        <w:t>В обоснование стоимости своей заявки Участник предоставляет Коммерческое предложение.</w:t>
      </w:r>
    </w:p>
    <w:p>
      <w:pPr>
        <w:pStyle w:val="Normal"/>
        <w:numPr>
          <w:ilvl w:val="1"/>
          <w:numId w:val="7"/>
        </w:numPr>
        <w:tabs>
          <w:tab w:val="clear" w:pos="720"/>
          <w:tab w:val="left" w:pos="567" w:leader="none"/>
        </w:tabs>
        <w:ind w:left="0" w:right="-2" w:hanging="0"/>
        <w:jc w:val="both"/>
        <w:rPr>
          <w:sz w:val="24"/>
          <w:szCs w:val="24"/>
        </w:rPr>
      </w:pPr>
      <w:r>
        <w:rPr>
          <w:vanish w:val="false"/>
          <w:sz w:val="24"/>
          <w:szCs w:val="24"/>
        </w:rPr>
        <w:t>Дополнительные документы по ценообразованию в состав заявки Участника не включаются.</w:t>
      </w:r>
    </w:p>
    <w:p>
      <w:pPr>
        <w:pStyle w:val="Normal"/>
        <w:numPr>
          <w:ilvl w:val="1"/>
        </w:numPr>
        <w:tabs>
          <w:tab w:val="clear" w:pos="720"/>
          <w:tab w:val="left" w:pos="567" w:leader="none"/>
        </w:tabs>
        <w:ind w:left="0" w:right="-2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567" w:leader="none"/>
        </w:tabs>
        <w:ind w:left="0" w:right="-2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tabs>
          <w:tab w:val="clear" w:pos="720"/>
          <w:tab w:val="left" w:pos="567" w:leader="none"/>
        </w:tabs>
        <w:ind w:left="0" w:right="-2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567" w:leader="none"/>
        </w:tabs>
        <w:ind w:left="0" w:right="-2" w:hanging="0"/>
        <w:jc w:val="both"/>
        <w:rPr>
          <w:sz w:val="24"/>
          <w:szCs w:val="24"/>
        </w:rPr>
      </w:pPr>
      <w:r>
        <w:rPr>
          <w:sz w:val="24"/>
          <w:szCs w:val="24"/>
        </w:rPr>
        <w:t>В итоговый расчет стоимости оказания услуг должны быть включены все налоги, сборы, пошлины и прочие обязательные платежи, возникающие в ходе исполнения обязательств по договору, а также стоимость расходных материалов, используемых</w:t>
      </w:r>
      <w:r>
        <w:rPr>
          <w:sz w:val="24"/>
          <w:szCs w:val="24"/>
          <w:shd w:fill="auto" w:val="clear"/>
        </w:rPr>
        <w:t xml:space="preserve"> в ходе оказания услуг.</w:t>
      </w:r>
    </w:p>
    <w:p>
      <w:pPr>
        <w:pStyle w:val="Normal"/>
        <w:tabs>
          <w:tab w:val="clear" w:pos="720"/>
          <w:tab w:val="left" w:pos="567" w:leader="none"/>
        </w:tabs>
        <w:ind w:left="0" w:right="-2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tabs>
          <w:tab w:val="clear" w:pos="720"/>
          <w:tab w:val="left" w:pos="567" w:leader="none"/>
        </w:tabs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/>
        <w:commentReference w:id="6"/>
      </w:r>
    </w:p>
    <w:p>
      <w:pPr>
        <w:pStyle w:val="Normal"/>
        <w:jc w:val="left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Приложение № 1 к Техническим требованиям</w:t>
      </w:r>
    </w:p>
    <w:p>
      <w:pPr>
        <w:pStyle w:val="Normal"/>
        <w:widowControl w:val="false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Перечень и объем оказываемых услуг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pPr w:bottomFromText="0" w:horzAnchor="margin" w:leftFromText="180" w:rightFromText="180" w:tblpX="0" w:tblpY="585" w:topFromText="0" w:vertAnchor="text"/>
        <w:tblW w:w="992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2"/>
        <w:gridCol w:w="1505"/>
        <w:gridCol w:w="850"/>
        <w:gridCol w:w="4766"/>
        <w:gridCol w:w="1191"/>
        <w:gridCol w:w="1190"/>
      </w:tblGrid>
      <w:tr>
        <w:trPr>
          <w:trHeight w:val="1067" w:hRule="atLeas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№ </w:t>
            </w:r>
            <w:r>
              <w:rPr>
                <w:rFonts w:eastAsia="Calibri"/>
                <w:sz w:val="16"/>
                <w:szCs w:val="16"/>
              </w:rPr>
              <w:t>п/п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Наименование объекта закупки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val="en-GB" w:eastAsia="ru-RU"/>
              </w:rPr>
              <w:t>год выпуска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Основные характеристики объекта закупки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Ед. изм.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Кол-во</w:t>
            </w:r>
          </w:p>
        </w:tc>
      </w:tr>
      <w:tr>
        <w:trPr>
          <w:trHeight w:val="183" w:hRule="atLeast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>Услуги по слипованию, дефектации и ремонту рейдового буксира</w:t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«РБТ-301»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0" w:after="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1959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Произвести слипование   т/х " РБТ - 301 "  L = 14пм,   В = 3,8пм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судно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183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Перекатка по одной линии, расстановка тумб, подклинка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линия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183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Слиповой тариф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судно/сут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150</w:t>
            </w:r>
          </w:p>
        </w:tc>
      </w:tr>
      <w:tr>
        <w:trPr>
          <w:trHeight w:val="183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Услуги буксира "Рейдовый-22" при наводке на подъёмные телеги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час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183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Причальный тариф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судно/сут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10</w:t>
            </w:r>
          </w:p>
        </w:tc>
      </w:tr>
      <w:tr>
        <w:trPr>
          <w:trHeight w:val="183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Услуги буксира "РБТ-124"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час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84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Установить, убрать трап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раз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64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Установить заземление корпуса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раз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205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Подключение судна к береговому электропитанию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раз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12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Электроснабжение судна для нужд команды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кВт/ч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4500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Пользование внутренними линиями электропередач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кВт/ч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4500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контейнера для мусора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контейнер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Удаление мусора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Подача воды питьевого качества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м3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Леса для ремонта корпуса на высоте свыше 2-х м., установка и демонтаж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Отстой судна на территории СЛИП (без проведения ремонтных работ)</w:t>
            </w:r>
            <w:bookmarkStart w:id="2" w:name="_GoBack"/>
            <w:bookmarkEnd w:id="2"/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судно/сут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Услуги швартовой команды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Уборка стапельной площадки после спуска судна  / без учёта уборки при пескоструйной очистке / (к габаритам судна плюс 2 метра с каждой стороны)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140,4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Нивелировка судна (не реже  одного раза в десять дней)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раз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Произвести полную дефектацию корпуса рейдового буксира РБТ-301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судно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1182" w:leader="none"/>
              </w:tabs>
              <w:rPr/>
            </w:pPr>
            <w:r>
              <w:rPr>
                <w:rFonts w:eastAsia="Calibri"/>
                <w:sz w:val="16"/>
                <w:szCs w:val="16"/>
              </w:rPr>
              <w:t>Произвести пескоструйную очистку подводной части корпуса судна до класса Sа 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126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1182" w:leader="none"/>
              </w:tabs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Провести уборку купершлака после пескоструйной очистки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м2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126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1182" w:leader="none"/>
              </w:tabs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Произвести полную дефектацию ДРК / без учёта УЗК / без учёта устранения дефектов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судно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Подготовка приспособлений для демонтажа и монтажа ДРК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Рулевое устройство разобрать для проведения дефектации, собрать  (без учёта ремонта) ./без СЗЧ / без УЗК / без токарных работ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Баллер руля ф65мм L=1840мм-проверить  на станке на биение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188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Выполнить УЗК баллера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5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Валопровод разобрать для проведения дефектации, собрать (без учёта ремонта)  / без учёта пром валов / без учёта ремонтных работ / без СЗЧ / без УЗК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линия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5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Винт гребной: снять с подогревом в цехе  (работа выполняется на сабанах)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5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Втулку р/металлическую  выпрессовать, расточить, после запрессовать /новая втулка Исполнителя/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Проверить гребной вал на станке на биение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вал.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Выполнить УЗК гребного вала / без стачивания облицовок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вал.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Приделать полумуфту по конусу гребного вала с пригонкой шпонки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Подрезать торец полумуфты. Проверить резьбу и снять полумуфту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Винт гребной: пригнать по конусу вала с пригонкой шпонки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Винт гребной балансировать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Вал промежуточный ф90мм L=2250мм : разобрать фланцевое соединение и переборочный сальник, проверить центровку. Снять полумуфту, вынуть вал, доставить детали в цех и на судно и по окончании установить на место с заменой набивки сальников / без учёта ремонтных работ / без СЗЧ / без УЗК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Приделать полумуфту по конусу промежуточного вала с пригонкой шпонки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Проверить промежуточный вал на станке, подрезать торец полумуфты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Изготовить призонный болт М24*45 с гайкой и контргайкой соединения гребного вала с промежуточным для проведения центровки валопровода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16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После сборки ДРК произвести центровку валовой линии на плаву / без подрыва и смещения ГД, без учёта токарных работ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линия.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Задвижка клинкетная Ду100-снять, перебрать, пришабрить, установить/без ремонта и СЗЧ/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Опрессовать кингстоны /без учета устранения дефектов/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Произвести опрессовку клинкетной задвижки / без учёта устранения дефектов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Установить заглушку для опрессовки ДЗА, по окончании работ срезать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3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Дефектация якорного и швартового устройства / с учётом винтовых стопоров, якорей и якорных цепей / без учета стоимости устранения дефектов/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Дефектация осушительной системы /без учета стоимости устранения дефектов/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Дефектация пожарной системы / с учётом дефектации трубопроводов и пожарного насоса / без учета стоимости устранения дефектов/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10" w:leader="none"/>
              </w:tabs>
              <w:rPr/>
            </w:pPr>
            <w:r>
              <w:rPr>
                <w:rFonts w:eastAsia="Calibri"/>
                <w:sz w:val="16"/>
                <w:szCs w:val="16"/>
              </w:rPr>
              <w:t>Дефектация вентиляционной системы /без учета стоимости устранения дефектов/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10" w:leader="none"/>
              </w:tabs>
              <w:rPr/>
            </w:pPr>
            <w:r>
              <w:rPr>
                <w:rFonts w:eastAsia="Calibri"/>
                <w:sz w:val="16"/>
                <w:szCs w:val="16"/>
              </w:rPr>
              <w:t>Рулевые тяги, пальцы,  подшипники – разобрать/собрать  / без ремонта / без СЗЧ и токарных работ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Тяги рулевые вытащить из румпельного отделения, доставить в цех и на судно, опустить в румпельное отделение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Баллер отсоединить от поворотной насадки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Выпрессовать верхнюю втулку подшипника баллера, запрессовать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Выпрессовать нижнюю втулку подшипника баллера, запрессовать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Баллер руля-выправить  на станке / при изгибе до 5мм/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Баллер руля:  установить на токарный станок баллер, бурак снять проточив шейки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Изготовить бурак ф80 L=150мм на баллер  (заготовка стальная ф100мм отрезать и проточить 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Опрессовать бурак давлением 2кг/см2 в течении 15 минут на тех оборудовании, течь не допускается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Бурак - 1шт/к-т напрессовать на баллер, загужонить винтами М8х15мми-2шт на к-т, обварить по Ф, проточить шейки в размер ф65мм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Подшипник гельмпортовый -  расточить/ подшипник Заказчика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rPr/>
            </w:pPr>
            <w:r>
              <w:rPr>
                <w:rFonts w:eastAsia="Calibri"/>
                <w:sz w:val="16"/>
                <w:szCs w:val="16"/>
              </w:rPr>
              <w:t>Изготовить втулку подпятника руля D = 60/74 мм, L = 56 мм / без стоимости материала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Приобрести заготовку бронзовую ф80/ф50х70мм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Изготовить шпонку румпеля 18*11*100 мм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Изготовить палец тяги с гайкой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Изготовить шпильку с гайкой крепления корпуса подшипника М16х35мм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32</w:t>
            </w:r>
          </w:p>
        </w:tc>
      </w:tr>
      <w:tr>
        <w:trPr>
          <w:trHeight w:val="200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16"/>
                <w:szCs w:val="16"/>
              </w:rPr>
              <w:t>Изготовить шпонку сектора редуктора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Ремонт гребного вала - проточить шейки до наплавки, наплавить шейки L=390мм-2шт, проточить после наплавки, шлифовать, полировать шейки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вал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Очистить вал между облицовками, загрунтовать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Изолировать цевье вала стеклотканью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Винт гребной- наплавить лопасти, зачистить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Изготовить шпонку муфты гребного вала  24*14*125 мм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Изготовить шпонку гребного винта 24х14х170мм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Проверить промежуточный вал на станке, подрезать торец полумуфты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Изготовить шпонку муфты промежуточного вала 24х14х125мм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Изготовить болт фланцевого соединения М16х85мм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обшивку днища листы с 2-ой кривизной, б=8мм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м2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25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флоры (лекальные) 5х450ср./8х100мм L=3п.м-15шт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пм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кильсон в ДП 7х500/8х100мм L=7п.м-1шт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пм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боковой кильсон 6х500/8х100мм L=7п.м-2шт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пм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бортовую обшивку, лист прямой б=6мм, с набором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м2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20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бортовой шпангоут уголок 50х50х6мм L=1,8п.м-22шт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пм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бортовой стрингер 5х160/8х100мм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пм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кницы 5х130х160мм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20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бракеты крепления лыжи гребного вала. Лист б=5мм 0,5м2-каждая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привальный брус металлический в разных местах по корпусу. Полукруглый R=100мм, б=8мм -прямой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пм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привальный брус металлический в разных местах по корпусу. Полукруглый R=100мм, б=8мм-лекальный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пм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Срезать с корпуса направляющую насадку, доставить в цех для ремонта обшивки и обратно на судно.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обшивку наружную направляющей насадки гребных винтов: лист лекальный 4х800х2500мм-1шт на к-т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обшивку внутреннюю направляющей насадки гребных винтов: лист лекальный 4х300х2500мм-2шт на к-т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полосу 6х60х800мм-6шт на к-т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Сменить бракеты 5х100х800мм-6шт на к-т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комплект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Наплавить рабочий пояс насадки за 2 слоя 0,4м2 на каждую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79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Проверить на непроницаемость смененные участки обшивки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м2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48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Произвести очистку надводной части корпуса перед окраской / учтена очистка до класса Sa 2,0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м2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36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Уборка отработанного купершлака со стапеля после работ по пескоструйной очистке надводной части корпуса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м2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36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Обеспыливание поверхности перед нанесением первого слоя ЛКМ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м2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36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Протереть и обезжирить всю поверхность надводной части корпуса перед покраской  (Борт выше ГВЛ, фальшборт (наружная сторона, брус привальный)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м2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36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Произвести окраску снаружи надводной части корпуса  за 3 раза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м2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36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Окрасить смененные участки днищевой и бортовой обшивки  с набором изнутри, бракеты крепления, обшивки насадки с набором, лыжи гребного вала грунтом ФЛ 03К -1 слой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м2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154,5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Нанести белой краской ватерлинию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пм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Грузовые марки окрасить по существующему, наваренному на корпус кругу Плимсоля и классу судна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Марки углубления окрасить по существующим, наваренным на корпус судна цифрам и рискам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шт.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</w:tr>
      <w:tr>
        <w:trPr>
          <w:trHeight w:val="251" w:hRule="atLeast"/>
        </w:trPr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0" w:before="100" w:after="100"/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</w:p>
        </w:tc>
        <w:tc>
          <w:tcPr>
            <w:tcW w:w="4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Услуги РКО по техническому наблюдению за ремонтом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судно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</w:tbl>
    <w:p>
      <w:pPr>
        <w:pStyle w:val="NoSpacing"/>
        <w:tabs>
          <w:tab w:val="clear" w:pos="720"/>
          <w:tab w:val="left" w:pos="567" w:leader="none"/>
        </w:tabs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</w:r>
    </w:p>
    <w:p>
      <w:pPr>
        <w:pStyle w:val="NoSpacing"/>
        <w:tabs>
          <w:tab w:val="clear" w:pos="720"/>
          <w:tab w:val="left" w:pos="567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20"/>
          <w:tab w:val="left" w:pos="7938" w:leader="none"/>
        </w:tabs>
        <w:rPr>
          <w:bCs/>
          <w:color w:val="000000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6" w:right="707" w:gutter="0" w:header="720" w:top="851" w:footer="720" w:bottom="993"/>
      <w:pgNumType w:fmt="decimal"/>
      <w:formProt w:val="false"/>
      <w:textDirection w:val="lrTb"/>
      <w:docGrid w:type="default" w:linePitch="360" w:charSpace="32768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sergeevavi@corp.gidroogk.com" w:date="2026-08-21T10:32:03Z" w:initials="s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федеральным автономным учреждением "Российское Классификационное Общество"</w:t>
      </w:r>
    </w:p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Liberation Serif" w:hAnsi="Liberation Serif" w:eastAsia="Tahoma" w:cs="Tahoma"/>
          <w:sz w:val="24"/>
          <w:szCs w:val="24"/>
          <w:lang w:val="en-US" w:eastAsia="en-US" w:bidi="en-US"/>
        </w:rPr>
      </w:r>
    </w:p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далее по ТТ аналогично</w:t>
      </w:r>
    </w:p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 xml:space="preserve"> </w:t>
      </w:r>
    </w:p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Liberation Serif" w:hAnsi="Liberation Serif" w:eastAsia="Tahoma" w:cs="Tahoma"/>
          <w:sz w:val="24"/>
          <w:szCs w:val="24"/>
          <w:lang w:val="en-US" w:eastAsia="en-US" w:bidi="en-US"/>
        </w:rPr>
      </w:r>
    </w:p>
  </w:comment>
  <w:comment w:id="1" w:author="sergeevavi@corp.gidroogk.com" w:date="2026-08-21T10:25:41Z" w:initials="s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продукции</w:t>
      </w:r>
    </w:p>
  </w:comment>
  <w:comment w:id="2" w:author="sergeevavi@corp.gidroogk.com" w:date="2026-08-21T10:25:49Z" w:initials="s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продукции</w:t>
      </w:r>
    </w:p>
  </w:comment>
  <w:comment w:id="3" w:author="sergeevavi@corp.gidroogk.com" w:date="2026-08-21T10:27:23Z" w:initials="s">
    <w:p>
      <w:pPr>
        <w:overflowPunct w:val="true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по какой форме?</w:t>
      </w:r>
    </w:p>
  </w:comment>
  <w:comment w:id="4" w:author="sergeevavi@corp.gidroogk.com" w:date="2026-08-21T10:30:44Z" w:initials="s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"РД 212.0182-02. Руководящий документ по стандартизации. Руководство по технической эксплуатации судов внутреннего водного транспорта" (утв. Минтрансом России 20.12.2001)</w:t>
      </w:r>
    </w:p>
  </w:comment>
  <w:comment w:id="5" w:author="sergeevavi@corp.gidroogk.com" w:date="2026-08-21T10:33:00Z" w:initials="s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?</w:t>
      </w:r>
    </w:p>
  </w:comment>
  <w:comment w:id="6" w:author="sergeevavi@corp.gidroogk.com" w:date="2026-08-21T10:33:27Z" w:initials="s">
    <w:p>
      <w:pPr>
        <w:overflowPunct w:val="fals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Приложение № 1 - Перечень и объем оказываемых услуг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Rockwell Condensed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738" w:leader="none"/>
        <w:tab w:val="center" w:pos="4677" w:leader="none"/>
        <w:tab w:val="right" w:pos="9355" w:leader="none"/>
      </w:tabs>
      <w:jc w:val="right"/>
      <w:rPr/>
    </w:pPr>
    <w:r>
      <w:rPr/>
      <w:t xml:space="preserve"> 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b/>
        <w:szCs w:val="2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2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78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04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7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96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62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688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20"/>
        <w:tab w:val="left" w:pos="6521" w:leader="none"/>
        <w:tab w:val="left" w:pos="6946" w:leader="none"/>
      </w:tabs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20"/>
        <w:tab w:val="left" w:pos="6521" w:leader="none"/>
        <w:tab w:val="left" w:pos="6946" w:leader="none"/>
      </w:tabs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/>
  </w:style>
  <w:style w:type="character" w:styleId="WW8Num5z0" w:customStyle="1">
    <w:name w:val="WW8Num5z0"/>
    <w:qFormat/>
    <w:rPr/>
  </w:style>
  <w:style w:type="character" w:styleId="WW8Num6z0" w:customStyle="1">
    <w:name w:val="WW8Num6z0"/>
    <w:qFormat/>
    <w:rPr/>
  </w:style>
  <w:style w:type="character" w:styleId="WW8Num3z0" w:customStyle="1">
    <w:name w:val="WW8Num3z0"/>
    <w:qFormat/>
    <w:rPr/>
  </w:style>
  <w:style w:type="character" w:styleId="WW8Num7z0" w:customStyle="1">
    <w:name w:val="WW8Num7z0"/>
    <w:qFormat/>
    <w:rPr/>
  </w:style>
  <w:style w:type="character" w:styleId="WW8Num1z0" w:customStyle="1">
    <w:name w:val="WW8Num1z0"/>
    <w:qFormat/>
    <w:rPr>
      <w:b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WW8Num4z0" w:customStyle="1">
    <w:name w:val="WW8Num4z0"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9z0" w:customStyle="1">
    <w:name w:val="WW8Num9z0"/>
    <w:qFormat/>
    <w:rPr>
      <w:rFonts w:ascii="Symbol" w:hAnsi="Symbol" w:cs="Symbol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>
      <w:rFonts w:ascii="Symbol" w:hAnsi="Symbol" w:cs="Symbol"/>
      <w:color w:val="auto"/>
    </w:rPr>
  </w:style>
  <w:style w:type="character" w:styleId="WW8Num13z0" w:customStyle="1">
    <w:name w:val="WW8Num13z0"/>
    <w:qFormat/>
    <w:rPr>
      <w:b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>
      <w:b/>
    </w:rPr>
  </w:style>
  <w:style w:type="character" w:styleId="WW8Num15z0" w:customStyle="1">
    <w:name w:val="WW8Num15z0"/>
    <w:qFormat/>
    <w:rPr>
      <w:b/>
      <w:bCs w:val="false"/>
      <w:sz w:val="24"/>
      <w:szCs w:val="24"/>
    </w:rPr>
  </w:style>
  <w:style w:type="character" w:styleId="WW8Num15z1" w:customStyle="1">
    <w:name w:val="WW8Num15z1"/>
    <w:qFormat/>
    <w:rPr>
      <w:b w:val="false"/>
      <w:bCs/>
      <w:sz w:val="24"/>
      <w:szCs w:val="24"/>
    </w:rPr>
  </w:style>
  <w:style w:type="character" w:styleId="WW8Num15z2" w:customStyle="1">
    <w:name w:val="WW8Num15z2"/>
    <w:qFormat/>
    <w:rPr>
      <w:sz w:val="24"/>
      <w:szCs w:val="24"/>
    </w:rPr>
  </w:style>
  <w:style w:type="character" w:styleId="WW8Num16z0" w:customStyle="1">
    <w:name w:val="WW8Num16z0"/>
    <w:qFormat/>
    <w:rPr/>
  </w:style>
  <w:style w:type="character" w:styleId="WW8Num17z0" w:customStyle="1">
    <w:name w:val="WW8Num17z0"/>
    <w:qFormat/>
    <w:rPr>
      <w:rFonts w:ascii="Symbol" w:hAnsi="Symbol" w:cs="Symbol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9z0" w:customStyle="1">
    <w:name w:val="WW8Num19z0"/>
    <w:qFormat/>
    <w:rPr/>
  </w:style>
  <w:style w:type="character" w:styleId="WW8Num20z0" w:customStyle="1">
    <w:name w:val="WW8Num20z0"/>
    <w:qFormat/>
    <w:rPr/>
  </w:style>
  <w:style w:type="character" w:styleId="WW8Num21z0" w:customStyle="1">
    <w:name w:val="WW8Num21z0"/>
    <w:qFormat/>
    <w:rPr>
      <w:rFonts w:ascii="Symbol" w:hAnsi="Symbol" w:cs="Symbol"/>
    </w:rPr>
  </w:style>
  <w:style w:type="character" w:styleId="WW8Num22z0" w:customStyle="1">
    <w:name w:val="WW8Num22z0"/>
    <w:qFormat/>
    <w:rPr/>
  </w:style>
  <w:style w:type="character" w:styleId="WW8Num23z0" w:customStyle="1">
    <w:name w:val="WW8Num23z0"/>
    <w:qFormat/>
    <w:rPr/>
  </w:style>
  <w:style w:type="character" w:styleId="WW8Num25z0" w:customStyle="1">
    <w:name w:val="WW8Num25z0"/>
    <w:qFormat/>
    <w:rPr/>
  </w:style>
  <w:style w:type="character" w:styleId="WW8Num26z0" w:customStyle="1">
    <w:name w:val="WW8Num26z0"/>
    <w:qFormat/>
    <w:rPr>
      <w:rFonts w:ascii="Times New Roman" w:hAnsi="Times New Roman" w:cs="Times New Roman"/>
    </w:rPr>
  </w:style>
  <w:style w:type="character" w:styleId="WW8Num26z2" w:customStyle="1">
    <w:name w:val="WW8Num26z2"/>
    <w:qFormat/>
    <w:rPr>
      <w:rFonts w:ascii="Wingdings" w:hAnsi="Wingdings" w:cs="Wingdings"/>
    </w:rPr>
  </w:style>
  <w:style w:type="character" w:styleId="WW8Num26z3" w:customStyle="1">
    <w:name w:val="WW8Num26z3"/>
    <w:qFormat/>
    <w:rPr>
      <w:rFonts w:ascii="Symbol" w:hAnsi="Symbol" w:cs="Symbol"/>
    </w:rPr>
  </w:style>
  <w:style w:type="character" w:styleId="WW8Num26z4" w:customStyle="1">
    <w:name w:val="WW8Num26z4"/>
    <w:qFormat/>
    <w:rPr>
      <w:rFonts w:ascii="Courier New" w:hAnsi="Courier New" w:cs="Courier New"/>
    </w:rPr>
  </w:style>
  <w:style w:type="character" w:styleId="WW8Num27z0" w:customStyle="1">
    <w:name w:val="WW8Num27z0"/>
    <w:qFormat/>
    <w:rPr>
      <w:rFonts w:ascii="Symbol" w:hAnsi="Symbol" w:cs="Symbol"/>
    </w:rPr>
  </w:style>
  <w:style w:type="character" w:styleId="WW8Num27z1" w:customStyle="1">
    <w:name w:val="WW8Num27z1"/>
    <w:qFormat/>
    <w:rPr>
      <w:rFonts w:ascii="Courier New" w:hAnsi="Courier New" w:cs="Courier New"/>
    </w:rPr>
  </w:style>
  <w:style w:type="character" w:styleId="WW8Num27z2" w:customStyle="1">
    <w:name w:val="WW8Num27z2"/>
    <w:qFormat/>
    <w:rPr>
      <w:rFonts w:ascii="Wingdings" w:hAnsi="Wingdings" w:cs="Wingdings"/>
    </w:rPr>
  </w:style>
  <w:style w:type="character" w:styleId="WW8Num28z0" w:customStyle="1">
    <w:name w:val="WW8Num28z0"/>
    <w:qFormat/>
    <w:rPr>
      <w:rFonts w:ascii="Symbol" w:hAnsi="Symbol" w:cs="Symbol"/>
    </w:rPr>
  </w:style>
  <w:style w:type="character" w:styleId="WW8Num28z1" w:customStyle="1">
    <w:name w:val="WW8Num28z1"/>
    <w:qFormat/>
    <w:rPr>
      <w:rFonts w:ascii="Courier New" w:hAnsi="Courier New" w:cs="Courier New"/>
    </w:rPr>
  </w:style>
  <w:style w:type="character" w:styleId="WW8Num28z2" w:customStyle="1">
    <w:name w:val="WW8Num28z2"/>
    <w:qFormat/>
    <w:rPr>
      <w:rFonts w:ascii="Wingdings" w:hAnsi="Wingdings" w:cs="Wingdings"/>
    </w:rPr>
  </w:style>
  <w:style w:type="character" w:styleId="WW8Num29z0" w:customStyle="1">
    <w:name w:val="WW8Num29z0"/>
    <w:qFormat/>
    <w:rPr/>
  </w:style>
  <w:style w:type="character" w:styleId="WW8Num30z0" w:customStyle="1">
    <w:name w:val="WW8Num30z0"/>
    <w:qFormat/>
    <w:rPr/>
  </w:style>
  <w:style w:type="character" w:styleId="WW8Num31z0" w:customStyle="1">
    <w:name w:val="WW8Num31z0"/>
    <w:qFormat/>
    <w:rPr>
      <w:rFonts w:ascii="Symbol" w:hAnsi="Symbol" w:cs="Symbol"/>
      <w:color w:val="auto"/>
    </w:rPr>
  </w:style>
  <w:style w:type="character" w:styleId="WW8Num33z0" w:customStyle="1">
    <w:name w:val="WW8Num33z0"/>
    <w:qFormat/>
    <w:rPr/>
  </w:style>
  <w:style w:type="character" w:styleId="WW8Num34z0" w:customStyle="1">
    <w:name w:val="WW8Num34z0"/>
    <w:qFormat/>
    <w:rPr>
      <w:rFonts w:ascii="Wingdings" w:hAnsi="Wingdings" w:cs="Wingdings"/>
    </w:rPr>
  </w:style>
  <w:style w:type="character" w:styleId="WW8Num35z0" w:customStyle="1">
    <w:name w:val="WW8Num35z0"/>
    <w:qFormat/>
    <w:rPr/>
  </w:style>
  <w:style w:type="character" w:styleId="WW8Num36z0" w:customStyle="1">
    <w:name w:val="WW8Num36z0"/>
    <w:qFormat/>
    <w:rPr>
      <w:rFonts w:ascii="Symbol" w:hAnsi="Symbol" w:cs="Symbol"/>
      <w:color w:val="auto"/>
    </w:rPr>
  </w:style>
  <w:style w:type="character" w:styleId="WW8Num36z1" w:customStyle="1">
    <w:name w:val="WW8Num36z1"/>
    <w:qFormat/>
    <w:rPr>
      <w:rFonts w:ascii="Courier New" w:hAnsi="Courier New" w:cs="Courier New"/>
    </w:rPr>
  </w:style>
  <w:style w:type="character" w:styleId="WW8Num36z2" w:customStyle="1">
    <w:name w:val="WW8Num36z2"/>
    <w:qFormat/>
    <w:rPr>
      <w:rFonts w:ascii="Wingdings" w:hAnsi="Wingdings" w:cs="Wingdings"/>
    </w:rPr>
  </w:style>
  <w:style w:type="character" w:styleId="WW8Num36z3" w:customStyle="1">
    <w:name w:val="WW8Num36z3"/>
    <w:qFormat/>
    <w:rPr>
      <w:rFonts w:ascii="Symbol" w:hAnsi="Symbol" w:cs="Symbol"/>
    </w:rPr>
  </w:style>
  <w:style w:type="character" w:styleId="WW8Num37z1" w:customStyle="1">
    <w:name w:val="WW8Num37z1"/>
    <w:qFormat/>
    <w:rPr>
      <w:rFonts w:ascii="Symbol" w:hAnsi="Symbol" w:cs="Symbol"/>
    </w:rPr>
  </w:style>
  <w:style w:type="character" w:styleId="WW8Num38z0" w:customStyle="1">
    <w:name w:val="WW8Num38z0"/>
    <w:qFormat/>
    <w:rPr/>
  </w:style>
  <w:style w:type="character" w:styleId="WW8Num39z0" w:customStyle="1">
    <w:name w:val="WW8Num39z0"/>
    <w:qFormat/>
    <w:rPr/>
  </w:style>
  <w:style w:type="character" w:styleId="WW8Num39z1" w:customStyle="1">
    <w:name w:val="WW8Num39z1"/>
    <w:qFormat/>
    <w:rPr>
      <w:rFonts w:ascii="Symbol" w:hAnsi="Symbol" w:cs="Symbol"/>
    </w:rPr>
  </w:style>
  <w:style w:type="character" w:styleId="WW8Num40z0" w:customStyle="1">
    <w:name w:val="WW8Num40z0"/>
    <w:qFormat/>
    <w:rPr/>
  </w:style>
  <w:style w:type="character" w:styleId="WW8Num41z0" w:customStyle="1">
    <w:name w:val="WW8Num41z0"/>
    <w:qFormat/>
    <w:rPr/>
  </w:style>
  <w:style w:type="character" w:styleId="WW8Num42z0" w:customStyle="1">
    <w:name w:val="WW8Num42z0"/>
    <w:qFormat/>
    <w:rPr/>
  </w:style>
  <w:style w:type="character" w:styleId="WW8Num43z0" w:customStyle="1">
    <w:name w:val="WW8Num43z0"/>
    <w:qFormat/>
    <w:rPr/>
  </w:style>
  <w:style w:type="character" w:styleId="WW8Num44z0" w:customStyle="1">
    <w:name w:val="WW8Num44z0"/>
    <w:qFormat/>
    <w:rPr>
      <w:rFonts w:ascii="Symbol" w:hAnsi="Symbol" w:cs="Symbol"/>
      <w:color w:val="auto"/>
    </w:rPr>
  </w:style>
  <w:style w:type="character" w:styleId="WW8Num45z0" w:customStyle="1">
    <w:name w:val="WW8Num45z0"/>
    <w:qFormat/>
    <w:rPr>
      <w:rFonts w:ascii="Symbol" w:hAnsi="Symbol" w:cs="Symbol"/>
      <w:color w:val="auto"/>
    </w:rPr>
  </w:style>
  <w:style w:type="character" w:styleId="WW8Num45z1" w:customStyle="1">
    <w:name w:val="WW8Num45z1"/>
    <w:qFormat/>
    <w:rPr>
      <w:rFonts w:ascii="Courier New" w:hAnsi="Courier New" w:cs="Courier New"/>
    </w:rPr>
  </w:style>
  <w:style w:type="character" w:styleId="WW8Num45z2" w:customStyle="1">
    <w:name w:val="WW8Num45z2"/>
    <w:qFormat/>
    <w:rPr>
      <w:rFonts w:ascii="Wingdings" w:hAnsi="Wingdings" w:cs="Wingdings"/>
    </w:rPr>
  </w:style>
  <w:style w:type="character" w:styleId="WW8Num45z3" w:customStyle="1">
    <w:name w:val="WW8Num45z3"/>
    <w:qFormat/>
    <w:rPr>
      <w:rFonts w:ascii="Symbol" w:hAnsi="Symbol" w:cs="Symbol"/>
    </w:rPr>
  </w:style>
  <w:style w:type="character" w:styleId="WW8Num46z0" w:customStyle="1">
    <w:name w:val="WW8Num46z0"/>
    <w:qFormat/>
    <w:rPr>
      <w:rFonts w:ascii="Rockwell Condensed" w:hAnsi="Rockwell Condensed" w:cs="Rockwell Condensed"/>
    </w:rPr>
  </w:style>
  <w:style w:type="character" w:styleId="WW8Num46z1" w:customStyle="1">
    <w:name w:val="WW8Num46z1"/>
    <w:qFormat/>
    <w:rPr>
      <w:rFonts w:ascii="Courier New" w:hAnsi="Courier New" w:cs="Courier New"/>
    </w:rPr>
  </w:style>
  <w:style w:type="character" w:styleId="WW8Num46z2" w:customStyle="1">
    <w:name w:val="WW8Num46z2"/>
    <w:qFormat/>
    <w:rPr>
      <w:rFonts w:ascii="Wingdings" w:hAnsi="Wingdings" w:cs="Wingdings"/>
    </w:rPr>
  </w:style>
  <w:style w:type="character" w:styleId="WW8Num46z3" w:customStyle="1">
    <w:name w:val="WW8Num46z3"/>
    <w:qFormat/>
    <w:rPr>
      <w:rFonts w:ascii="Symbol" w:hAnsi="Symbol" w:cs="Symbol"/>
    </w:rPr>
  </w:style>
  <w:style w:type="character" w:styleId="1" w:customStyle="1">
    <w:name w:val="Основной шрифт абзаца1"/>
    <w:qFormat/>
    <w:rPr/>
  </w:style>
  <w:style w:type="character" w:styleId="Normal1" w:customStyle="1">
    <w:name w:val="Normal1 Знак"/>
    <w:qFormat/>
    <w:rPr>
      <w:rFonts w:eastAsia="Calibri"/>
      <w:lang w:val="ru-RU" w:bidi="ar-SA"/>
    </w:rPr>
  </w:style>
  <w:style w:type="character" w:styleId="Style5" w:customStyle="1">
    <w:name w:val="Текст сноски Знак"/>
    <w:basedOn w:val="1"/>
    <w:qFormat/>
    <w:rPr/>
  </w:style>
  <w:style w:type="character" w:styleId="Style6" w:customStyle="1">
    <w:name w:val="Символ сноски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4" w:customStyle="1">
    <w:name w:val="Заголовок 4 Знак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Style7" w:customStyle="1">
    <w:name w:val="Абзац списка Знак"/>
    <w:qFormat/>
    <w:rPr/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Верхний колонтитул Знак"/>
    <w:basedOn w:val="1"/>
    <w:qFormat/>
    <w:rPr/>
  </w:style>
  <w:style w:type="character" w:styleId="Style10" w:customStyle="1">
    <w:name w:val="Нижний колонтитул Знак"/>
    <w:basedOn w:val="1"/>
    <w:qFormat/>
    <w:rPr/>
  </w:style>
  <w:style w:type="character" w:styleId="3" w:customStyle="1">
    <w:name w:val="Заголовок 3 Знак"/>
    <w:qFormat/>
    <w:rPr>
      <w:rFonts w:ascii="Calibri Light" w:hAnsi="Calibri Light" w:eastAsia="Times New Roman" w:cs="Times New Roman"/>
      <w:b/>
      <w:bCs/>
      <w:sz w:val="26"/>
      <w:szCs w:val="26"/>
    </w:rPr>
  </w:style>
  <w:style w:type="character" w:styleId="Style11" w:customStyle="1">
    <w:name w:val="Текст выноски Знак"/>
    <w:basedOn w:val="DefaultParagraphFont"/>
    <w:qFormat/>
    <w:rPr>
      <w:rFonts w:ascii="Tahoma" w:hAnsi="Tahoma" w:eastAsia="Times New Roman" w:cs="Tahoma"/>
      <w:color w:val="000000"/>
      <w:sz w:val="16"/>
      <w:szCs w:val="16"/>
    </w:rPr>
  </w:style>
  <w:style w:type="paragraph" w:styleId="Style12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tabs>
        <w:tab w:val="clear" w:pos="720"/>
        <w:tab w:val="left" w:pos="6521" w:leader="none"/>
        <w:tab w:val="left" w:pos="6946" w:leader="none"/>
      </w:tabs>
      <w:jc w:val="center"/>
    </w:pPr>
    <w:rPr>
      <w:sz w:val="24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1" w:customStyle="1">
    <w:name w:val="Заголовок1"/>
    <w:basedOn w:val="Normal"/>
    <w:next w:val="BodyText"/>
    <w:qFormat/>
    <w:pPr>
      <w:jc w:val="center"/>
    </w:pPr>
    <w:rPr>
      <w:b/>
      <w:sz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2" w:customStyle="1">
    <w:name w:val="Указатель2"/>
    <w:basedOn w:val="Normal"/>
    <w:qFormat/>
    <w:pPr>
      <w:suppressLineNumbers/>
    </w:pPr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Название объекта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3" w:customStyle="1">
    <w:name w:val="Указатель1"/>
    <w:basedOn w:val="Normal"/>
    <w:qFormat/>
    <w:pPr>
      <w:suppressLineNumbers/>
    </w:pPr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31" w:customStyle="1">
    <w:name w:val="Основной текст с отступом 31"/>
    <w:basedOn w:val="Normal"/>
    <w:qFormat/>
    <w:pPr>
      <w:spacing w:before="0" w:after="120"/>
      <w:ind w:left="283" w:hanging="0"/>
    </w:pPr>
    <w:rPr>
      <w:sz w:val="16"/>
    </w:rPr>
  </w:style>
  <w:style w:type="paragraph" w:styleId="Normal11" w:customStyle="1">
    <w:name w:val="Normal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Normal111" w:customStyle="1">
    <w:name w:val="Normal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0"/>
      <w:szCs w:val="20"/>
      <w:lang w:val="ru-RU" w:eastAsia="zh-CN" w:bidi="ar-SA"/>
    </w:rPr>
  </w:style>
  <w:style w:type="paragraph" w:styleId="14" w:customStyle="1">
    <w:name w:val="Абзац списка1"/>
    <w:basedOn w:val="Normal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FootnoteText">
    <w:name w:val="Footnote Text"/>
    <w:basedOn w:val="Normal"/>
    <w:pPr/>
    <w:rPr/>
  </w:style>
  <w:style w:type="paragraph" w:styleId="TOC1">
    <w:name w:val="TOC 1"/>
    <w:basedOn w:val="Normal"/>
    <w:next w:val="Normal"/>
    <w:pPr>
      <w:tabs>
        <w:tab w:val="clear" w:pos="720"/>
        <w:tab w:val="left" w:pos="560" w:leader="none"/>
        <w:tab w:val="right" w:pos="9496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pPr>
      <w:ind w:left="280" w:hanging="0"/>
    </w:pPr>
    <w:rPr>
      <w:rFonts w:cs="Calibri"/>
    </w:rPr>
  </w:style>
  <w:style w:type="paragraph" w:styleId="TOC4">
    <w:name w:val="TOC 4"/>
    <w:basedOn w:val="Normal"/>
    <w:next w:val="Normal"/>
    <w:pPr>
      <w:tabs>
        <w:tab w:val="clear" w:pos="720"/>
        <w:tab w:val="left" w:pos="1120" w:leader="none"/>
        <w:tab w:val="right" w:pos="9911" w:leader="none"/>
      </w:tabs>
      <w:ind w:left="560" w:hanging="0"/>
    </w:pPr>
    <w:rPr>
      <w:rFonts w:cs="Calibri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Style14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lang w:val="en-US"/>
    </w:rPr>
  </w:style>
  <w:style w:type="paragraph" w:styleId="Style1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/>
    </w:rPr>
  </w:style>
  <w:style w:type="paragraph" w:styleId="Style16" w:customStyle="1">
    <w:name w:val="Колонтитул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8" w:customStyle="1">
    <w:name w:val="Заголовок таблицы"/>
    <w:basedOn w:val="Style17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ListNumber">
    <w:name w:val="List Number"/>
    <w:basedOn w:val="Normal"/>
    <w:qFormat/>
    <w:pPr>
      <w:spacing w:lineRule="exact" w:line="360" w:before="60" w:after="0"/>
      <w:jc w:val="both"/>
    </w:pPr>
    <w:rPr>
      <w:sz w:val="28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comments" Target="comment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Application>AlterOffice/3.4.0.9$Linux_X86_64 LibreOffice_project/b8daf9e823b1a5463a2f48435ddc2e8696e7d4fc</Application>
  <AppVersion>15.0000</AppVersion>
  <Pages>10</Pages>
  <Words>2290</Words>
  <Characters>14645</Characters>
  <CharactersWithSpaces>16576</CharactersWithSpaces>
  <Paragraphs>493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2020-08-20T10:45:00Z</dcterms:created>
  <dc:creator>Дрягин Андрей Юрьевич</dc:creator>
  <dc:description/>
  <dc:language>ru-RU</dc:language>
  <cp:lastModifiedBy>polyakovsg@corp.gidroogk.com</cp:lastModifiedBy>
  <cp:lastPrinted>2026-08-21T08:25:06Z</cp:lastPrinted>
  <dcterms:modified xsi:type="dcterms:W3CDTF">2026-09-21T08:53:39Z</dcterms:modified>
  <cp:revision>146</cp:revision>
  <dc:subject/>
  <dc:title>Приложение №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