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header5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spacing w:before="120" w:after="6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tabs>
          <w:tab w:val="clear" w:pos="708"/>
          <w:tab w:val="left" w:pos="3728" w:leader="none"/>
        </w:tabs>
        <w:rPr>
          <w:sz w:val="26"/>
          <w:szCs w:val="26"/>
        </w:rPr>
      </w:pPr>
      <w:r>
        <w:rPr/>
        <w:tab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bCs/>
        </w:rPr>
      </w:pPr>
      <w:r>
        <w:rPr>
          <w:rFonts w:eastAsia="Calibri"/>
          <w:b/>
          <w:bCs/>
          <w:sz w:val="26"/>
          <w:szCs w:val="26"/>
        </w:rPr>
        <w:t xml:space="preserve"> №</w:t>
      </w:r>
      <w:r>
        <w:rPr>
          <w:rFonts w:eastAsia="Calibri"/>
          <w:b/>
          <w:bCs/>
          <w:sz w:val="26"/>
          <w:szCs w:val="26"/>
        </w:rPr>
        <w:t>-РЕМ ПРОД-2026-СахаЭ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left"/>
        <w:rPr/>
      </w:pPr>
      <w:r>
        <w:rPr>
          <w:rFonts w:eastAsia="Calibri"/>
          <w:b/>
          <w:bCs/>
          <w:sz w:val="26"/>
          <w:szCs w:val="26"/>
        </w:rPr>
        <w:tab/>
      </w:r>
      <w:r>
        <w:rPr>
          <w:rFonts w:eastAsia="Calibri"/>
          <w:b w:val="false"/>
          <w:bCs w:val="false"/>
          <w:sz w:val="26"/>
          <w:szCs w:val="26"/>
        </w:rPr>
        <w:t xml:space="preserve">ОКПД2 </w:t>
      </w:r>
      <w:r>
        <w:rPr>
          <w:rFonts w:eastAsia="Calibri"/>
          <w:b w:val="false"/>
          <w:bCs w:val="false"/>
          <w:sz w:val="26"/>
          <w:szCs w:val="26"/>
        </w:rPr>
        <w:t>26.20.15.120 Компьютеры и комплектующие для филиалов АО «Сахаэнерго»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/>
            </w:rPr>
            <w:fldChar w:fldCharType="separate"/>
          </w:r>
          <w:hyperlink w:anchor="_Toc179884594" w:tgtFrame="#_Toc179884594">
            <w:r>
              <w:rPr>
                <w:webHidden/>
                <w:rStyle w:val="Style15"/>
                <w:rFonts w:eastAsia="Calibri"/>
                <w:vanish w:val="false"/>
              </w:rPr>
              <w:t>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5" w:tgtFrame="#_Toc179884595">
            <w:r>
              <w:rPr>
                <w:webHidden/>
                <w:rStyle w:val="Style15"/>
                <w:rFonts w:eastAsia="Calibri"/>
                <w:iCs/>
                <w:vanish w:val="false"/>
              </w:rPr>
              <w:t>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6" w:tgtFrame="#_Toc179884596">
            <w:r>
              <w:rPr>
                <w:webHidden/>
                <w:rStyle w:val="Style15"/>
                <w:rFonts w:eastAsia="Calibri"/>
                <w:iCs/>
                <w:vanish w:val="false"/>
              </w:rPr>
              <w:t>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7" w:tgtFrame="#_Toc179884597">
            <w:r>
              <w:rPr>
                <w:webHidden/>
                <w:rStyle w:val="Style15"/>
                <w:rFonts w:eastAsia="Calibri"/>
                <w:vanish w:val="false"/>
              </w:rPr>
              <w:t>1.3.    Цели использования закупаемой продукции.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598" w:tgtFrame="#_Toc179884598">
            <w:r>
              <w:rPr>
                <w:webHidden/>
                <w:rStyle w:val="Style15"/>
                <w:rFonts w:eastAsia="Calibri"/>
                <w:vanish w:val="false"/>
              </w:rPr>
              <w:t>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599" w:tgtFrame="#_Toc179884599">
            <w:r>
              <w:rPr>
                <w:webHidden/>
                <w:rStyle w:val="Style15"/>
                <w:rFonts w:eastAsia="Calibri"/>
                <w:iCs/>
                <w:vanish w:val="false"/>
              </w:rPr>
              <w:t>2.1.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_Toc179884599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0" w:tgtFrame="#_Toc179884600">
            <w:r>
              <w:rPr>
                <w:webHidden/>
                <w:rStyle w:val="Style15"/>
                <w:rFonts w:eastAsia="Calibri"/>
                <w:vanish w:val="false"/>
              </w:rPr>
              <w:t>2.1.1.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_Toc179884600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1" w:tgtFrame="#_Toc179884601">
            <w:r>
              <w:rPr>
                <w:webHidden/>
                <w:rStyle w:val="Style15"/>
                <w:rFonts w:eastAsia="Calibri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_Toc179884601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2" w:tgtFrame="#_Toc179884602">
            <w:r>
              <w:rPr>
                <w:webHidden/>
                <w:rStyle w:val="Style15"/>
                <w:rFonts w:eastAsia="Calibri"/>
                <w:vanish w:val="false"/>
              </w:rPr>
              <w:t>2.1.2.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срокам поставки продукции и оказания сопутствующих услуг</w:t>
            </w:r>
            <w:r>
              <w:rPr>
                <w:rStyle w:val="Style15"/>
              </w:rPr>
              <w:tab/>
            </w:r>
          </w:hyperlink>
          <w:r>
            <w:rPr/>
            <w:t>9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3" w:tgtFrame="#_Toc179884603">
            <w:r>
              <w:rPr>
                <w:webHidden/>
                <w:rStyle w:val="Style15"/>
                <w:rFonts w:eastAsia="Calibri"/>
                <w:vanish w:val="false"/>
              </w:rPr>
              <w:t>Таблица 2.1 Требования по срокам поставки продукции</w:t>
            </w:r>
            <w:r>
              <w:rPr>
                <w:rStyle w:val="Style15"/>
              </w:rPr>
              <w:tab/>
            </w:r>
          </w:hyperlink>
          <w:r>
            <w:rPr/>
            <w:t>10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79884604" w:tgtFrame="#_Toc179884604">
            <w:r>
              <w:rPr>
                <w:webHidden/>
                <w:rStyle w:val="Style15"/>
                <w:rFonts w:eastAsia="Calibri"/>
                <w:iCs/>
                <w:vanish w:val="false"/>
              </w:rPr>
              <w:t>2.2.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  <w:rFonts w:eastAsia="Calibri"/>
              </w:rPr>
              <w:t>Требования к качеству продукции</w:t>
            </w:r>
            <w:r>
              <w:rPr>
                <w:rStyle w:val="Style15"/>
              </w:rPr>
              <w:tab/>
            </w:r>
          </w:hyperlink>
          <w:r>
            <w:rPr/>
            <w:t>10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6" w:tgtFrame="#_Toc179884606">
            <w:r>
              <w:rPr>
                <w:webHidden/>
                <w:rStyle w:val="Style15"/>
                <w:rFonts w:eastAsia="Calibri"/>
                <w:iCs/>
                <w:vanish w:val="false"/>
              </w:rPr>
              <w:t>Приложения</w:t>
            </w:r>
            <w:r>
              <w:rPr>
                <w:rStyle w:val="Style15"/>
              </w:rPr>
              <w:tab/>
              <w:t>1</w:t>
            </w:r>
          </w:hyperlink>
          <w:r>
            <w:rPr/>
            <w:t>2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79884605" w:tgtFrame="#_Toc179884605">
            <w:r>
              <w:rPr>
                <w:webHidden/>
                <w:rStyle w:val="Style15"/>
                <w:rFonts w:eastAsia="Calibri"/>
                <w:vanish w:val="false"/>
              </w:rPr>
              <w:t>Таблица 3. Требования к продукции</w:t>
            </w:r>
            <w:r>
              <w:rPr>
                <w:rStyle w:val="Style15"/>
              </w:rPr>
              <w:tab/>
            </w:r>
          </w:hyperlink>
          <w:r>
            <w:rPr/>
            <w:t>14</w:t>
          </w:r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Arial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Arial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</w:rPr>
      </w:pPr>
      <w:bookmarkStart w:id="0" w:name="_Toc179884594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1"/>
        </w:numPr>
        <w:rPr/>
      </w:pPr>
      <w:bookmarkStart w:id="2" w:name="_Toc179884595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9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ДГУ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rPr>
                <w:i/>
                <w:i/>
              </w:rPr>
            </w:pPr>
            <w:r>
              <w:rPr>
                <w:i/>
              </w:rPr>
              <w:t>Дизель-генераторная установка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4" w:name="_Toc179884596"/>
      <w:bookmarkStart w:id="5" w:name="_Toc46743506"/>
      <w:r>
        <w:rPr>
          <w:sz w:val="22"/>
          <w:szCs w:val="22"/>
        </w:rPr>
        <w:t>Наименование закупаемой продукции</w:t>
      </w:r>
      <w:bookmarkEnd w:id="4"/>
      <w:bookmarkEnd w:id="5"/>
    </w:p>
    <w:p>
      <w:pPr>
        <w:pStyle w:val="Heading4"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/>
        <w:tab/>
      </w:r>
      <w:r>
        <w:rPr>
          <w:b w:val="false"/>
          <w:bCs w:val="false"/>
        </w:rPr>
        <w:t>ОКПД2 26.20.15.120 Компьютеры и комплектующие для филиалов АО «Сахаэнерго»</w:t>
      </w:r>
    </w:p>
    <w:p>
      <w:pPr>
        <w:pStyle w:val="Normal"/>
        <w:tabs>
          <w:tab w:val="clear" w:pos="708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1.3. Цели использования закупаемой продукции.</w:t>
      </w:r>
    </w:p>
    <w:p>
      <w:pPr>
        <w:pStyle w:val="Normal"/>
        <w:rPr/>
      </w:pPr>
      <w:r>
        <w:rPr>
          <w:sz w:val="22"/>
          <w:szCs w:val="22"/>
        </w:rPr>
        <w:t xml:space="preserve">Поставляемая продукция необходима для </w:t>
      </w:r>
      <w:r>
        <w:rPr>
          <w:sz w:val="22"/>
          <w:szCs w:val="22"/>
        </w:rPr>
        <w:t>филиалов</w:t>
      </w:r>
      <w:r>
        <w:rPr>
          <w:sz w:val="22"/>
          <w:szCs w:val="22"/>
        </w:rPr>
        <w:t xml:space="preserve"> АО «Сахаэнерго»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sz w:val="22"/>
          <w:szCs w:val="22"/>
        </w:rPr>
      </w:pPr>
      <w:bookmarkStart w:id="6" w:name="_Toc46743510"/>
      <w:bookmarkStart w:id="7" w:name="_Toc51339693"/>
      <w:bookmarkStart w:id="8" w:name="_Toc179884598"/>
      <w:bookmarkStart w:id="9" w:name="_Toc50125126"/>
      <w:bookmarkEnd w:id="9"/>
      <w:r>
        <w:rPr>
          <w:iCs/>
          <w:sz w:val="22"/>
          <w:szCs w:val="22"/>
        </w:rPr>
        <w:t>Требования к продукции</w:t>
      </w:r>
      <w:bookmarkEnd w:id="7"/>
      <w:bookmarkEnd w:id="8"/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10" w:name="_Toc179884599"/>
      <w:r>
        <w:rPr>
          <w:sz w:val="22"/>
          <w:szCs w:val="22"/>
        </w:rPr>
        <w:t>Требования к объемам и срокам поставки</w:t>
      </w:r>
      <w:bookmarkEnd w:id="10"/>
    </w:p>
    <w:p>
      <w:pPr>
        <w:pStyle w:val="Heading3"/>
        <w:numPr>
          <w:ilvl w:val="2"/>
          <w:numId w:val="1"/>
        </w:numPr>
        <w:rPr>
          <w:sz w:val="22"/>
          <w:szCs w:val="22"/>
        </w:rPr>
      </w:pPr>
      <w:bookmarkStart w:id="11" w:name="_Toc179884600"/>
      <w:r>
        <w:rPr>
          <w:sz w:val="22"/>
          <w:szCs w:val="22"/>
        </w:rPr>
        <w:t>Перечень и объем закупаемой продукции</w:t>
      </w:r>
      <w:bookmarkEnd w:id="11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2" w:name="_Toc179884601"/>
      <w:bookmarkStart w:id="13" w:name="_Toc51339695"/>
      <w:r>
        <w:rPr>
          <w:sz w:val="22"/>
          <w:szCs w:val="22"/>
        </w:rPr>
        <w:t xml:space="preserve">Таблица 1.1 Перечень </w:t>
      </w:r>
      <w:bookmarkEnd w:id="13"/>
      <w:r>
        <w:rPr>
          <w:sz w:val="22"/>
          <w:szCs w:val="22"/>
        </w:rPr>
        <w:t>и объем закупаемой продукции</w:t>
      </w:r>
      <w:bookmarkEnd w:id="12"/>
    </w:p>
    <w:tbl>
      <w:tblPr>
        <w:tblW w:w="1036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40"/>
        <w:gridCol w:w="3985"/>
        <w:gridCol w:w="675"/>
        <w:gridCol w:w="915"/>
        <w:gridCol w:w="2086"/>
        <w:gridCol w:w="2263"/>
      </w:tblGrid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продукции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right="-79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 коду</w:t>
            </w:r>
          </w:p>
          <w:p>
            <w:pPr>
              <w:pStyle w:val="Normal"/>
              <w:widowControl w:val="false"/>
              <w:ind w:right="-79" w:hanging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ОКПД 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Применение законодательства о национальном режиме</w:t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Батарея аккумуляторная для ноутбука 15.4В 3410мА.ч NP50BAT-4-54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Блок системный ICL Техно SafeRay S102 G6R Intel Core i5-12400 DDR5 16Gb SSD 512Gb без ОС (клавиатура, мышь, БП 450Вт)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Источник бесперебойного питания Бастион SKAT-UPS 1500ВА/900Вт/Line-Interactive/АКБ 9Ачх2/220В/2xC13/3 л.г./МПТ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Кабель HDMI-HDMI 3м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Коврик для мыши A4Tech Pad X7-300MP резина 437х350х3мм черный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Комплект клавиатура и мышь Logitech Desktop MK120 (920-002561) проводная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Монитор ICL ViewRay 2716IQH-UR 27" 2560х1440 (16:9) IPS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Ноутбук S1513 G1R 15.6" 1920х1080 Intel Core i5 16Gb SSD 512Gb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85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Фильтр сетевой PowerCube SPG-B-15-White 5 розеток 5м белый</w:t>
            </w:r>
          </w:p>
        </w:tc>
        <w:tc>
          <w:tcPr>
            <w:tcW w:w="67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</w:t>
            </w:r>
          </w:p>
        </w:tc>
        <w:tc>
          <w:tcPr>
            <w:tcW w:w="915" w:type="dxa"/>
            <w:tcBorders>
              <w:left w:val="single" w:sz="6" w:space="0" w:color="000000"/>
              <w:bottom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Heading4"/>
              <w:tabs>
                <w:tab w:val="clear" w:pos="0"/>
              </w:tabs>
              <w:spacing w:before="240" w:after="6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26.20.15.120 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pStyle w:val="Heading3"/>
        <w:tabs>
          <w:tab w:val="clear" w:pos="0"/>
        </w:tabs>
        <w:ind w:left="1224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Heading3"/>
        <w:numPr>
          <w:ilvl w:val="2"/>
          <w:numId w:val="1"/>
        </w:numPr>
        <w:rPr>
          <w:sz w:val="22"/>
          <w:szCs w:val="22"/>
        </w:rPr>
      </w:pPr>
      <w:bookmarkStart w:id="14" w:name="_Toc179884602"/>
      <w:r>
        <w:rPr>
          <w:sz w:val="22"/>
          <w:szCs w:val="22"/>
        </w:rPr>
        <w:t>Требования к срокам поставки продукции и оказания сопутствующих услуг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bookmarkStart w:id="15" w:name="_Toc179884603"/>
      <w:bookmarkStart w:id="16" w:name="_Toc50125127"/>
      <w:bookmarkStart w:id="17" w:name="_Toc51339697"/>
      <w:bookmarkStart w:id="18" w:name="_Toc50125126_Копия_1"/>
      <w:bookmarkEnd w:id="18"/>
      <w:r>
        <w:rPr>
          <w:sz w:val="22"/>
          <w:szCs w:val="22"/>
        </w:rPr>
        <w:t xml:space="preserve">Таблица 2.1 </w:t>
      </w:r>
      <w:bookmarkStart w:id="19" w:name="_Hlk50465284"/>
      <w:r>
        <w:rPr>
          <w:sz w:val="22"/>
          <w:szCs w:val="22"/>
        </w:rPr>
        <w:t xml:space="preserve">Требования по срокам </w:t>
      </w:r>
      <w:bookmarkEnd w:id="16"/>
      <w:bookmarkEnd w:id="17"/>
      <w:bookmarkEnd w:id="19"/>
      <w:r>
        <w:rPr>
          <w:sz w:val="22"/>
          <w:szCs w:val="22"/>
        </w:rPr>
        <w:t>поставки продукции</w:t>
      </w:r>
      <w:bookmarkEnd w:id="15"/>
      <w:r>
        <w:rPr>
          <w:sz w:val="22"/>
          <w:szCs w:val="22"/>
        </w:rPr>
        <w:t xml:space="preserve"> </w:t>
      </w:r>
      <w:bookmarkStart w:id="20" w:name="_Toc50125131"/>
      <w:bookmarkStart w:id="21" w:name="_Toc54785622"/>
      <w:bookmarkEnd w:id="6"/>
      <w:bookmarkEnd w:id="21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960"/>
        <w:gridCol w:w="2720"/>
        <w:gridCol w:w="2982"/>
        <w:gridCol w:w="3113"/>
      </w:tblGrid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«ОКПД2 26.20.15.120 Компьютеры и комплектующие для филиалов АО «Сахаэнерго»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Не ранее 01.05.2027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Не позднее 30.06.2027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1"/>
        </w:numPr>
        <w:rPr>
          <w:sz w:val="22"/>
          <w:szCs w:val="22"/>
        </w:rPr>
      </w:pPr>
      <w:bookmarkStart w:id="22" w:name="_Toc51339698"/>
      <w:bookmarkStart w:id="23" w:name="_Toc179884604"/>
      <w:bookmarkStart w:id="24" w:name="_Toc46743511"/>
      <w:r>
        <w:rPr>
          <w:sz w:val="22"/>
          <w:szCs w:val="22"/>
        </w:rPr>
        <w:t xml:space="preserve">Требования к </w:t>
      </w:r>
      <w:bookmarkEnd w:id="24"/>
      <w:r>
        <w:rPr>
          <w:sz w:val="22"/>
          <w:szCs w:val="22"/>
        </w:rPr>
        <w:t>качеству продукции</w:t>
      </w:r>
      <w:bookmarkEnd w:id="23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25" w:name="_Toc179884605"/>
      <w:r>
        <w:rPr>
          <w:sz w:val="22"/>
          <w:szCs w:val="22"/>
        </w:rPr>
        <w:t>Таблица 3. Требования к продукции</w:t>
      </w:r>
      <w:bookmarkEnd w:id="25"/>
      <w:r>
        <w:rPr>
          <w:sz w:val="22"/>
          <w:szCs w:val="22"/>
        </w:rPr>
        <w:t xml:space="preserve"> </w:t>
      </w:r>
      <w:bookmarkEnd w:id="20"/>
      <w:bookmarkEnd w:id="22"/>
    </w:p>
    <w:p>
      <w:pPr>
        <w:pStyle w:val="Normal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Наименование продукции (позиция № 1 – 3 Таблицы 1.1):</w:t>
      </w:r>
      <w:r>
        <w:rPr>
          <w:b w:val="false"/>
          <w:bCs w:val="false"/>
          <w:i/>
          <w:iCs/>
          <w:sz w:val="22"/>
          <w:szCs w:val="22"/>
        </w:rPr>
        <w:t xml:space="preserve">  «ОКПД2 28.11.42.000 Поставка запасных частей для ДГ Caterpillar, Cummins для нужд ДЭС с. Саскылах Анабарского РЭС, Саккырыр Эвено-Бытантайского РЭС АО «Сахаэнерго»</w:t>
      </w:r>
    </w:p>
    <w:tbl>
      <w:tblPr>
        <w:tblStyle w:val="1054"/>
        <w:tblW w:w="157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81"/>
        <w:gridCol w:w="2692"/>
        <w:gridCol w:w="5530"/>
        <w:gridCol w:w="2268"/>
        <w:gridCol w:w="2518"/>
        <w:gridCol w:w="2016"/>
      </w:tblGrid>
      <w:tr>
        <w:trPr/>
        <w:tc>
          <w:tcPr>
            <w:tcW w:w="68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69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53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78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6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8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9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553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с требованием/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указание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характеристик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6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26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92" w:hRule="atLeast"/>
        </w:trPr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iCs/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продукции</w:t>
            </w:r>
          </w:p>
        </w:tc>
        <w:tc>
          <w:tcPr>
            <w:tcW w:w="226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1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13" w:hRule="atLeast"/>
        </w:trPr>
        <w:tc>
          <w:tcPr>
            <w:tcW w:w="681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8222" w:type="dxa"/>
            <w:gridSpan w:val="2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highlight w:val="white"/>
                <w:lang w:val="ru-RU" w:eastAsia="ru-RU" w:bidi="ar-SA"/>
              </w:rPr>
              <w:t xml:space="preserve">Все предлагаемые к поставке позиции перечня продукции должны быть совместимы с двигателями </w:t>
            </w: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КТА-38,КТА-50</w:t>
            </w:r>
          </w:p>
        </w:tc>
        <w:tc>
          <w:tcPr>
            <w:tcW w:w="226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16" w:type="dxa"/>
            <w:tcBorders/>
            <w:shd w:color="FFFFFF" w:fill="FFFFFF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Cs/>
                <w:i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Приемка продукции по количеству и качеству осуществляется по адресу: 677004, РФ, РС (Я), г. Якутск, ул. Беринга, 42 Производственная база АО «Сахаэнерго».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В случае несоответствия поставленной продукции требованиям технического задания, Поставщик за свой счет производит замену несоответствующего товара в течение 10 рабочих дней, в противном случае вся партия товара принята Заказчиком не будет.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Условия транспортирования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ГОСТ 15150-69 (ОЖ4). Обоснование: транспортировка в район Крайнего Севера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Lohit Devanagari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Тара, используемая при  транспортировке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- соответствие тары и упаковки для многоразовой перегрузки и транспортировки ТМЦ в условиях Крайнего Севера;</w:t>
            </w:r>
          </w:p>
          <w:p>
            <w:pPr>
              <w:pStyle w:val="Normal"/>
              <w:widowControl w:val="false"/>
              <w:spacing w:before="0" w:after="0"/>
              <w:ind w:left="72" w:hanging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- при отгрузке продукции в упакованных местах – вложение в каждое тарное место предусмотренного стандартами, техническими условиями. Особыми условиями поставки, иными обязательными правилами или Договором документа (упаковочного ярлыка), свидетельствующего о наименовании и количестве продукции, находящейся в данном тарном месте.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pacing w:before="20" w:after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Срок гарантии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hd w:fill="FFFFFF" w:val="clear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Срок гарантии на продукции должен составлять не менее 12 месяцев с даты подписания ТОРГ-12 или УПД.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Документы, передаваемые вместе с продукцией </w:t>
            </w: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(кроме позиций № 19 и № 20 Таблицы 1.1).</w:t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товарную накладную унифицированной формы ТОРГ-12 в 2 экз.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 продукцией по</w:t>
            </w: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 позиций № 19 и № 20 Таблицы 1.1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5530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Продукция должна сопровождаться паспортом на дизельный двигатель и сертификатом качества (с печатью завода-изготовителя) подтверждающим оригинальность продукции. Также паспорт должен иметь фирменную наклейку с номером двигателя под защитной пленкой.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Поставляемый двигатель должен проходить проверку оригинальности на официальном сайте завода изготовителя.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22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Сведения о новизне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Поставляемая продукция должна быть новой (не бывшей в эксплуатации, не допускается поставка выставочных образцов, а также собранной из восстановленных узлов и материалов), свободной от третьих лиц. Дата выпуска: не ранее 2025 года.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Продукция должна быть сертифицирована, а также иметь все необходимые документы, позволяющие надлежащим образом использовать продукцию.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ahoma" w:cs="Lohit Devanagari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8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Условия поставки эквивалентной продукции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5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Указанные в настоящем ТТ ссылки на марку (тип) продукции носят описательный, а не обязательный характер (кроме позиций № 19 и № 20 Таблицы 1.1).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технические характеристики продукции, указанные в приложении № 1 к настоящим техническим требованиям.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cs="Times                      NewR"/>
                <w:i/>
                <w:i/>
                <w:iCs/>
                <w:sz w:val="22"/>
                <w:szCs w:val="22"/>
              </w:rPr>
            </w:pPr>
            <w:r>
              <w:rPr>
                <w:rFonts w:cs="Times                      NewR"/>
                <w:i/>
                <w:i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Times                      NewR"/>
                <w:i/>
                <w:iCs/>
                <w:kern w:val="0"/>
                <w:sz w:val="22"/>
                <w:szCs w:val="22"/>
                <w:lang w:val="ru-RU" w:eastAsia="ru-RU" w:bidi="ar-SA"/>
              </w:rPr>
      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ahoma" w:cs="Lohit Devanagari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rFonts w:eastAsia="Tahoma" w:cs="Lohit Devanagari"/>
                <w:i/>
                <w:kern w:val="0"/>
                <w:sz w:val="22"/>
                <w:szCs w:val="22"/>
                <w:lang w:val="ru-RU" w:eastAsia="ru-RU" w:bidi="ar-SA"/>
              </w:rPr>
              <w:t>В случае предложения эквивалента предоставить каталог производителя на предлагаемую продукцию.</w:t>
            </w:r>
          </w:p>
        </w:tc>
        <w:tc>
          <w:tcPr>
            <w:tcW w:w="2016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Heading1"/>
        <w:keepLines/>
        <w:ind w:left="357" w:hanging="357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314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lastColumn="0" w:firstColumn="1" w:lastRow="0" w:firstRow="1"/>
      </w:tblPr>
      <w:tblGrid>
        <w:gridCol w:w="848"/>
        <w:gridCol w:w="3732"/>
        <w:gridCol w:w="3643"/>
        <w:gridCol w:w="1954"/>
        <w:gridCol w:w="3118"/>
        <w:gridCol w:w="2018"/>
      </w:tblGrid>
      <w:tr>
        <w:trPr/>
        <w:tc>
          <w:tcPr>
            <w:tcW w:w="153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bidi w:val="0"/>
              <w:spacing w:before="120" w:after="60"/>
              <w:ind w:left="0" w:right="0" w:hanging="0"/>
              <w:jc w:val="both"/>
              <w:rPr>
                <w:rFonts w:ascii="Times New Roman" w:hAnsi="Times New Roman" w:eastAsia="Calibri" w:cs="Times New Roman"/>
                <w:b/>
                <w:color w:val="auto"/>
                <w:sz w:val="24"/>
                <w:szCs w:val="24"/>
                <w:lang w:bidi="ar-SA"/>
              </w:rPr>
            </w:pPr>
            <w:bookmarkStart w:id="26" w:name="__RefHeading___Toc6884_173003830_Копия_1"/>
            <w:bookmarkEnd w:id="26"/>
            <w:r>
              <w:rPr>
                <w:rFonts w:eastAsia="Calibri"/>
                <w:b/>
                <w:color w:val="auto"/>
                <w:sz w:val="24"/>
                <w:szCs w:val="24"/>
              </w:rPr>
              <w:t xml:space="preserve">Требования по предоставлению национального режима </w:t>
            </w:r>
            <w:r>
              <w:rPr>
                <w:rFonts w:eastAsia="Calibri"/>
                <w:b w:val="false"/>
                <w:bCs w:val="false"/>
                <w:color w:val="auto"/>
                <w:sz w:val="24"/>
                <w:szCs w:val="24"/>
              </w:rPr>
              <w:t>при осуществлении закупок в соответствии с Постановлением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</w:tr>
      <w:tr>
        <w:trPr/>
        <w:tc>
          <w:tcPr>
            <w:tcW w:w="84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позициям таблицы 1.1.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,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которым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установлен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>запрет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, по перечню согласно приложению N 1 ПП РФ № 1875.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не допускаются: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а) заключение договора на поставку такого товара,</w:t>
            </w:r>
          </w:p>
          <w:p>
            <w:pPr>
              <w:pStyle w:val="Main14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б) при исполнении договора замена такого товара на происходящий из иностранного государства товар, в отношении которого установлен данный запрет.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Поставляемая продукция должна быть  быть включена в р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                        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6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</w:t>
            </w:r>
            <w:r>
              <w:rPr>
                <w:color w:val="000000"/>
                <w:sz w:val="20"/>
                <w:szCs w:val="20"/>
                <w:shd w:fill="FFFFFF" w:val="clear"/>
                <w:lang w:val="ru-RU" w:eastAsia="ru-RU" w:bidi="ar-SA"/>
              </w:rPr>
              <w:t>.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eastAsiaTheme="minorHAnsi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FFFFFF" w:val="clear"/>
              </w:rPr>
              <w:t>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или гарантийное письмо (в соответствие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По позициям таблицы 1.1., по которым при осуществлении закупки товара, если Правительством РФ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установлено </w:t>
            </w:r>
            <w:hyperlink r:id="rId5" w:tgtFrame="https://login.consultant.ru/link/?req=doc&amp;base=LAW&amp;n=494318&amp;dst=100007">
              <w:r>
                <w:rPr>
                  <w:rFonts w:eastAsia="Times New Roman" w:cs="Times New Roman"/>
                  <w:b/>
                  <w:bCs/>
                  <w:i w:val="false"/>
                  <w:iCs w:val="false"/>
                  <w:color w:val="000000"/>
                  <w:sz w:val="20"/>
                  <w:szCs w:val="20"/>
                  <w:shd w:fill="FFFF00" w:val="clear"/>
                  <w:lang w:eastAsia="ru-RU"/>
                </w:rPr>
                <w:t>ограничение</w:t>
              </w:r>
            </w:hyperlink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закупок товаров, происходящих из иностранных государств (по перечню 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eastAsia="ru-RU"/>
              </w:rPr>
              <w:t>согласно приложению N 2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/>
              </w:rPr>
              <w:t xml:space="preserve"> ПП РФ № 1875)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,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не допускаются: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</w:t>
            </w:r>
          </w:p>
          <w:p>
            <w:pPr>
              <w:pStyle w:val="Main14"/>
              <w:widowControl w:val="false"/>
              <w:spacing w:lineRule="auto" w:line="240" w:before="0" w:afterAutospacing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Поставляемая продукция должна быть  быть включена в р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</w:t>
            </w:r>
          </w:p>
          <w:p>
            <w:pPr>
              <w:pStyle w:val="NormalWeb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keepNext w:val="false"/>
              <w:keepLines w:val="false"/>
              <w:widowControl w:val="false"/>
              <w:numPr>
                <w:ilvl w:val="0"/>
                <w:numId w:val="7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</w:t>
            </w: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.</w:t>
            </w:r>
          </w:p>
          <w:p>
            <w:pPr>
              <w:pStyle w:val="NormalWeb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rFonts w:ascii="Times New Roman" w:hAnsi="Times New Roman" w:cs="Times New Roman"/>
                <w:i w:val="false"/>
                <w:i w:val="false"/>
                <w:iCs w:val="false"/>
                <w:caps w:val="false"/>
                <w:smallCaps w:val="false"/>
                <w:color w:val="auto"/>
                <w:spacing w:val="0"/>
                <w:sz w:val="20"/>
                <w:szCs w:val="20"/>
                <w:highlight w:val="none"/>
                <w:shd w:fill="FFFFFF" w:val="clear"/>
              </w:rPr>
            </w:pP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</w:rPr>
            </w:r>
          </w:p>
          <w:p>
            <w:pPr>
              <w:pStyle w:val="NormalWeb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right="0" w:hanging="0"/>
              <w:jc w:val="left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2018" w:type="dxa"/>
            <w:tcBorders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-117" w:hanging="0"/>
              <w:contextualSpacing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>
              <w:rPr>
                <w:rFonts w:cs="Times New Roman"/>
                <w:lang w:val="ru-RU" w:eastAsia="ru-RU" w:bidi="ar-SA"/>
              </w:rPr>
            </w:r>
          </w:p>
        </w:tc>
        <w:tc>
          <w:tcPr>
            <w:tcW w:w="373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shd w:fill="FFFFFF" w:val="clear"/>
                <w:lang w:eastAsia="ru-RU"/>
              </w:rPr>
              <w:t>По позициям таблицы 1.1., по которым п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ри осуществлении закупки товара,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если Правительством РФ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установлено </w:t>
            </w:r>
            <w:hyperlink r:id="rId6" w:tgtFrame="https://login.consultant.ru/link/?req=doc&amp;base=LAW&amp;n=494318&amp;dst=100008">
              <w:r>
                <w:rPr>
                  <w:rFonts w:eastAsia="Times New Roman" w:cs="Times New Roman"/>
                  <w:b/>
                  <w:bCs/>
                  <w:color w:val="000000"/>
                  <w:sz w:val="20"/>
                  <w:szCs w:val="20"/>
                  <w:shd w:fill="FFFF00" w:val="clear"/>
                  <w:lang w:eastAsia="ru-RU"/>
                </w:rPr>
                <w:t>преимущество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00" w:val="clear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в отношении товаров российского происхождения: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>а) при рассмотрении, оценке, сопоставлении заявок на участие в закупке, окончательных предложений осуществляется снижение на 15 % (пятнадцать процентов) ценового предложения, поданного участником закупки, предлагающим к поставке товар только российского происхождения, либо увеличение на 15 % (пятнадцать процентов) ценового предложения этого участника закупки в случае подачи им предложения о размере платы, подлежащей внесению за заключение договора,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б) в случае заключения договора с участником закупки, указанным в </w:t>
            </w:r>
            <w:hyperlink w:anchor="Par17" w:tgtFrame="#Par17">
              <w:r>
                <w:rPr>
                  <w:rFonts w:eastAsia="Times New Roman" w:cs="Times New Roman"/>
                  <w:color w:val="000000"/>
                  <w:sz w:val="20"/>
                  <w:szCs w:val="20"/>
                  <w:shd w:fill="FFFFFF" w:val="clear"/>
                  <w:lang w:eastAsia="ru-RU"/>
                </w:rPr>
                <w:t>подпункте «а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» настоящего пункта, договор заключается без учета снижения либо увеличения ценового предложения, осуществленных в соответствии с </w:t>
            </w:r>
            <w:hyperlink w:anchor="Par17" w:tgtFrame="#Par17">
              <w:r>
                <w:rPr>
                  <w:rFonts w:eastAsia="Times New Roman" w:cs="Times New Roman"/>
                  <w:color w:val="000000"/>
                  <w:sz w:val="20"/>
                  <w:szCs w:val="20"/>
                  <w:shd w:fill="FFFFFF" w:val="clear"/>
                  <w:lang w:eastAsia="ru-RU"/>
                </w:rPr>
                <w:t>подпунктом «а»</w:t>
              </w:r>
            </w:hyperlink>
            <w:r>
              <w:rPr>
                <w:rFonts w:eastAsia="Times New Roman" w:cs="Times New Roman"/>
                <w:color w:val="000000"/>
                <w:sz w:val="20"/>
                <w:szCs w:val="20"/>
                <w:shd w:fill="FFFFFF" w:val="clear"/>
                <w:lang w:eastAsia="ru-RU"/>
              </w:rPr>
              <w:t xml:space="preserve"> настоящего пункта,</w:t>
            </w:r>
          </w:p>
          <w:p>
            <w:pPr>
              <w:pStyle w:val="Main14"/>
              <w:widowControl w:val="false"/>
              <w:spacing w:lineRule="auto" w:line="240" w:before="0" w:after="0"/>
              <w:ind w:left="0" w:right="0" w:hanging="0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i w:val="false"/>
                <w:iCs w:val="false"/>
                <w:color w:val="000000"/>
                <w:sz w:val="20"/>
                <w:szCs w:val="20"/>
                <w:u w:val="none"/>
                <w:shd w:fill="FFFFFF" w:val="clear"/>
                <w:lang w:eastAsia="ru-RU"/>
              </w:rPr>
      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  <w:tc>
          <w:tcPr>
            <w:tcW w:w="36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>Указание в заявке на участие в закупке наименования страны происхождения товара в соответствии с Общероссийским классификатором стран мира (ОКСМ)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Autospacing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Times New Roman" w:eastAsiaTheme="minorHAnsi"/>
                <w:i w:val="false"/>
                <w:iCs w:val="false"/>
                <w:color w:val="000000"/>
                <w:sz w:val="20"/>
                <w:szCs w:val="20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Autospacing="0" w:after="0"/>
              <w:ind w:left="0" w:hanging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 xml:space="preserve">В составе заявки предоставить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 или номере реестровой записи из евразийского экономического союза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</w:t>
            </w: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00" w:val="clear"/>
                <w:lang w:val="ru-RU" w:eastAsia="ru-RU" w:bidi="ar-SA"/>
              </w:rPr>
              <w:t>или гарантийное письмо</w:t>
            </w: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0"/>
                <w:szCs w:val="20"/>
                <w:shd w:fill="FFFFFF" w:val="clear"/>
                <w:lang w:val="ru-RU" w:eastAsia="ru-RU" w:bidi="ar-SA"/>
              </w:rPr>
              <w:t xml:space="preserve"> (в соответствие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</w:t>
            </w:r>
          </w:p>
        </w:tc>
        <w:tc>
          <w:tcPr>
            <w:tcW w:w="2018" w:type="dxa"/>
            <w:tcBorders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ind w:hanging="0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Fonts w:eastAsia="Calibri"/>
          <w:b/>
          <w:bCs/>
          <w:color w:val="FF0000"/>
          <w:sz w:val="22"/>
          <w:szCs w:val="22"/>
        </w:rPr>
      </w:pPr>
      <w:r>
        <w:rPr>
          <w:rFonts w:eastAsia="Calibri"/>
          <w:b/>
          <w:bCs/>
          <w:color w:val="FF0000"/>
          <w:sz w:val="22"/>
          <w:szCs w:val="22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bCs/>
          <w:i/>
          <w:sz w:val="22"/>
          <w:szCs w:val="22"/>
        </w:rPr>
      </w:r>
    </w:p>
    <w:p>
      <w:pPr>
        <w:pStyle w:val="Normal"/>
        <w:jc w:val="right"/>
        <w:rPr>
          <w:bCs/>
          <w:i/>
          <w:i/>
          <w:sz w:val="22"/>
          <w:szCs w:val="22"/>
          <w:highlight w:val="none"/>
        </w:rPr>
      </w:pPr>
      <w:r>
        <w:rPr>
          <w:i/>
          <w:sz w:val="22"/>
          <w:szCs w:val="22"/>
        </w:rPr>
        <w:t>Приложение №1</w:t>
      </w:r>
    </w:p>
    <w:p>
      <w:pPr>
        <w:pStyle w:val="Normal"/>
        <w:jc w:val="right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Normal"/>
        <w:spacing w:before="0" w:after="120"/>
        <w:jc w:val="both"/>
        <w:rPr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Таблица 3.1. 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t xml:space="preserve">Наименование продукции: </w:t>
      </w:r>
      <w:r>
        <w:rPr>
          <w:b w:val="false"/>
          <w:bCs w:val="false"/>
          <w:i/>
          <w:iCs/>
          <w:sz w:val="22"/>
          <w:szCs w:val="22"/>
        </w:rPr>
        <w:t xml:space="preserve"> «ОКПД2 26.20.15.120 Компьютеры и комплектующие для филиалов АО «Сахаэнерго»</w:t>
      </w:r>
    </w:p>
    <w:tbl>
      <w:tblPr>
        <w:tblStyle w:val="1055"/>
        <w:tblW w:w="154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0"/>
        <w:gridCol w:w="3593"/>
        <w:gridCol w:w="3968"/>
        <w:gridCol w:w="3202"/>
        <w:gridCol w:w="2179"/>
        <w:gridCol w:w="1606"/>
      </w:tblGrid>
      <w:tr>
        <w:trPr>
          <w:trHeight w:val="311" w:hRule="atLeast"/>
        </w:trPr>
        <w:tc>
          <w:tcPr>
            <w:tcW w:w="8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5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96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Требование заказчика</w:t>
            </w:r>
          </w:p>
        </w:tc>
        <w:tc>
          <w:tcPr>
            <w:tcW w:w="5381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606" w:type="dxa"/>
            <w:vMerge w:val="restart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sz w:val="22"/>
                <w:szCs w:val="22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726" w:hRule="atLeast"/>
        </w:trPr>
        <w:tc>
          <w:tcPr>
            <w:tcW w:w="8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5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396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320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7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06" w:type="dxa"/>
            <w:vMerge w:val="continue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Calibri" w:cs="Arial"/>
                <w:b/>
                <w:bCs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23" w:hRule="atLeast"/>
        </w:trPr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359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396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kern w:val="0"/>
                <w:sz w:val="22"/>
                <w:szCs w:val="22"/>
                <w:lang w:val="en-US" w:eastAsia="en-US" w:bidi="ar-SA"/>
              </w:rPr>
              <w:t>4</w:t>
            </w:r>
          </w:p>
        </w:tc>
        <w:tc>
          <w:tcPr>
            <w:tcW w:w="320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kern w:val="0"/>
                <w:sz w:val="22"/>
                <w:szCs w:val="22"/>
                <w:lang w:val="en-US" w:eastAsia="en-US" w:bidi="ar-SA"/>
              </w:rPr>
              <w:t>5</w:t>
            </w:r>
          </w:p>
        </w:tc>
        <w:tc>
          <w:tcPr>
            <w:tcW w:w="217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kern w:val="0"/>
                <w:sz w:val="22"/>
                <w:szCs w:val="22"/>
                <w:lang w:val="en-US" w:eastAsia="en-US" w:bidi="ar-SA"/>
              </w:rPr>
              <w:t>6</w:t>
            </w:r>
          </w:p>
        </w:tc>
        <w:tc>
          <w:tcPr>
            <w:tcW w:w="1606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/>
                <w:b/>
                <w:bCs/>
                <w:kern w:val="0"/>
                <w:sz w:val="22"/>
                <w:szCs w:val="22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bidi w:val="0"/>
              <w:spacing w:before="0" w:after="0"/>
              <w:ind w:left="340" w:right="0" w:hanging="170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Calibri" w:ascii="Times New Roman" w:hAnsi="Times New Roman" w:cstheme="minorHAnsi" w:eastAsiaTheme="minorHAnsi"/>
                <w:i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359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Батарея аккумуляторная для ноутбука 15.4В 3410мА.ч NP50BAT-4-54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Блок системный ICL Техно SafeRay S102 G6R Intel Core i5-12400 DDR5 16Gb SSD 512Gb без ОС (клавиатура, мышь, БП 450Вт)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Источник бесперебойного питания Бастион SKAT-UPS 1500ВА/900Вт/Line-Interactive/АКБ 9Ачх2/220В/2xC13/3 л.г./МПТ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Кабель HDMI-HDMI 3м</w:t>
            </w:r>
          </w:p>
        </w:tc>
        <w:tc>
          <w:tcPr>
            <w:tcW w:w="3968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Коврик для мыши A4Tech Pad X7-300MP резина 437х350х3мм черный</w:t>
            </w:r>
          </w:p>
        </w:tc>
        <w:tc>
          <w:tcPr>
            <w:tcW w:w="3968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Комплект клавиатура и мышь Logitech Desktop MK120 (920-002561) проводная</w:t>
            </w:r>
          </w:p>
        </w:tc>
        <w:tc>
          <w:tcPr>
            <w:tcW w:w="3968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Монитор ICL ViewRay 2716IQH-UR 27" 2560х1440 (16:9) IPS</w:t>
            </w:r>
          </w:p>
        </w:tc>
        <w:tc>
          <w:tcPr>
            <w:tcW w:w="3968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Ноутбук S1513 G1R 15.6" 1920х1080 Intel Core i5 16Gb SSD 512Gb</w:t>
            </w:r>
          </w:p>
        </w:tc>
        <w:tc>
          <w:tcPr>
            <w:tcW w:w="3968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50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center"/>
              <w:rPr>
                <w:rFonts w:ascii="Times New Roman" w:hAnsi="Times New Roman" w:eastAsia="Calibri" w:cs="Calibri" w:cstheme="minorHAnsi" w:eastAsiaTheme="minorHAnsi"/>
                <w:iCs/>
                <w:color w:val="000000"/>
                <w:sz w:val="22"/>
                <w:szCs w:val="22"/>
              </w:rPr>
            </w:pPr>
            <w:r>
              <w:rPr>
                <w:rFonts w:eastAsia="Calibri" w:cs="Calibri" w:cstheme="minorHAnsi" w:eastAsiaTheme="minorHAnsi" w:ascii="Times New Roman" w:hAnsi="Times New Roman"/>
                <w:iCs/>
                <w:color w:val="000000"/>
                <w:sz w:val="22"/>
                <w:szCs w:val="22"/>
              </w:rPr>
            </w:r>
          </w:p>
        </w:tc>
        <w:tc>
          <w:tcPr>
            <w:tcW w:w="3593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Фильтр сетевой PowerCube SPG-B-15-White 5 розеток 5м белый</w:t>
            </w:r>
          </w:p>
        </w:tc>
        <w:tc>
          <w:tcPr>
            <w:tcW w:w="3968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color w:val="000000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02" w:type="dxa"/>
            <w:tcBorders>
              <w:top w:val="nil"/>
              <w:left w:val="single" w:sz="6" w:space="0" w:color="000000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Способ подтверждения: указание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179" w:type="dxa"/>
            <w:tcBorders>
              <w:top w:val="nil"/>
              <w:left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Times New Roman" w:hAnsi="Times New Roman"/>
                <w:i/>
                <w:iCs/>
                <w:color w:val="000000"/>
                <w:kern w:val="0"/>
                <w:sz w:val="22"/>
                <w:szCs w:val="22"/>
                <w:highlight w:val="white"/>
                <w:lang w:val="ru-RU" w:eastAsia="en-US" w:bidi="ar-SA"/>
              </w:rPr>
              <w:t>В случае предложения эквивалента указать название каталога производителя на предлагаемую продукцию и предоставить в составе заявки данный каталог.</w:t>
            </w:r>
          </w:p>
        </w:tc>
        <w:tc>
          <w:tcPr>
            <w:tcW w:w="1606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spacing w:before="0" w:after="120"/>
        <w:ind w:right="397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/>
      </w:r>
    </w:p>
    <w:sectPr>
      <w:headerReference w:type="default" r:id="rId7"/>
      <w:headerReference w:type="first" r:id="rId8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Lohit Devanagari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color w:val="2F5496" w:themeColor="accent1" w:themeShade="bf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1" w:customStyle="1">
    <w:name w:val="Название Знак1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uiPriority w:val="29"/>
    <w:qFormat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uiPriority w:val="30"/>
    <w:qFormat/>
    <w:rPr>
      <w:i/>
      <w:iCs/>
      <w:color w:val="2F5496" w:themeColor="accent1" w:themeShade="bf"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Style" w:customStyle="1">
    <w:name w:val="Нижний колонтитул Знак"/>
    <w:basedOn w:val="DefaultParagraphFont"/>
    <w:uiPriority w:val="99"/>
    <w:qFormat/>
    <w:rPr/>
  </w:style>
  <w:style w:type="character" w:styleId="FootnoteTextChar" w:customStyle="1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EndnoteTextChar" w:customStyle="1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Style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2" w:customStyle="1">
    <w:name w:val="Название Знак"/>
    <w:link w:val="17"/>
    <w:uiPriority w:val="10"/>
    <w:qFormat/>
    <w:rPr>
      <w:sz w:val="28"/>
    </w:rPr>
  </w:style>
  <w:style w:type="character" w:styleId="Style3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</w:rPr>
  </w:style>
  <w:style w:type="character" w:styleId="Style4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rPr>
      <w:sz w:val="28"/>
    </w:rPr>
  </w:style>
  <w:style w:type="character" w:styleId="Style6" w:customStyle="1">
    <w:name w:val="Текст сноски Знак"/>
    <w:uiPriority w:val="99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uiPriority w:val="34"/>
    <w:qFormat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31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1" w:customStyle="1">
    <w:name w:val="Верхний колонтитул Знак"/>
    <w:uiPriority w:val="99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semiHidden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3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5" w:customStyle="1">
    <w:name w:val="Ссылка указателя"/>
    <w:qFormat/>
    <w:rPr/>
  </w:style>
  <w:style w:type="character" w:styleId="Style16" w:customStyle="1">
    <w:name w:val="Символ нумерации"/>
    <w:qFormat/>
    <w:rPr/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17"/>
    <w:qFormat/>
    <w:pPr/>
    <w:rPr/>
  </w:style>
  <w:style w:type="paragraph" w:styleId="15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15"/>
    <w:qFormat/>
    <w:pPr/>
    <w:rPr/>
  </w:style>
  <w:style w:type="paragraph" w:styleId="Title">
    <w:name w:val="Title"/>
    <w:basedOn w:val="Normal"/>
    <w:next w:val="Normal"/>
    <w:link w:val="1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Indexheading111" w:customStyle="1">
    <w:name w:val="index heading111"/>
    <w:basedOn w:val="15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15"/>
    <w:qFormat/>
    <w:pPr/>
    <w:rPr/>
  </w:style>
  <w:style w:type="paragraph" w:styleId="Style19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0" w:customStyle="1">
    <w:name w:val="Раздел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qFormat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Style6"/>
    <w:uiPriority w:val="99"/>
    <w:pPr/>
    <w:rPr>
      <w:sz w:val="20"/>
      <w:szCs w:val="20"/>
    </w:rPr>
  </w:style>
  <w:style w:type="paragraph" w:styleId="16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2"/>
    <w:uiPriority w:val="10"/>
    <w:qFormat/>
    <w:pPr>
      <w:jc w:val="center"/>
    </w:pPr>
    <w:rPr>
      <w:szCs w:val="20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pPr/>
    <w:rPr/>
  </w:style>
  <w:style w:type="paragraph" w:styleId="Style25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3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8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4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5"/>
    <w:uiPriority w:val="99"/>
    <w:unhideWhenUsed/>
    <w:qFormat/>
    <w:pPr/>
    <w:rPr>
      <w:rFonts w:eastAsia="Calibri"/>
      <w:sz w:val="24"/>
      <w:szCs w:val="24"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0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1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32" w:customStyle="1">
    <w:name w:val="УРОВЕНЬ_(а)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EndnoteText">
    <w:name w:val="Endnote Text"/>
    <w:basedOn w:val="Normal"/>
    <w:link w:val="Style13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sz w:val="24"/>
      <w:szCs w:val="20"/>
    </w:rPr>
  </w:style>
  <w:style w:type="paragraph" w:styleId="Style34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Main14">
    <w:name w:val="Main 14"/>
    <w:basedOn w:val="Caption"/>
    <w:qFormat/>
    <w:pPr>
      <w:keepNext w:val="false"/>
      <w:keepLines w:val="false"/>
      <w:pageBreakBefore w:val="false"/>
      <w:widowControl/>
      <w:shd w:val="nil"/>
      <w:spacing w:lineRule="auto" w:line="312" w:beforeAutospacing="0" w:before="60" w:afterAutospacing="0" w:after="0"/>
      <w:ind w:left="0" w:right="0" w:firstLine="709"/>
      <w:jc w:val="both"/>
    </w:pPr>
    <w:rPr>
      <w:rFonts w:ascii="Times New Roman" w:hAnsi="Times New Roman" w:eastAsia="Batang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position w:val="0"/>
      <w:sz w:val="28"/>
      <w:sz w:val="28"/>
      <w:szCs w:val="28"/>
      <w:u w:val="none"/>
      <w:vertAlign w:val="baseline"/>
      <w:lang w:val="ru-RU" w:eastAsia="ko-KR" w:bidi="ar-SA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</w:style>
  <w:style w:type="numbering" w:styleId="29" w:customStyle="1">
    <w:name w:val="Стиль2"/>
    <w:uiPriority w:val="99"/>
    <w:qFormat/>
  </w:style>
  <w:style w:type="numbering" w:styleId="12706396451" w:customStyle="1">
    <w:name w:val="12706396451"/>
    <w:qFormat/>
  </w:style>
  <w:style w:type="table" w:styleId="909">
    <w:name w:val="Plain Table 1"/>
    <w:basedOn w:val="928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0">
    <w:name w:val="Plain Table 2"/>
    <w:basedOn w:val="9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1">
    <w:name w:val="Plain Table 3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2">
    <w:name w:val="Plain Table 4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3">
    <w:name w:val="Plain Table 5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4">
    <w:name w:val="Grid Table 1 Light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5">
    <w:name w:val="Grid Table 2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6">
    <w:name w:val="Grid Table 3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7">
    <w:name w:val="Grid Table 4"/>
    <w:basedOn w:val="928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8">
    <w:name w:val="Grid Table 5 Dark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9">
    <w:name w:val="Grid Table 6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0">
    <w:name w:val="Grid Table 7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0"/>
      </w:tcPr>
    </w:tblStylePr>
    <w:tblStylePr w:type="band1Vert">
      <w:tblPr/>
      <w:tcPr>
        <w:shd w:val="clear" w:color="FFFFFF" w:fill="F2F2F2" w:themeFill="text1" w:themeFillTint="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1">
    <w:name w:val="List Table 1 Light"/>
    <w:basedOn w:val="92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2">
    <w:name w:val="List Table 2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3">
    <w:name w:val="List Table 3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4">
    <w:name w:val="List Table 4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5">
    <w:name w:val="List Table 5 Dark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FFFFFF" w:themeColor="light1"/>
        <w:sz w:val="22"/>
      </w:rPr>
      <w:tblPr/>
    </w:tblStylePr>
  </w:style>
  <w:style w:type="table" w:styleId="926">
    <w:name w:val="List Table 6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7">
    <w:name w:val="List Table 7 Colorful"/>
    <w:basedOn w:val="92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default="1" w:styleId="928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29">
    <w:name w:val="Table Grid Light"/>
    <w:basedOn w:val="9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0">
    <w:name w:val="Таблица простая 11"/>
    <w:basedOn w:val="92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1">
    <w:name w:val="Таблица простая 21"/>
    <w:basedOn w:val="92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2">
    <w:name w:val="Таблица простая 3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lastRow">
      <w:rPr>
        <w:b/>
        <w:caps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3">
    <w:name w:val="Таблица простая 4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4">
    <w:name w:val="Таблица простая 5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5">
    <w:name w:val="Таблица-сетка 1 светлая1"/>
    <w:basedOn w:val="92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6">
    <w:name w:val="Grid Table 1 Light - Accent 1"/>
    <w:basedOn w:val="92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7">
    <w:name w:val="Grid Table 1 Light - Accent 2"/>
    <w:basedOn w:val="9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8">
    <w:name w:val="Grid Table 1 Light - Accent 3"/>
    <w:basedOn w:val="9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39">
    <w:name w:val="Grid Table 1 Light - Accent 4"/>
    <w:basedOn w:val="9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0">
    <w:name w:val="Grid Table 1 Light - Accent 5"/>
    <w:basedOn w:val="92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1">
    <w:name w:val="Grid Table 1 Light - Accent 6"/>
    <w:basedOn w:val="9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2">
    <w:name w:val="Таблица-сетка 21"/>
    <w:basedOn w:val="9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3">
    <w:name w:val="Grid Table 2 - Accent 1"/>
    <w:basedOn w:val="92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4">
    <w:name w:val="Grid Table 2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5">
    <w:name w:val="Grid Table 2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6">
    <w:name w:val="Grid Table 2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7">
    <w:name w:val="Grid Table 2 - Accent 5"/>
    <w:basedOn w:val="92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8">
    <w:name w:val="Grid Table 2 - Accent 6"/>
    <w:basedOn w:val="9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49">
    <w:name w:val="Таблица-сетка 31"/>
    <w:basedOn w:val="92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0">
    <w:name w:val="Grid Table 3 - Accent 1"/>
    <w:basedOn w:val="92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1">
    <w:name w:val="Grid Table 3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2">
    <w:name w:val="Grid Table 3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3">
    <w:name w:val="Grid Table 3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4">
    <w:name w:val="Grid Table 3 - Accent 5"/>
    <w:basedOn w:val="92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5">
    <w:name w:val="Grid Table 3 - Accent 6"/>
    <w:basedOn w:val="92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6">
    <w:name w:val="Таблица-сетка 41"/>
    <w:basedOn w:val="92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7">
    <w:name w:val="Grid Table 4 - Accent 1"/>
    <w:basedOn w:val="92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Vert"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  <w:shd w:val="clear" w:color="537DC8" w:fill="537DC8" w:themeFill="accent1" w:themeFillTint="e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8">
    <w:name w:val="Grid Table 4 - Accent 2"/>
    <w:basedOn w:val="92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59">
    <w:name w:val="Grid Table 4 - Accent 3"/>
    <w:basedOn w:val="92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0">
    <w:name w:val="Grid Table 4 - Accent 4"/>
    <w:basedOn w:val="92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1">
    <w:name w:val="Grid Table 4 - Accent 5"/>
    <w:basedOn w:val="92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2">
    <w:name w:val="Grid Table 4 - Accent 6"/>
    <w:basedOn w:val="92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3">
    <w:name w:val="Таблица-сетка 5 темная1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8A8A8A" w:fill="8A8A8A" w:themeFill="text1" w:themeFillTint="75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4">
    <w:name w:val="Grid Table 5 Dark- Accent 1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A9BEE4" w:fill="A9BEE4" w:themeFill="accent1" w:themeFillTint="75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5">
    <w:name w:val="Grid Table 5 Dark - Accent 2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6C3A0" w:fill="F6C3A0" w:themeFill="accent2" w:themeFillTint="75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6">
    <w:name w:val="Grid Table 5 Dark - Accent 3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5D5D5" w:fill="D5D5D5" w:themeFill="accent3" w:themeFillTint="75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7">
    <w:name w:val="Grid Table 5 Dark- Accent 4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E28A" w:fill="FFE28A" w:themeFill="accent4" w:themeFillTint="75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8">
    <w:name w:val="Grid Table 5 Dark - Accent 5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3D0EB" w:fill="B3D0EB" w:themeFill="accent5" w:themeFillTint="7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69">
    <w:name w:val="Grid Table 5 Dark - Accent 6"/>
    <w:basedOn w:val="92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CDBA8" w:fill="BCDBA8" w:themeFill="accent6" w:themeFillTint="75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0">
    <w:name w:val="Таблица-сетка 6 цветная1"/>
    <w:basedOn w:val="92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7F7F7F" w:themeColor="text1" w:themeTint="80" w:themeShade="95"/>
      </w:rPr>
      <w:tblPr/>
    </w:tblStyle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tblPr/>
    </w:tblStylePr>
    <w:tblStylePr w:type="lastRow">
      <w:rPr>
        <w:b/>
        <w:color w:val="7F7F7F"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1">
    <w:name w:val="Grid Table 6 Colorful - Accent 1"/>
    <w:basedOn w:val="92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val="A0B7E1" w:themeColor="accent1" w:themeTint="80" w:themeShade="95"/>
      </w:rPr>
      <w:tblPr/>
    </w:tblStylePr>
    <w:tblStylePr w:type="firstRow">
      <w:rPr>
        <w:b/>
        <w:color w:val="A0B7E1" w:themeColor="accent1" w:themeTint="80" w:themeShade="95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  <w:tblPr/>
    </w:tblStylePr>
    <w:tblStylePr w:type="lastRow">
      <w:rPr>
        <w:b/>
        <w:color w:val="A0B7E1"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2">
    <w:name w:val="Grid Table 6 Colorful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3">
    <w:name w:val="Grid Table 6 Colorful - Accent 3"/>
    <w:basedOn w:val="92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val="A5A5A5" w:themeColor="accent3" w:themeTint="fe" w:themeShade="95"/>
      </w:rPr>
      <w:tblPr/>
    </w:tblStylePr>
    <w:tblStylePr w:type="firstRow"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  <w:tblPr/>
    </w:tblStylePr>
    <w:tblStylePr w:type="lastRow">
      <w:rPr>
        <w:b/>
        <w:color w:val="A5A5A5"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4">
    <w:name w:val="Grid Table 6 Colorful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5">
    <w:name w:val="Grid Table 6 Colorful - Accent 5"/>
    <w:basedOn w:val="92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6">
    <w:name w:val="Grid Table 6 Colorful - Accent 6"/>
    <w:basedOn w:val="92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val="245A8D" w:themeColor="accent5" w:themeShade="95"/>
      </w:rPr>
      <w:tblPr/>
    </w:tblStylePr>
    <w:tblStylePr w:type="firstRow"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tblPr/>
    </w:tblStylePr>
    <w:tblStylePr w:type="lastRow">
      <w:rPr>
        <w:b/>
        <w:color w:val="245A8D"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7">
    <w:name w:val="Таблица-сетка 7 цветная1"/>
    <w:basedOn w:val="92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tblPr/>
      <w:tcPr>
        <w:shd w:val="clear" w:color="F2F2F2" w:fill="F2F2F2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8">
    <w:name w:val="Grid Table 7 Colorful - Accent 1"/>
    <w:basedOn w:val="92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79">
    <w:name w:val="Grid Table 7 Colorful - Accent 2"/>
    <w:basedOn w:val="92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0">
    <w:name w:val="Grid Table 7 Colorful - Accent 3"/>
    <w:basedOn w:val="92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1">
    <w:name w:val="Grid Table 7 Colorful - Accent 4"/>
    <w:basedOn w:val="92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2">
    <w:name w:val="Grid Table 7 Colorful - Accent 5"/>
    <w:basedOn w:val="92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b/>
        <w:color w:val="245A8D" w:themeColor="accent5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3">
    <w:name w:val="Grid Table 7 Colorful - Accent 6"/>
    <w:basedOn w:val="92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b/>
        <w:color w:val="416429" w:themeColor="accent6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4">
    <w:name w:val="Список-таблица 1 светлая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5">
    <w:name w:val="List Table 1 Light - Accent 1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6">
    <w:name w:val="List Table 1 Light - Accent 2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7">
    <w:name w:val="List Table 1 Light - Accent 3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8">
    <w:name w:val="List Table 1 Light - Accent 4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89">
    <w:name w:val="List Table 1 Light - Accent 5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0">
    <w:name w:val="List Table 1 Light - Accent 6"/>
    <w:basedOn w:val="928"/>
    <w:uiPriority w:val="99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1">
    <w:name w:val="Список-таблица 21"/>
    <w:basedOn w:val="92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2">
    <w:name w:val="List Table 2 - Accent 1"/>
    <w:basedOn w:val="92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3">
    <w:name w:val="List Table 2 - Accent 2"/>
    <w:basedOn w:val="92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4">
    <w:name w:val="List Table 2 - Accent 3"/>
    <w:basedOn w:val="92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5">
    <w:name w:val="List Table 2 - Accent 4"/>
    <w:basedOn w:val="92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6">
    <w:name w:val="List Table 2 - Accent 5"/>
    <w:basedOn w:val="92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7">
    <w:name w:val="List Table 2 - Accent 6"/>
    <w:basedOn w:val="92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  <w:sz w:val="22"/>
      </w:rPr>
      <w:tblPr/>
    </w:tblStylePr>
    <w:tblStylePr w:type="fir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8">
    <w:name w:val="Список-таблица 31"/>
    <w:basedOn w:val="9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999">
    <w:name w:val="List Table 3 - Accent 1"/>
    <w:basedOn w:val="92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0">
    <w:name w:val="List Table 3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1">
    <w:name w:val="List Table 3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2">
    <w:name w:val="List Table 3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3">
    <w:name w:val="List Table 3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4">
    <w:name w:val="List Table 3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color w:val="404040"/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5">
    <w:name w:val="Список-таблица 41"/>
    <w:basedOn w:val="92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6">
    <w:name w:val="List Table 4 - Accent 1"/>
    <w:basedOn w:val="92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7">
    <w:name w:val="List Table 4 - Accent 2"/>
    <w:basedOn w:val="92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8">
    <w:name w:val="List Table 4 - Accent 3"/>
    <w:basedOn w:val="92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09">
    <w:name w:val="List Table 4 - Accent 4"/>
    <w:basedOn w:val="92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0">
    <w:name w:val="List Table 4 - Accent 5"/>
    <w:basedOn w:val="92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1">
    <w:name w:val="List Table 4 - Accent 6"/>
    <w:basedOn w:val="92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color w:val="404040"/>
      </w:rPr>
      <w:tblPr/>
    </w:tblStyle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2">
    <w:name w:val="Список-таблица 5 темная1"/>
    <w:basedOn w:val="92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3">
    <w:name w:val="List Table 5 Dark - Accent 1"/>
    <w:basedOn w:val="92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4">
    <w:name w:val="List Table 5 Dark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5">
    <w:name w:val="List Table 5 Dark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6">
    <w:name w:val="List Table 5 Dark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7">
    <w:name w:val="List Table 5 Dark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8">
    <w:name w:val="List Table 5 Dark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19">
    <w:name w:val="Список-таблица 6 цветная1"/>
    <w:basedOn w:val="92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  <w:tblStylePr w:type="band2Vert"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0">
    <w:name w:val="List Table 6 Colorful - Accent 1"/>
    <w:basedOn w:val="92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val="254175" w:themeColor="accent1" w:themeShade="95"/>
      </w:rPr>
      <w:tblPr/>
    </w:tblStylePr>
    <w:tblStylePr w:type="firstRow"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tblPr/>
    </w:tblStylePr>
    <w:tblStylePr w:type="lastRow"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1">
    <w:name w:val="List Table 6 Colorful - Accent 2"/>
    <w:basedOn w:val="92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val="F4B184" w:themeColor="accent2" w:themeTint="97" w:themeShade="95"/>
      </w:rPr>
      <w:tblPr/>
    </w:tblStylePr>
    <w:tblStylePr w:type="firstRow">
      <w:rPr>
        <w:b/>
        <w:color w:val="F4B184"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  <w:tblPr/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2">
    <w:name w:val="List Table 6 Colorful - Accent 3"/>
    <w:basedOn w:val="92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C9C9C9" w:themeColor="accent3" w:themeTint="98" w:themeShade="95"/>
      </w:rPr>
      <w:tblPr/>
    </w:tblStylePr>
    <w:tblStylePr w:type="firstRow">
      <w:rPr>
        <w:b/>
        <w:color w:val="C9C9C9"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  <w:tblPr/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3">
    <w:name w:val="List Table 6 Colorful - Accent 4"/>
    <w:basedOn w:val="92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FFD865" w:themeColor="accent4" w:themeTint="9a" w:themeShade="95"/>
      </w:rPr>
      <w:tblPr/>
    </w:tblStylePr>
    <w:tblStylePr w:type="firstRow">
      <w:rPr>
        <w:b/>
        <w:color w:val="FFD865"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  <w:tblPr/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4">
    <w:name w:val="List Table 6 Colorful - Accent 5"/>
    <w:basedOn w:val="92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val="9BC2E5" w:themeColor="accent5" w:themeTint="9a" w:themeShade="95"/>
      </w:rPr>
      <w:tblPr/>
    </w:tblStylePr>
    <w:tblStylePr w:type="firstRow">
      <w:rPr>
        <w:b/>
        <w:color w:val="9BC2E5" w:themeColor="accent5" w:themeTint="9a" w:themeShade="95"/>
      </w:rPr>
      <w:tblPr/>
      <w:tcPr>
        <w:tcBorders>
          <w:bottom w:val="single" w:color="5B9BD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  <w:tblPr/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color="5B9BD5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5">
    <w:name w:val="List Table 6 Colorful - Accent 6"/>
    <w:basedOn w:val="92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val="A9D08E" w:themeColor="accent6" w:themeTint="98" w:themeShade="95"/>
      </w:rPr>
      <w:tblPr/>
    </w:tblStylePr>
    <w:tblStylePr w:type="firstRow">
      <w:rPr>
        <w:b/>
        <w:color w:val="A9D08E"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  <w:tblPr/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6">
    <w:name w:val="Список-таблица 7 цветная1"/>
    <w:basedOn w:val="92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  <w:shd w:val="clear" w:color="FFFFFF" w:fill="auto"/>
      </w:tcPr>
    </w:tblStyle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7">
    <w:name w:val="List Table 7 Colorful - Accent 1"/>
    <w:basedOn w:val="928"/>
    <w:uiPriority w:val="99"/>
    <w:tblPr>
      <w:tblStyleRowBandSize w:val="1"/>
      <w:tblStyleColBandSize w:val="1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8">
    <w:name w:val="List Table 7 Colorful - Accent 2"/>
    <w:basedOn w:val="92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  <w:shd w:val="clear" w:color="FFFFFF" w:fill="auto"/>
      </w:tcPr>
    </w:tblStyle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29">
    <w:name w:val="List Table 7 Colorful - Accent 3"/>
    <w:basedOn w:val="92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0">
    <w:name w:val="List Table 7 Colorful - Accent 4"/>
    <w:basedOn w:val="92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  <w:shd w:val="clear" w:color="FFFFFF" w:fill="auto"/>
      </w:tcPr>
    </w:tblStyle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1">
    <w:name w:val="List Table 7 Colorful - Accent 5"/>
    <w:basedOn w:val="92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  <w:shd w:val="clear" w:color="FFFFFF" w:fill="auto"/>
      </w:tcPr>
    </w:tblStyle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2">
    <w:name w:val="List Table 7 Colorful - Accent 6"/>
    <w:basedOn w:val="92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  <w:shd w:val="clear" w:color="FFFFFF" w:fill="auto"/>
      </w:tcPr>
    </w:tblStyle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  <w:shd w:val="clear" w:color="FFFFFF" w:fill="FFFFFF" w:themeFill="light1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3">
    <w:name w:val="Lined - Accent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4">
    <w:name w:val="Lined - Accent 1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5">
    <w:name w:val="Lined - Accent 2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6">
    <w:name w:val="Lined - Accent 3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7">
    <w:name w:val="Lined - Accent 4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8">
    <w:name w:val="Lined - Accent 5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39">
    <w:name w:val="Lined - Accent 6"/>
    <w:basedOn w:val="928"/>
    <w:uiPriority w:val="99"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0">
    <w:name w:val="Bordered &amp; Lined - Accent"/>
    <w:basedOn w:val="92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1">
    <w:name w:val="Bordered &amp; Lined - Accent 1"/>
    <w:basedOn w:val="928"/>
    <w:uiPriority w:val="99"/>
    <w:rPr>
      <w:color w:val="404040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2">
    <w:name w:val="Bordered &amp; Lined - Accent 2"/>
    <w:basedOn w:val="928"/>
    <w:uiPriority w:val="99"/>
    <w:rPr>
      <w:color w:val="404040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3">
    <w:name w:val="Bordered &amp; Lined - Accent 3"/>
    <w:basedOn w:val="928"/>
    <w:uiPriority w:val="99"/>
    <w:rPr>
      <w:color w:val="404040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4">
    <w:name w:val="Bordered &amp; Lined - Accent 4"/>
    <w:basedOn w:val="928"/>
    <w:uiPriority w:val="99"/>
    <w:rPr>
      <w:color w:val="404040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5">
    <w:name w:val="Bordered &amp; Lined - Accent 5"/>
    <w:basedOn w:val="928"/>
    <w:uiPriority w:val="99"/>
    <w:rPr>
      <w:color w:val="404040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6">
    <w:name w:val="Bordered &amp; Lined - Accent 6"/>
    <w:basedOn w:val="928"/>
    <w:uiPriority w:val="99"/>
    <w:rPr>
      <w:color w:val="404040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</w:tblStylePr>
    <w:tblStylePr w:type="band1Vert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7">
    <w:name w:val="Bordered"/>
    <w:basedOn w:val="92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8">
    <w:name w:val="Bordered - Accent 1"/>
    <w:basedOn w:val="92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49">
    <w:name w:val="Bordered - Accent 2"/>
    <w:basedOn w:val="92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ED7D31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0">
    <w:name w:val="Bordered - Accent 3"/>
    <w:basedOn w:val="92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5A5A5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1">
    <w:name w:val="Bordered - Accent 4"/>
    <w:basedOn w:val="92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C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2">
    <w:name w:val="Bordered - Accent 5"/>
    <w:basedOn w:val="92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5B9BD5" w:themeColor="accent5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5B9BD5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3">
    <w:name w:val="Bordered - Accent 6"/>
    <w:basedOn w:val="92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404040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color w:val="404040"/>
        <w:sz w:val="22"/>
      </w:rPr>
      <w:tblPr/>
    </w:tblStylePr>
    <w:tblStylePr w:type="firstRow">
      <w:rPr>
        <w:color w:val="404040"/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404040"/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0AD47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4">
    <w:name w:val="Table Grid"/>
    <w:basedOn w:val="928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customStyle="1" w:styleId="1055">
    <w:name w:val="Сетка таблицы1"/>
    <w:basedOn w:val="928"/>
    <w:uiPriority w:val="39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login.consultant.ru/link/?req=doc&amp;base=LAW&amp;n=494318&amp;dst=100007" TargetMode="External"/><Relationship Id="rId6" Type="http://schemas.openxmlformats.org/officeDocument/2006/relationships/hyperlink" Target="https://login.consultant.ru/link/?req=doc&amp;base=LAW&amp;n=494318&amp;dst=100008" TargetMode="Externa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62E1-FFA7-475E-90B2-F9830219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AlterOffice/3.4.0.8$Linux_X86_64 LibreOffice_project/8f3f3c847f0b8d6fea24e251d3d8ed4f23cbe23c</Application>
  <AppVersion>15.0000</AppVersion>
  <Pages>14</Pages>
  <Words>2429</Words>
  <Characters>16860</Characters>
  <CharactersWithSpaces>19047</CharactersWithSpaces>
  <Paragraphs>286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2024-10-15T02:43:00Z</dcterms:created>
  <dc:creator>Быстров Олег Геннадьевич</dc:creator>
  <dc:description/>
  <dc:language>ru-RU</dc:language>
  <cp:lastModifiedBy>vinokurovav@sed.local</cp:lastModifiedBy>
  <dcterms:modified xsi:type="dcterms:W3CDTF">2026-09-21T14:46:33Z</dcterms:modified>
  <cp:revision>68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