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5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4"/>
        <w:spacing w:before="120" w:after="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tabs>
          <w:tab w:val="clear" w:pos="708"/>
          <w:tab w:val="left" w:pos="3728" w:leader="none"/>
        </w:tabs>
        <w:rPr>
          <w:sz w:val="26"/>
          <w:szCs w:val="26"/>
        </w:rPr>
      </w:pPr>
      <w:r>
        <w:rPr/>
        <w:tab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bCs/>
        </w:rPr>
      </w:pPr>
      <w:r>
        <w:rPr>
          <w:rFonts w:eastAsia="Calibri"/>
          <w:b/>
          <w:bCs/>
          <w:sz w:val="26"/>
          <w:szCs w:val="26"/>
        </w:rPr>
        <w:t xml:space="preserve"> №</w:t>
      </w:r>
      <w:r>
        <w:rPr>
          <w:rFonts w:eastAsia="Calibri"/>
          <w:b/>
          <w:bCs/>
          <w:sz w:val="26"/>
          <w:szCs w:val="26"/>
        </w:rPr>
        <w:t>-РЕМ ПРОД-2026-СахаЭ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left"/>
        <w:rPr/>
      </w:pPr>
      <w:r>
        <w:rPr>
          <w:rFonts w:eastAsia="Calibri"/>
          <w:b/>
          <w:bCs/>
          <w:sz w:val="26"/>
          <w:szCs w:val="26"/>
        </w:rPr>
        <w:tab/>
      </w:r>
      <w:r>
        <w:rPr>
          <w:rFonts w:eastAsia="Calibri"/>
          <w:b w:val="false"/>
          <w:bCs w:val="false"/>
          <w:sz w:val="26"/>
          <w:szCs w:val="26"/>
        </w:rPr>
        <w:t xml:space="preserve">ОКПД2 </w:t>
      </w:r>
      <w:r>
        <w:rPr>
          <w:rFonts w:eastAsia="Calibri"/>
          <w:b w:val="false"/>
          <w:bCs w:val="false"/>
          <w:sz w:val="26"/>
          <w:szCs w:val="26"/>
        </w:rPr>
        <w:t>26.93.11.140</w:t>
      </w:r>
      <w:r>
        <w:rPr>
          <w:rFonts w:eastAsia="Calibri"/>
          <w:b w:val="false"/>
          <w:bCs w:val="false"/>
          <w:sz w:val="26"/>
          <w:szCs w:val="26"/>
        </w:rPr>
        <w:t xml:space="preserve"> </w:t>
      </w:r>
      <w:r>
        <w:rPr>
          <w:rFonts w:eastAsia="Calibri"/>
          <w:b w:val="false"/>
          <w:bCs w:val="false"/>
          <w:sz w:val="26"/>
          <w:szCs w:val="26"/>
        </w:rPr>
        <w:t>Грузоподъемные приспособления</w:t>
      </w:r>
      <w:r>
        <w:rPr>
          <w:rFonts w:eastAsia="Calibri"/>
          <w:b w:val="false"/>
          <w:bCs w:val="false"/>
          <w:sz w:val="26"/>
          <w:szCs w:val="26"/>
        </w:rPr>
        <w:t xml:space="preserve"> для филиалов АО «Сахаэнерго»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  <w:rFonts w:eastAsia="Calibri"/>
            </w:rPr>
            <w:fldChar w:fldCharType="separate"/>
          </w:r>
          <w:hyperlink w:anchor="_Toc179884594" w:tgtFrame="#_Toc179884594">
            <w:r>
              <w:rPr>
                <w:webHidden/>
                <w:rStyle w:val="Style15"/>
                <w:rFonts w:eastAsia="Calibri"/>
                <w:vanish w:val="false"/>
              </w:rPr>
              <w:t>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595" w:tgtFrame="#_Toc179884595">
            <w:r>
              <w:rPr>
                <w:webHidden/>
                <w:rStyle w:val="Style15"/>
                <w:rFonts w:eastAsia="Calibri"/>
                <w:iCs/>
                <w:vanish w:val="false"/>
              </w:rPr>
              <w:t>1.1.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596" w:tgtFrame="#_Toc179884596">
            <w:r>
              <w:rPr>
                <w:webHidden/>
                <w:rStyle w:val="Style15"/>
                <w:rFonts w:eastAsia="Calibri"/>
                <w:iCs/>
                <w:vanish w:val="false"/>
              </w:rPr>
              <w:t>1.2.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597" w:tgtFrame="#_Toc179884597">
            <w:r>
              <w:rPr>
                <w:webHidden/>
                <w:rStyle w:val="Style15"/>
                <w:rFonts w:eastAsia="Calibri"/>
                <w:vanish w:val="false"/>
              </w:rPr>
              <w:t>1.3.    Цели использования закупаемой продукции.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598" w:tgtFrame="#_Toc179884598">
            <w:r>
              <w:rPr>
                <w:webHidden/>
                <w:rStyle w:val="Style15"/>
                <w:rFonts w:eastAsia="Calibri"/>
                <w:vanish w:val="false"/>
              </w:rPr>
              <w:t>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599" w:tgtFrame="#_Toc179884599">
            <w:r>
              <w:rPr>
                <w:webHidden/>
                <w:rStyle w:val="Style15"/>
                <w:rFonts w:eastAsia="Calibri"/>
                <w:iCs/>
                <w:vanish w:val="false"/>
              </w:rPr>
              <w:t>2.1.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600" w:tgtFrame="#_Toc179884600">
            <w:r>
              <w:rPr>
                <w:webHidden/>
                <w:rStyle w:val="Style15"/>
                <w:rFonts w:eastAsia="Calibri"/>
                <w:vanish w:val="false"/>
              </w:rPr>
              <w:t>2.1.1.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_Toc179884600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601" w:tgtFrame="#_Toc179884601">
            <w:r>
              <w:rPr>
                <w:webHidden/>
                <w:rStyle w:val="Style15"/>
                <w:rFonts w:eastAsia="Calibri"/>
                <w:vanish w:val="false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_Toc179884601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602" w:tgtFrame="#_Toc179884602">
            <w:r>
              <w:rPr>
                <w:webHidden/>
                <w:rStyle w:val="Style15"/>
                <w:rFonts w:eastAsia="Calibri"/>
                <w:vanish w:val="false"/>
              </w:rPr>
              <w:t>2.1.2.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срокам поставки продукции и оказания сопутствующих услуг</w:t>
            </w:r>
            <w:r>
              <w:rPr>
                <w:rStyle w:val="Style15"/>
              </w:rPr>
              <w:tab/>
            </w:r>
          </w:hyperlink>
          <w:r>
            <w:rPr/>
            <w:t>9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603" w:tgtFrame="#_Toc179884603">
            <w:r>
              <w:rPr>
                <w:webHidden/>
                <w:rStyle w:val="Style15"/>
                <w:rFonts w:eastAsia="Calibri"/>
                <w:vanish w:val="false"/>
              </w:rPr>
              <w:t>Таблица 2.1 Требования по срокам поставки продукции</w:t>
            </w:r>
            <w:r>
              <w:rPr>
                <w:rStyle w:val="Style15"/>
              </w:rPr>
              <w:tab/>
            </w:r>
          </w:hyperlink>
          <w:r>
            <w:rPr/>
            <w:t>10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604" w:tgtFrame="#_Toc179884604">
            <w:r>
              <w:rPr>
                <w:webHidden/>
                <w:rStyle w:val="Style15"/>
                <w:rFonts w:eastAsia="Calibri"/>
                <w:iCs/>
                <w:vanish w:val="false"/>
              </w:rPr>
              <w:t>2.2.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качеству продукции</w:t>
            </w:r>
            <w:r>
              <w:rPr>
                <w:rStyle w:val="Style15"/>
              </w:rPr>
              <w:tab/>
            </w:r>
          </w:hyperlink>
          <w:r>
            <w:rPr/>
            <w:t>10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606" w:tgtFrame="#_Toc179884606">
            <w:r>
              <w:rPr>
                <w:webHidden/>
                <w:rStyle w:val="Style15"/>
                <w:rFonts w:eastAsia="Calibri"/>
                <w:iCs/>
                <w:vanish w:val="false"/>
              </w:rPr>
              <w:t>Приложения</w:t>
            </w:r>
            <w:r>
              <w:rPr>
                <w:rStyle w:val="Style15"/>
              </w:rPr>
              <w:tab/>
              <w:t>1</w:t>
            </w:r>
          </w:hyperlink>
          <w:r>
            <w:rPr/>
            <w:t>2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605" w:tgtFrame="#_Toc179884605">
            <w:r>
              <w:rPr>
                <w:webHidden/>
                <w:rStyle w:val="Style15"/>
                <w:rFonts w:eastAsia="Calibri"/>
                <w:vanish w:val="false"/>
              </w:rPr>
              <w:t>Таблица 3. Требования к продукции</w:t>
            </w:r>
            <w:r>
              <w:rPr>
                <w:rStyle w:val="Style15"/>
              </w:rPr>
              <w:tab/>
            </w:r>
          </w:hyperlink>
          <w:r>
            <w:rPr/>
            <w:t>14</w:t>
          </w:r>
          <w:r>
            <w:rPr/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caps/>
        </w:rPr>
      </w:pPr>
      <w:bookmarkStart w:id="0" w:name="_Toc51339692"/>
      <w:bookmarkStart w:id="1" w:name="_Toc179884594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1"/>
        </w:numPr>
        <w:rPr/>
      </w:pPr>
      <w:bookmarkStart w:id="2" w:name="_Toc46743505"/>
      <w:bookmarkStart w:id="3" w:name="_Toc17988459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9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i/>
                <w:i/>
              </w:rPr>
            </w:pPr>
            <w:r>
              <w:rPr>
                <w:i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i/>
                <w:i/>
              </w:rPr>
            </w:pPr>
            <w:r>
              <w:rPr>
                <w:i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i/>
                <w:i/>
              </w:rPr>
            </w:pPr>
            <w:r>
              <w:rPr>
                <w:i/>
              </w:rPr>
              <w:t>ДГУ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i/>
                <w:i/>
              </w:rPr>
            </w:pPr>
            <w:r>
              <w:rPr>
                <w:i/>
              </w:rPr>
              <w:t>Дизель-генераторная установка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"/>
        </w:numPr>
        <w:rPr>
          <w:sz w:val="22"/>
          <w:szCs w:val="22"/>
        </w:rPr>
      </w:pPr>
      <w:bookmarkStart w:id="4" w:name="_Toc46743506"/>
      <w:bookmarkStart w:id="5" w:name="_Toc179884596"/>
      <w:r>
        <w:rPr>
          <w:sz w:val="22"/>
          <w:szCs w:val="22"/>
        </w:rPr>
        <w:t>Наименование закупаемой продукции</w:t>
      </w:r>
      <w:bookmarkEnd w:id="4"/>
      <w:bookmarkEnd w:id="5"/>
    </w:p>
    <w:p>
      <w:pPr>
        <w:pStyle w:val="Heading4"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r>
        <w:rPr/>
        <w:tab/>
      </w:r>
      <w:r>
        <w:rPr>
          <w:b w:val="false"/>
          <w:bCs w:val="false"/>
        </w:rPr>
        <w:t>ОКПД2 26.93.11.140 Грузоподъемные приспособления для филиалов АО «Сахаэнерго»</w:t>
      </w:r>
    </w:p>
    <w:p>
      <w:pPr>
        <w:pStyle w:val="Normal"/>
        <w:tabs>
          <w:tab w:val="clear" w:pos="708"/>
        </w:tabs>
        <w:spacing w:before="240" w:after="60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1.3. Цели использования закупаемой продукции.</w:t>
      </w:r>
    </w:p>
    <w:p>
      <w:pPr>
        <w:pStyle w:val="Normal"/>
        <w:rPr/>
      </w:pPr>
      <w:r>
        <w:rPr>
          <w:sz w:val="22"/>
          <w:szCs w:val="22"/>
        </w:rPr>
        <w:t>Поставляемая продукция необходима для филиалов АО «Сахаэнерго»</w:t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sz w:val="22"/>
          <w:szCs w:val="22"/>
        </w:rPr>
      </w:pPr>
      <w:bookmarkStart w:id="6" w:name="_Toc46743510"/>
      <w:bookmarkStart w:id="7" w:name="_Toc179884598"/>
      <w:bookmarkStart w:id="8" w:name="_Toc51339693"/>
      <w:bookmarkStart w:id="9" w:name="_Toc50125126"/>
      <w:bookmarkEnd w:id="9"/>
      <w:r>
        <w:rPr>
          <w:iCs/>
          <w:sz w:val="22"/>
          <w:szCs w:val="22"/>
        </w:rPr>
        <w:t>Требования к продукции</w:t>
      </w:r>
      <w:bookmarkEnd w:id="7"/>
      <w:bookmarkEnd w:id="8"/>
    </w:p>
    <w:p>
      <w:pPr>
        <w:pStyle w:val="Heading4"/>
        <w:numPr>
          <w:ilvl w:val="1"/>
          <w:numId w:val="1"/>
        </w:numPr>
        <w:rPr>
          <w:sz w:val="22"/>
          <w:szCs w:val="22"/>
        </w:rPr>
      </w:pPr>
      <w:bookmarkStart w:id="10" w:name="_Toc179884599"/>
      <w:r>
        <w:rPr>
          <w:sz w:val="22"/>
          <w:szCs w:val="22"/>
        </w:rPr>
        <w:t>Требования к объемам и срокам поставки</w:t>
      </w:r>
      <w:bookmarkEnd w:id="10"/>
    </w:p>
    <w:p>
      <w:pPr>
        <w:pStyle w:val="Heading3"/>
        <w:numPr>
          <w:ilvl w:val="2"/>
          <w:numId w:val="1"/>
        </w:numPr>
        <w:rPr>
          <w:sz w:val="22"/>
          <w:szCs w:val="22"/>
        </w:rPr>
      </w:pPr>
      <w:bookmarkStart w:id="11" w:name="_Toc179884600"/>
      <w:r>
        <w:rPr>
          <w:sz w:val="22"/>
          <w:szCs w:val="22"/>
        </w:rPr>
        <w:t>Перечень и объем закупаемой продукции</w:t>
      </w:r>
      <w:bookmarkEnd w:id="11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bookmarkStart w:id="12" w:name="_Toc179884601"/>
      <w:bookmarkStart w:id="13" w:name="_Toc51339695"/>
      <w:r>
        <w:rPr>
          <w:sz w:val="22"/>
          <w:szCs w:val="22"/>
        </w:rPr>
        <w:t xml:space="preserve">Таблица 1.1 Перечень </w:t>
      </w:r>
      <w:bookmarkEnd w:id="13"/>
      <w:r>
        <w:rPr>
          <w:sz w:val="22"/>
          <w:szCs w:val="22"/>
        </w:rPr>
        <w:t>и объем закупаемой продукции</w:t>
      </w:r>
      <w:bookmarkEnd w:id="12"/>
    </w:p>
    <w:tbl>
      <w:tblPr>
        <w:tblW w:w="1036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40"/>
        <w:gridCol w:w="3985"/>
        <w:gridCol w:w="675"/>
        <w:gridCol w:w="915"/>
        <w:gridCol w:w="2086"/>
        <w:gridCol w:w="2263"/>
      </w:tblGrid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right="-79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коду</w:t>
            </w:r>
          </w:p>
          <w:p>
            <w:pPr>
              <w:pStyle w:val="Normal"/>
              <w:widowControl w:val="false"/>
              <w:ind w:right="-79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ОКПД 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Применение законодательства о национальном режиме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Захват для барабанов вертикальный цепной 5 ЗСК2-3.15 (900) Малиен 3.15т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Канат стальной 11.5мм Г 1 С Н 1860 ГОСТ 7665-80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90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Канат стальной 6.9мм Г ОЖ Н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Лебедка ручная рычажная тросовая переносная Tor Industries MTM 3200 3.2т 20м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канатный петлевой СКП 1.25т 4м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канатный петлевой СКП 1.6т 2м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канатный петлевой СКП 2.5т 4м с заплеткой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текстильный петлевой СТП 2т 2м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текстильный петлевой СТП 4т 4м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текстильный петлевой СТП 5т 6м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цепной четырехветвевой 4СЦ 10т 4м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Талреп судовой вилка-вилка 16-ОШ-ВВ 1.6т ОСТ 5.2314-79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Таль канатная электрическая передвижная CD1 5т 9м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Таль канатная электрическая передвижная Tor CD 2т 6м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Таль ручная рычажная Pro Jack HSH 3т 6м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Цепь короткозвенная стальная 6.3-1-Т(8)-2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tabs>
                <w:tab w:val="clear" w:pos="708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26.93.11.140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Heading3"/>
        <w:tabs>
          <w:tab w:val="clear" w:pos="0"/>
        </w:tabs>
        <w:ind w:left="1224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3"/>
        <w:numPr>
          <w:ilvl w:val="2"/>
          <w:numId w:val="1"/>
        </w:numPr>
        <w:rPr>
          <w:sz w:val="22"/>
          <w:szCs w:val="22"/>
        </w:rPr>
      </w:pPr>
      <w:bookmarkStart w:id="14" w:name="_Toc179884602"/>
      <w:r>
        <w:rPr>
          <w:sz w:val="22"/>
          <w:szCs w:val="22"/>
        </w:rPr>
        <w:t>Требования к срокам поставки продукции и оказания сопутствующих услуг</w:t>
      </w:r>
      <w:bookmarkEnd w:id="1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bookmarkStart w:id="15" w:name="_Toc179884603"/>
      <w:bookmarkStart w:id="16" w:name="_Toc51339697"/>
      <w:bookmarkStart w:id="17" w:name="_Toc50125127"/>
      <w:bookmarkStart w:id="18" w:name="_Toc50125126_Копия_1"/>
      <w:bookmarkEnd w:id="18"/>
      <w:r>
        <w:rPr>
          <w:sz w:val="22"/>
          <w:szCs w:val="22"/>
        </w:rPr>
        <w:t xml:space="preserve">Таблица 2.1 </w:t>
      </w:r>
      <w:bookmarkStart w:id="19" w:name="_Hlk50465284"/>
      <w:r>
        <w:rPr>
          <w:sz w:val="22"/>
          <w:szCs w:val="22"/>
        </w:rPr>
        <w:t xml:space="preserve">Требования по срокам </w:t>
      </w:r>
      <w:bookmarkEnd w:id="16"/>
      <w:bookmarkEnd w:id="17"/>
      <w:bookmarkEnd w:id="19"/>
      <w:r>
        <w:rPr>
          <w:sz w:val="22"/>
          <w:szCs w:val="22"/>
        </w:rPr>
        <w:t>поставки продукции</w:t>
      </w:r>
      <w:bookmarkEnd w:id="15"/>
      <w:r>
        <w:rPr>
          <w:sz w:val="22"/>
          <w:szCs w:val="22"/>
        </w:rPr>
        <w:t xml:space="preserve"> </w:t>
      </w:r>
      <w:bookmarkStart w:id="20" w:name="_Toc50125131"/>
      <w:bookmarkStart w:id="21" w:name="_Toc54785622"/>
      <w:bookmarkEnd w:id="6"/>
      <w:bookmarkEnd w:id="21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60"/>
        <w:gridCol w:w="2720"/>
        <w:gridCol w:w="2982"/>
        <w:gridCol w:w="3113"/>
      </w:tblGrid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«ОКПД2 26.93.11.140 Грузоподъемные приспособления для филиалов АО «Сахаэнерго»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Не ранее 01.05.2027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Не позднее 30.06.2027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1"/>
        </w:numPr>
        <w:rPr>
          <w:sz w:val="22"/>
          <w:szCs w:val="22"/>
        </w:rPr>
      </w:pPr>
      <w:bookmarkStart w:id="22" w:name="_Toc51339698"/>
      <w:bookmarkStart w:id="23" w:name="_Toc179884604"/>
      <w:bookmarkStart w:id="24" w:name="_Toc46743511"/>
      <w:r>
        <w:rPr>
          <w:sz w:val="22"/>
          <w:szCs w:val="22"/>
        </w:rPr>
        <w:t xml:space="preserve">Требования к </w:t>
      </w:r>
      <w:bookmarkEnd w:id="24"/>
      <w:r>
        <w:rPr>
          <w:sz w:val="22"/>
          <w:szCs w:val="22"/>
        </w:rPr>
        <w:t>качеству продукции</w:t>
      </w:r>
      <w:bookmarkEnd w:id="23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25" w:name="_Toc179884605"/>
      <w:r>
        <w:rPr>
          <w:sz w:val="22"/>
          <w:szCs w:val="22"/>
        </w:rPr>
        <w:t>Таблица 3. Требования к продукции</w:t>
      </w:r>
      <w:bookmarkEnd w:id="25"/>
      <w:r>
        <w:rPr>
          <w:sz w:val="22"/>
          <w:szCs w:val="22"/>
        </w:rPr>
        <w:t xml:space="preserve"> </w:t>
      </w:r>
      <w:bookmarkEnd w:id="20"/>
      <w:bookmarkEnd w:id="22"/>
    </w:p>
    <w:p>
      <w:pPr>
        <w:pStyle w:val="Normal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Наименование продукции (позиция № 1 – </w:t>
      </w:r>
      <w:r>
        <w:rPr>
          <w:b/>
          <w:bCs/>
          <w:i/>
          <w:iCs/>
          <w:sz w:val="22"/>
          <w:szCs w:val="22"/>
        </w:rPr>
        <w:t>16</w:t>
      </w:r>
      <w:r>
        <w:rPr>
          <w:b/>
          <w:bCs/>
          <w:i/>
          <w:iCs/>
          <w:sz w:val="22"/>
          <w:szCs w:val="22"/>
        </w:rPr>
        <w:t xml:space="preserve"> Таблицы 1.1):</w:t>
      </w:r>
      <w:r>
        <w:rPr>
          <w:b w:val="false"/>
          <w:bCs w:val="false"/>
          <w:i/>
          <w:iCs/>
          <w:sz w:val="22"/>
          <w:szCs w:val="22"/>
        </w:rPr>
        <w:t xml:space="preserve">  «ОКПД2 26.93.11.140 Грузоподъемные приспособления для филиалов АО «Сахаэнерго»</w:t>
      </w:r>
    </w:p>
    <w:tbl>
      <w:tblPr>
        <w:tblStyle w:val="1054"/>
        <w:tblW w:w="157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81"/>
        <w:gridCol w:w="2692"/>
        <w:gridCol w:w="5530"/>
        <w:gridCol w:w="2268"/>
        <w:gridCol w:w="2518"/>
        <w:gridCol w:w="2016"/>
      </w:tblGrid>
      <w:tr>
        <w:trPr/>
        <w:tc>
          <w:tcPr>
            <w:tcW w:w="68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6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53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78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16" w:type="dxa"/>
            <w:vMerge w:val="restart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8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553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с требованием/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указание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характеристик</w:t>
            </w:r>
          </w:p>
        </w:tc>
        <w:tc>
          <w:tcPr>
            <w:tcW w:w="251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55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1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92" w:hRule="atLeast"/>
        </w:trPr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продукции</w:t>
            </w:r>
          </w:p>
        </w:tc>
        <w:tc>
          <w:tcPr>
            <w:tcW w:w="2268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18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13" w:hRule="atLeast"/>
        </w:trPr>
        <w:tc>
          <w:tcPr>
            <w:tcW w:w="681" w:type="dxa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8222" w:type="dxa"/>
            <w:gridSpan w:val="2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highlight w:val="white"/>
                <w:lang w:val="ru-RU" w:eastAsia="ru-RU" w:bidi="ar-SA"/>
              </w:rPr>
              <w:t xml:space="preserve">Все предлагаемые к поставке позиции перечня продукции должны быть совместимы с двигателями </w:t>
            </w: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КТА-38,КТА-50</w:t>
            </w:r>
          </w:p>
        </w:tc>
        <w:tc>
          <w:tcPr>
            <w:tcW w:w="2268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016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Cs/>
                <w:i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55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1. Приемка продукции по количеству и качеству осуществляется по адресу: 677004, РФ, РС (Я), г. Якутск, ул. Беринга, 42 Производственная база АО «Сахаэнерго».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2. В случае несоответствия поставленной продукции требованиям технического задания, Поставщик за свой счет производит замену несоответствующего товара в течение 10 рабочих дней, в противном случае вся партия товара принята Заказчиком не будет.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Условия транспортирования</w:t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pacing w:before="0" w:after="0"/>
              <w:ind w:left="72" w:hanging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ГОСТ 15150-69 (ОЖ4). Обоснование: транспортировка в район Крайнего Севера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Lohit Devanagari"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Тара, используемая при  транспортировке</w:t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spacing w:before="0" w:after="0"/>
              <w:ind w:left="72" w:hanging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- соответствие тары и упаковки для многоразовой перегрузки и транспортировки ТМЦ в условиях Крайнего Севера;</w:t>
            </w:r>
          </w:p>
          <w:p>
            <w:pPr>
              <w:pStyle w:val="Normal"/>
              <w:widowControl w:val="false"/>
              <w:spacing w:before="0" w:after="0"/>
              <w:ind w:left="72" w:hanging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- при отгрузке продукции в упакованных местах – вложение в каждое тарное место предусмотренного стандартами, техническими условиями. Особыми условиями поставки, иными обязательными правилами или Договором документа (упаковочного ярлыка), свидетельствующего о наименовании и количестве продукции, находящейся в данном тарном месте.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hd w:fill="FFFFFF" w:val="clear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Срок гарантии</w:t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hd w:fill="FFFFFF" w:val="clear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Срок гарантии на продукции должен составлять не менее 12 месяцев с даты подписания ТОРГ-12 или УПД.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 xml:space="preserve">Документы, передаваемые вместе с продукцией </w:t>
            </w: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>(кроме позиций № 19 и № 20 Таблицы 1.1).</w:t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сертификаты качества;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товарно-транспортную накладную формы №1-Т;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товарную накладную унифицированной формы ТОРГ-12 в 2 экз.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Документы, передаваемые вместе с продукцией по</w:t>
            </w: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 xml:space="preserve"> позиций № 19 и № 20 Таблицы 1.1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Продукция должна сопровождаться паспортом на дизельный двигатель и сертификатом качества (с печатью завода-изготовителя) подтверждающим оригинальность продукции. Также паспорт должен иметь фирменную наклейку с номером двигателя под защитной пленкой.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Поставляемый двигатель должен проходить проверку оригинальности на официальном сайте завода изготовителя.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Сведения о новизне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5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1. Поставляемая продукция должна быть новой (не бывшей в эксплуатации, не допускается поставка выставочных образцов, а также собранной из восстановленных узлов и материалов), свободной от третьих лиц. Дата выпуска: не ранее 2025 года.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2. Продукция должна быть сертифицирована, а также иметь все необходимые документы, позволяющие надлежащим образом использовать продукцию.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Условия поставки эквивалентной продукции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5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cs="Times                      NewR"/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Указанные в настоящем ТТ ссылки на марку (тип) продукции носят описательный, а не обязательный характер (кроме позиций № 19 и № 20 Таблицы 1.1).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cs="Times                      NewR"/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>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эквивалентности».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cs="Times                      NewR"/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>Параметрами эквивалентности являются технические характеристики продукции, указанные в приложении № 1 к настоящим техническим требованиям.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cs="Times                      NewR"/>
                <w:i/>
                <w:i/>
                <w:iCs/>
                <w:sz w:val="22"/>
                <w:szCs w:val="22"/>
              </w:rPr>
            </w:pPr>
            <w:r>
              <w:rPr>
                <w:rFonts w:cs="Times                      NewR"/>
                <w:i/>
                <w:i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В случае предложения эквивалента предоставить каталог производителя на предлагаемую продукцию.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Heading1"/>
        <w:keepLines/>
        <w:ind w:left="357" w:hanging="357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314" w:type="dxa"/>
        <w:jc w:val="left"/>
        <w:tblInd w:w="-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848"/>
        <w:gridCol w:w="3732"/>
        <w:gridCol w:w="3643"/>
        <w:gridCol w:w="1954"/>
        <w:gridCol w:w="3118"/>
        <w:gridCol w:w="2018"/>
      </w:tblGrid>
      <w:tr>
        <w:trPr/>
        <w:tc>
          <w:tcPr>
            <w:tcW w:w="153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numPr>
                <w:ilvl w:val="0"/>
                <w:numId w:val="0"/>
              </w:numPr>
              <w:bidi w:val="0"/>
              <w:spacing w:before="120" w:after="60"/>
              <w:ind w:left="0" w:right="0" w:hanging="0"/>
              <w:jc w:val="both"/>
              <w:rPr>
                <w:rFonts w:ascii="Times New Roman" w:hAnsi="Times New Roman" w:eastAsia="Calibri" w:cs="Times New Roman"/>
                <w:b/>
                <w:color w:val="auto"/>
                <w:sz w:val="24"/>
                <w:szCs w:val="24"/>
                <w:lang w:bidi="ar-SA"/>
              </w:rPr>
            </w:pPr>
            <w:bookmarkStart w:id="26" w:name="__RefHeading___Toc6884_173003830_Копия_1"/>
            <w:bookmarkEnd w:id="26"/>
            <w:r>
              <w:rPr>
                <w:rFonts w:eastAsia="Calibri"/>
                <w:b/>
                <w:color w:val="auto"/>
                <w:sz w:val="24"/>
                <w:szCs w:val="24"/>
              </w:rPr>
              <w:t xml:space="preserve">Требования по предоставлению национального режима </w:t>
            </w:r>
            <w:r>
              <w:rPr>
                <w:rFonts w:eastAsia="Calibri"/>
                <w:b w:val="false"/>
                <w:bCs w:val="false"/>
                <w:color w:val="auto"/>
                <w:sz w:val="24"/>
                <w:szCs w:val="24"/>
              </w:rPr>
              <w:t>при осуществлении закупок в соответствии с Постановлением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</w:tr>
      <w:tr>
        <w:trPr/>
        <w:tc>
          <w:tcPr>
            <w:tcW w:w="84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</w:p>
        </w:tc>
        <w:tc>
          <w:tcPr>
            <w:tcW w:w="37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Main14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По позициям таблицы 1.1.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,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по которым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 установлен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olor w:val="000000"/>
                <w:sz w:val="20"/>
                <w:szCs w:val="20"/>
                <w:shd w:fill="FFFF00" w:val="clear"/>
                <w:lang w:eastAsia="ru-RU"/>
              </w:rPr>
              <w:t>запрет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, по перечню согласно приложению N 1 ПП РФ № 1875.</w:t>
            </w:r>
          </w:p>
          <w:p>
            <w:pPr>
              <w:pStyle w:val="Main14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не допускаются:</w:t>
            </w:r>
          </w:p>
          <w:p>
            <w:pPr>
              <w:pStyle w:val="Main14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а) заключение договора на поставку такого товара,</w:t>
            </w:r>
          </w:p>
          <w:p>
            <w:pPr>
              <w:pStyle w:val="Main14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б) при исполнении договора замена такого товара на происходящий из иностранного государства товар, в отношении которого установлен данный запрет.</w:t>
            </w:r>
          </w:p>
        </w:tc>
        <w:tc>
          <w:tcPr>
            <w:tcW w:w="36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Поставляемая продукция должна быть  быть включена в р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еестры, а именно: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Реестр российской промышленной продукции, предусмотренные статьей 17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vertAlign w:val="superscript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 Федерального закона "О промышленной политике в Российской Федерации"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 г. N 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 г. N 719.                         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 г. N 719;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/>
                <w:color w:val="000000"/>
                <w:sz w:val="20"/>
                <w:szCs w:val="20"/>
                <w:shd w:fill="FFFFFF" w:val="clear"/>
                <w:lang w:val="ru-RU" w:eastAsia="ru-RU" w:bidi="ar-SA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</w:t>
            </w:r>
            <w:r>
              <w:rPr>
                <w:color w:val="000000"/>
                <w:sz w:val="20"/>
                <w:szCs w:val="20"/>
                <w:shd w:fill="FFFFFF" w:val="clear"/>
                <w:lang w:val="ru-RU" w:eastAsia="ru-RU" w:bidi="ar-SA"/>
              </w:rPr>
              <w:t>.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Autospacing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eastAsiaTheme="minorHAnsi"/>
                <w:sz w:val="20"/>
                <w:szCs w:val="20"/>
                <w:shd w:fill="FFFFFF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FFFFFF" w:val="clear"/>
              </w:rPr>
              <w:t>В составе заявки предоставить 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 или номере реестровой записи из евразийского экономического союза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(далее - Постановление № 1875) или гарантийное письмо (в соответствие с разъяснением Министерства Финансов РФ от 31.01.2025 №24-01-06/8697) о представлении поставщиком информации и документов, подтверждающих страну происхождения товара в соответствии с требованиями Постановления № 1875 до момента поставки товара заказчику (указанные требования должны быть отражены в гарантийном письме)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4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</w:p>
        </w:tc>
        <w:tc>
          <w:tcPr>
            <w:tcW w:w="37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/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По позициям таблицы 1.1., по которым при осуществлении закупки товара, если Правительством РФ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olor w:val="000000"/>
                <w:sz w:val="20"/>
                <w:szCs w:val="20"/>
                <w:shd w:fill="FFFF00" w:val="clear"/>
                <w:lang w:eastAsia="ru-RU"/>
              </w:rPr>
              <w:t xml:space="preserve">установлено </w:t>
            </w:r>
            <w:hyperlink r:id="rId5" w:tgtFrame="https://login.consultant.ru/link/?req=doc&amp;base=LAW&amp;n=494318&amp;dst=100007">
              <w:r>
                <w:rPr>
                  <w:rFonts w:eastAsia="Times New Roman" w:cs="Times New Roman"/>
                  <w:b/>
                  <w:bCs/>
                  <w:i w:val="false"/>
                  <w:iCs w:val="false"/>
                  <w:color w:val="000000"/>
                  <w:sz w:val="20"/>
                  <w:szCs w:val="20"/>
                  <w:shd w:fill="FFFF00" w:val="clear"/>
                  <w:lang w:eastAsia="ru-RU"/>
                </w:rPr>
                <w:t>ограничение</w:t>
              </w:r>
            </w:hyperlink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00" w:val="clear"/>
                <w:lang w:eastAsia="ru-RU"/>
              </w:rPr>
              <w:t xml:space="preserve"> 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закупок товаров, происходящих из иностранных государств (по перечню 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eastAsia="ru-RU"/>
              </w:rPr>
              <w:t>согласно приложению N 2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/>
              </w:rPr>
              <w:t xml:space="preserve"> ПП РФ № 1875)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,</w:t>
            </w:r>
          </w:p>
          <w:p>
            <w:pPr>
              <w:pStyle w:val="Main14"/>
              <w:widowControl w:val="false"/>
              <w:spacing w:lineRule="auto" w:line="240" w:before="0" w:afterAutospacing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 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не допускаются:</w:t>
            </w:r>
          </w:p>
          <w:p>
            <w:pPr>
              <w:pStyle w:val="Main14"/>
              <w:widowControl w:val="false"/>
              <w:spacing w:lineRule="auto" w:line="240" w:before="0" w:afterAutospacing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а)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происхождения,</w:t>
            </w:r>
          </w:p>
          <w:p>
            <w:pPr>
              <w:pStyle w:val="Main14"/>
              <w:widowControl w:val="false"/>
              <w:spacing w:lineRule="auto" w:line="240" w:before="0" w:afterAutospacing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</w:r>
          </w:p>
        </w:tc>
        <w:tc>
          <w:tcPr>
            <w:tcW w:w="36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Поставляемая продукция должна быть  быть включена в р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еестры, а именно: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Реестр российской промышленной продукции, предусмотренные статьей 17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vertAlign w:val="superscript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 Федерального закона "О промышленной политике в Российской Федерации"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 г. N 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 г. N 719.</w:t>
            </w:r>
          </w:p>
          <w:p>
            <w:pPr>
              <w:pStyle w:val="NormalWeb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 г. N 719;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</w:t>
            </w:r>
            <w:r>
              <w:rPr>
                <w:rFonts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.</w:t>
            </w:r>
          </w:p>
          <w:p>
            <w:pPr>
              <w:pStyle w:val="NormalWeb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Times New Roman" w:hAnsi="Times New Roman" w:cs="Times New Roman"/>
                <w:i w:val="false"/>
                <w:i w:val="false"/>
                <w:iCs w:val="false"/>
                <w:caps w:val="false"/>
                <w:smallCaps w:val="false"/>
                <w:color w:val="auto"/>
                <w:spacing w:val="0"/>
                <w:sz w:val="20"/>
                <w:szCs w:val="20"/>
                <w:highlight w:val="none"/>
                <w:shd w:fill="FFFFFF" w:val="clear"/>
              </w:rPr>
            </w:pPr>
            <w:r>
              <w:rPr>
                <w:rFonts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</w:rPr>
            </w:r>
          </w:p>
          <w:p>
            <w:pPr>
              <w:pStyle w:val="NormalWeb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Autospacing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2018" w:type="dxa"/>
            <w:tcBorders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4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</w:p>
        </w:tc>
        <w:tc>
          <w:tcPr>
            <w:tcW w:w="37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/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По позициям таблицы 1.1., по которым п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>ри осуществлении закупки товара,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если Правительством РФ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shd w:fill="FFFF00" w:val="clear"/>
                <w:lang w:eastAsia="ru-RU"/>
              </w:rPr>
              <w:t xml:space="preserve">установлено </w:t>
            </w:r>
            <w:hyperlink r:id="rId6" w:tgtFrame="https://login.consultant.ru/link/?req=doc&amp;base=LAW&amp;n=494318&amp;dst=100008">
              <w:r>
                <w:rPr>
                  <w:rFonts w:eastAsia="Times New Roman" w:cs="Times New Roman"/>
                  <w:b/>
                  <w:bCs/>
                  <w:color w:val="000000"/>
                  <w:sz w:val="20"/>
                  <w:szCs w:val="20"/>
                  <w:shd w:fill="FFFF00" w:val="clear"/>
                  <w:lang w:eastAsia="ru-RU"/>
                </w:rPr>
                <w:t>преимущество</w:t>
              </w:r>
            </w:hyperlink>
            <w:r>
              <w:rPr>
                <w:rFonts w:eastAsia="Times New Roman" w:cs="Times New Roman"/>
                <w:color w:val="000000"/>
                <w:sz w:val="20"/>
                <w:szCs w:val="20"/>
                <w:shd w:fill="FFFF00" w:val="clear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>в отношении товаров российского происхождения:</w:t>
            </w:r>
          </w:p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>а) при рассмотрении, оценке, сопоставлении заявок на участие в закупке, окончательных предложений осуществляется снижение на 15 % (пятнадцать процентов) ценового предложения, поданного участником закупки, предлагающим к поставке товар только российского происхождения, либо увеличение на 15 % (пятнадцать процентов) ценового предложения этого участника закупки в случае подачи им предложения о размере платы, подлежащей внесению за заключение договора,</w:t>
            </w:r>
          </w:p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/>
            </w:pP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б) в случае заключения договора с участником закупки, указанным в </w:t>
            </w:r>
            <w:hyperlink w:anchor="Par17" w:tgtFrame="#Par17">
              <w:r>
                <w:rPr>
                  <w:rFonts w:eastAsia="Times New Roman" w:cs="Times New Roman"/>
                  <w:color w:val="000000"/>
                  <w:sz w:val="20"/>
                  <w:szCs w:val="20"/>
                  <w:shd w:fill="FFFFFF" w:val="clear"/>
                  <w:lang w:eastAsia="ru-RU"/>
                </w:rPr>
                <w:t>подпункте «а</w:t>
              </w:r>
            </w:hyperlink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» настоящего пункта, договор заключается без учета снижения либо увеличения ценового предложения, осуществленных в соответствии с </w:t>
            </w:r>
            <w:hyperlink w:anchor="Par17" w:tgtFrame="#Par17">
              <w:r>
                <w:rPr>
                  <w:rFonts w:eastAsia="Times New Roman" w:cs="Times New Roman"/>
                  <w:color w:val="000000"/>
                  <w:sz w:val="20"/>
                  <w:szCs w:val="20"/>
                  <w:shd w:fill="FFFFFF" w:val="clear"/>
                  <w:lang w:eastAsia="ru-RU"/>
                </w:rPr>
                <w:t>подпунктом «а»</w:t>
              </w:r>
            </w:hyperlink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 настоящего пункта,</w:t>
            </w:r>
          </w:p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u w:val="none"/>
                <w:shd w:fill="FFFFFF" w:val="clear"/>
                <w:lang w:eastAsia="ru-RU"/>
              </w:rPr>
              <w:t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      </w:r>
          </w:p>
        </w:tc>
        <w:tc>
          <w:tcPr>
            <w:tcW w:w="36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Указание в заявке на участие в закупке наименования страны происхождения товара в соответствии с Общероссийским классификатором стран мира (ОКСМ)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Autospacing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 xml:space="preserve">В составе заявки предоставить 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 или номере реестровой записи из евразийского экономического союза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(далее - Постановление № 1875) </w:t>
            </w: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00" w:val="clear"/>
                <w:lang w:val="ru-RU" w:eastAsia="ru-RU" w:bidi="ar-SA"/>
              </w:rPr>
              <w:t>или гарантийное письмо</w:t>
            </w: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 xml:space="preserve"> (в соответствие с разъяснением Министерства Финансов РФ от 31.01.2025 №24-01-06/8697) о представлении поставщиком информации и документов, подтверждающих страну происхождения товара в соответствии с требованиями Постановления № 1875 до момента поставки товара заказчику (указанные требования должны быть отражены в гарантийном письме)</w:t>
            </w:r>
          </w:p>
        </w:tc>
        <w:tc>
          <w:tcPr>
            <w:tcW w:w="2018" w:type="dxa"/>
            <w:tcBorders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ind w:hanging="0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Fonts w:eastAsia="Calibri"/>
          <w:b/>
          <w:bCs/>
          <w:color w:val="FF0000"/>
          <w:sz w:val="22"/>
          <w:szCs w:val="22"/>
        </w:rPr>
      </w:pPr>
      <w:r>
        <w:rPr>
          <w:rFonts w:eastAsia="Calibri"/>
          <w:b/>
          <w:bCs/>
          <w:color w:val="FF0000"/>
          <w:sz w:val="22"/>
          <w:szCs w:val="22"/>
        </w:rPr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i/>
          <w:sz w:val="22"/>
          <w:szCs w:val="22"/>
        </w:rPr>
        <w:t>Приложение №1</w:t>
      </w:r>
    </w:p>
    <w:p>
      <w:pPr>
        <w:pStyle w:val="Normal"/>
        <w:jc w:val="right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Normal"/>
        <w:spacing w:before="0" w:after="120"/>
        <w:jc w:val="both"/>
        <w:rPr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Таблица 3.1. 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>
          <w:b/>
          <w:bCs/>
          <w:i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 xml:space="preserve">Наименование продукции: </w:t>
      </w:r>
      <w:r>
        <w:rPr>
          <w:b w:val="false"/>
          <w:bCs w:val="false"/>
          <w:i/>
          <w:iCs/>
          <w:sz w:val="22"/>
          <w:szCs w:val="22"/>
        </w:rPr>
        <w:t xml:space="preserve"> «ОКПД2 26.93.11.140 Грузоподъемные приспособления для филиалов АО «Сахаэнерго»</w:t>
      </w:r>
    </w:p>
    <w:tbl>
      <w:tblPr>
        <w:tblStyle w:val="1055"/>
        <w:tblW w:w="154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0"/>
        <w:gridCol w:w="3592"/>
        <w:gridCol w:w="3969"/>
        <w:gridCol w:w="3203"/>
        <w:gridCol w:w="2179"/>
        <w:gridCol w:w="1606"/>
      </w:tblGrid>
      <w:tr>
        <w:trPr>
          <w:trHeight w:val="311" w:hRule="atLeast"/>
        </w:trPr>
        <w:tc>
          <w:tcPr>
            <w:tcW w:w="8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35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969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Требование заказчика</w:t>
            </w:r>
          </w:p>
        </w:tc>
        <w:tc>
          <w:tcPr>
            <w:tcW w:w="5382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606" w:type="dxa"/>
            <w:vMerge w:val="restart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sz w:val="22"/>
                <w:szCs w:val="22"/>
                <w:lang w:eastAsia="en-US"/>
              </w:rPr>
              <w:t>Предложение участника по характеристикам и параметрам</w:t>
            </w:r>
          </w:p>
        </w:tc>
      </w:tr>
      <w:tr>
        <w:trPr>
          <w:trHeight w:val="726" w:hRule="atLeast"/>
        </w:trPr>
        <w:tc>
          <w:tcPr>
            <w:tcW w:w="8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5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69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320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17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06" w:type="dxa"/>
            <w:vMerge w:val="continue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23" w:hRule="atLeast"/>
        </w:trPr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/>
                <w:b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35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/>
                <w:b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/>
                <w:b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320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/>
                <w:b/>
                <w:bCs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217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/>
                <w:b/>
                <w:bCs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160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/>
                <w:b/>
                <w:bCs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before="0" w:after="0"/>
              <w:ind w:left="340" w:right="0" w:hanging="17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 w:eastAsiaTheme="minorHAnsi"/>
                <w:i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Захват для барабанов вертикальный цепной 5 ЗСК2-3.15 (900) Малиен 3.15т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Захват для барабанов вертикальный цепной 5 ЗСК2-3.15 (900) Малиен 3.15т</w:t>
            </w:r>
          </w:p>
        </w:tc>
        <w:tc>
          <w:tcPr>
            <w:tcW w:w="320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Канат стальной 11.5мм Г 1 С Н 1860 ГОСТ 7665-80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Канат стальной 11.5мм Г 1 С Н 1860 ГОСТ 7665-80</w:t>
            </w:r>
          </w:p>
        </w:tc>
        <w:tc>
          <w:tcPr>
            <w:tcW w:w="320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Канат стальной 6.9мм Г ОЖ Н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Канат стальной 6.9мм Г ОЖ Н</w:t>
            </w:r>
          </w:p>
        </w:tc>
        <w:tc>
          <w:tcPr>
            <w:tcW w:w="320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Лебедка ручная рычажная тросовая переносная Tor Industries MTM 3200 3.2т 20м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Лебедка ручная рычажная тросовая переносная Tor Industries MTM 3200 3.2т 20м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канатный петлевой СКП 1.25т 4м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канатный петлевой СКП 1.25т 4м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канатный петлевой СКП 1.6т 2м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канатный петлевой СКП 1.6т 2м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канатный петлевой СКП 2.5т 4м с заплеткой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канатный петлевой СКП 2.5т 4м с заплеткой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текстильный петлевой СТП 2т 2м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текстильный петлевой СТП 2т 2м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текстильный петлевой СТП 4т 4м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текстильный петлевой СТП 4т 4м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текстильный петлевой СТП 5т 6м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текстильный петлевой СТП 5т 6м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цепной четырехветвевой 4СЦ 10т 4м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Строп цепной четырехветвевой 4СЦ 10т 4м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Талреп судовой вилка-вилка 16-ОШ-ВВ 1.6т ОСТ 5.2314-79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Талреп судовой вилка-вилка 16-ОШ-ВВ 1.6т ОСТ 5.2314-79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Таль канатная электрическая передвижная CD1 5т 9м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Таль канатная электрическая передвижная CD1 5т 9м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Таль канатная электрическая передвижная Tor CD 2т 6м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Таль канатная электрическая передвижная Tor CD 2т 6м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Таль ручная рычажная Pro Jack HSH 3т 6м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Таль ручная рычажная Pro Jack HSH 3т 6м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Цепь короткозвенная стальная 6.3-1-Т(8)-2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Цепь короткозвенная стальная 6.3-1-Т(8)-2</w:t>
            </w:r>
          </w:p>
        </w:tc>
        <w:tc>
          <w:tcPr>
            <w:tcW w:w="320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spacing w:before="0" w:after="120"/>
        <w:ind w:right="397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/>
      </w:r>
    </w:p>
    <w:sectPr>
      <w:headerReference w:type="default" r:id="rId7"/>
      <w:headerReference w:type="first" r:id="rId8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color w:val="2F5496" w:themeColor="accent1" w:themeShade="bf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1" w:customStyle="1">
    <w:name w:val="Название Знак1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uiPriority w:val="29"/>
    <w:qFormat/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uiPriority w:val="30"/>
    <w:qFormat/>
    <w:rPr>
      <w:i/>
      <w:iCs/>
      <w:color w:val="2F5496" w:themeColor="accent1" w:themeShade="bf"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Style" w:customStyle="1">
    <w:name w:val="Нижний колонтитул Знак"/>
    <w:basedOn w:val="DefaultParagraphFont"/>
    <w:uiPriority w:val="99"/>
    <w:qFormat/>
    <w:rPr/>
  </w:style>
  <w:style w:type="character" w:styleId="FootnoteTextChar" w:customStyle="1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EndnoteTextChar" w:customStyle="1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Style1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Pr>
      <w:rFonts w:ascii="Cambria" w:hAnsi="Cambria"/>
      <w:color w:val="4F81BD"/>
    </w:rPr>
  </w:style>
  <w:style w:type="character" w:styleId="1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2" w:customStyle="1">
    <w:name w:val="Название Знак"/>
    <w:link w:val="17"/>
    <w:uiPriority w:val="10"/>
    <w:qFormat/>
    <w:rPr>
      <w:sz w:val="28"/>
    </w:rPr>
  </w:style>
  <w:style w:type="character" w:styleId="Style3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styleId="21" w:customStyle="1">
    <w:name w:val="Цитата 2 Знак"/>
    <w:link w:val="Quote"/>
    <w:uiPriority w:val="29"/>
    <w:qFormat/>
    <w:rPr>
      <w:rFonts w:ascii="Calibri" w:hAnsi="Calibri" w:eastAsia="Calibri"/>
      <w:i/>
      <w:iCs/>
      <w:color w:val="000000"/>
    </w:rPr>
  </w:style>
  <w:style w:type="character" w:styleId="Style4" w:customStyle="1">
    <w:name w:val="Выделенная цитата Знак"/>
    <w:link w:val="IntenseQuote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5" w:customStyle="1">
    <w:name w:val="Электронная подпись Знак"/>
    <w:link w:val="E-mailSignature"/>
    <w:uiPriority w:val="99"/>
    <w:qFormat/>
    <w:rPr>
      <w:rFonts w:eastAsia="Calibri"/>
      <w:sz w:val="24"/>
      <w:szCs w:val="24"/>
    </w:rPr>
  </w:style>
  <w:style w:type="character" w:styleId="12" w:customStyle="1">
    <w:name w:val="Подпункт Знак1"/>
    <w:link w:val="Style23"/>
    <w:qFormat/>
    <w:rPr>
      <w:sz w:val="28"/>
    </w:rPr>
  </w:style>
  <w:style w:type="character" w:styleId="Style6" w:customStyle="1">
    <w:name w:val="Текст сноски Знак"/>
    <w:uiPriority w:val="99"/>
    <w:qFormat/>
    <w:rPr/>
  </w:style>
  <w:style w:type="character" w:styleId="Style7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8" w:customStyle="1">
    <w:name w:val="Абзац списка Знак"/>
    <w:link w:val="ListParagraph"/>
    <w:uiPriority w:val="34"/>
    <w:qFormat/>
    <w:rPr>
      <w:rFonts w:eastAsia="Calibri"/>
      <w:sz w:val="24"/>
      <w:szCs w:val="24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Style10" w:customStyle="1">
    <w:name w:val="Подподпункт Знак"/>
    <w:link w:val="Style31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1" w:customStyle="1">
    <w:name w:val="Верхний колонтитул Знак"/>
    <w:uiPriority w:val="99"/>
    <w:qFormat/>
    <w:rPr>
      <w:sz w:val="24"/>
      <w:szCs w:val="24"/>
    </w:rPr>
  </w:style>
  <w:style w:type="character" w:styleId="Style12" w:customStyle="1">
    <w:name w:val="Текст примечания Знак"/>
    <w:link w:val="Annotationtext"/>
    <w:semiHidden/>
    <w:qFormat/>
    <w:rPr/>
  </w:style>
  <w:style w:type="character" w:styleId="Style13" w:customStyle="1">
    <w:name w:val="Текст концевой сноски Знак"/>
    <w:basedOn w:val="DefaultParagraphFont"/>
    <w:qFormat/>
    <w:rPr/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3" w:customStyle="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5" w:customStyle="1">
    <w:name w:val="Ссылка указателя"/>
    <w:qFormat/>
    <w:rPr/>
  </w:style>
  <w:style w:type="character" w:styleId="Style16" w:customStyle="1">
    <w:name w:val="Символ нумерации"/>
    <w:qFormat/>
    <w:rPr/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/>
    </w:rPr>
  </w:style>
  <w:style w:type="paragraph" w:styleId="BodyText">
    <w:name w:val="Body Text"/>
    <w:basedOn w:val="Normal"/>
    <w:link w:val="Style7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17"/>
    <w:qFormat/>
    <w:pPr/>
    <w:rPr/>
  </w:style>
  <w:style w:type="paragraph" w:styleId="15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15"/>
    <w:qFormat/>
    <w:pPr/>
    <w:rPr/>
  </w:style>
  <w:style w:type="paragraph" w:styleId="Title">
    <w:name w:val="Title"/>
    <w:basedOn w:val="Normal"/>
    <w:next w:val="Normal"/>
    <w:link w:val="1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Indexheading111" w:customStyle="1">
    <w:name w:val="index heading111"/>
    <w:basedOn w:val="15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5"/>
    <w:qFormat/>
    <w:pPr/>
    <w:rPr/>
  </w:style>
  <w:style w:type="paragraph" w:styleId="Style19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20" w:customStyle="1">
    <w:name w:val="Раздел положения"/>
    <w:basedOn w:val="Normal"/>
    <w:qFormat/>
    <w:pPr>
      <w:tabs>
        <w:tab w:val="clear" w:pos="708"/>
        <w:tab w:val="left" w:pos="360" w:leader="none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qFormat/>
    <w:pPr>
      <w:tabs>
        <w:tab w:val="clear" w:pos="708"/>
        <w:tab w:val="left" w:pos="357" w:leader="none"/>
      </w:tabs>
      <w:spacing w:before="80" w:after="80"/>
      <w:jc w:val="both"/>
    </w:pPr>
    <w:rPr/>
  </w:style>
  <w:style w:type="paragraph" w:styleId="FootnoteText">
    <w:name w:val="Footnote Text"/>
    <w:basedOn w:val="Normal"/>
    <w:link w:val="Style6"/>
    <w:uiPriority w:val="99"/>
    <w:pPr/>
    <w:rPr>
      <w:sz w:val="20"/>
      <w:szCs w:val="20"/>
    </w:rPr>
  </w:style>
  <w:style w:type="paragraph" w:styleId="16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2"/>
    <w:uiPriority w:val="10"/>
    <w:qFormat/>
    <w:pPr>
      <w:jc w:val="center"/>
    </w:pPr>
    <w:rPr>
      <w:szCs w:val="20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2"/>
    <w:qFormat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uiPriority w:val="39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uiPriority w:val="39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pPr/>
    <w:rPr/>
  </w:style>
  <w:style w:type="paragraph" w:styleId="Style25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uiPriority w:val="39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2"/>
    <w:semiHidden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semiHidden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semiHidden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uiPriority w:val="39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3"/>
    <w:uiPriority w:val="11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8"/>
    <w:uiPriority w:val="34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4"/>
    <w:uiPriority w:val="30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5"/>
    <w:uiPriority w:val="99"/>
    <w:unhideWhenUsed/>
    <w:qFormat/>
    <w:pPr/>
    <w:rPr>
      <w:rFonts w:eastAsia="Calibri"/>
      <w:sz w:val="24"/>
      <w:szCs w:val="24"/>
    </w:rPr>
  </w:style>
  <w:style w:type="paragraph" w:styleId="Style27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tabs>
        <w:tab w:val="clear" w:pos="708"/>
        <w:tab w:val="left" w:pos="1233" w:leader="none"/>
      </w:tabs>
      <w:ind w:left="1233" w:hanging="360"/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tabs>
        <w:tab w:val="clear" w:pos="708"/>
        <w:tab w:val="left" w:pos="513" w:leader="none"/>
      </w:tabs>
      <w:spacing w:before="120" w:after="0"/>
      <w:ind w:left="513" w:hanging="36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ahoma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30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10"/>
    <w:qFormat/>
    <w:pPr>
      <w:tabs>
        <w:tab w:val="clear" w:pos="1134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32" w:customStyle="1">
    <w:name w:val="УРОВЕНЬ_(а)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985" w:hanging="567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2268" w:hanging="567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701" w:hanging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tabs>
        <w:tab w:val="clear" w:pos="708"/>
        <w:tab w:val="left" w:pos="0" w:leader="none"/>
      </w:tabs>
      <w:spacing w:lineRule="exact" w:line="360" w:before="120" w:after="0"/>
      <w:ind w:left="0" w:hanging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pPr>
      <w:keepNext w:val="true"/>
      <w:tabs>
        <w:tab w:val="clear" w:pos="708"/>
        <w:tab w:val="left" w:pos="0" w:leader="none"/>
      </w:tabs>
      <w:spacing w:lineRule="exact" w:line="360" w:before="120" w:after="120"/>
      <w:ind w:left="1134" w:hanging="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EndnoteText">
    <w:name w:val="Endnote Text"/>
    <w:basedOn w:val="Normal"/>
    <w:link w:val="Style13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tabs>
        <w:tab w:val="clear" w:pos="708"/>
        <w:tab w:val="left" w:pos="0" w:leader="none"/>
      </w:tabs>
      <w:spacing w:before="120" w:after="120"/>
      <w:ind w:left="1429" w:hanging="360"/>
      <w:jc w:val="both"/>
      <w:outlineLvl w:val="0"/>
    </w:pPr>
    <w:rPr>
      <w:b/>
      <w:sz w:val="24"/>
      <w:szCs w:val="20"/>
    </w:rPr>
  </w:style>
  <w:style w:type="paragraph" w:styleId="Style34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unhideWhenUsed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unhideWhenUsed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unhideWhenUsed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Main14">
    <w:name w:val="Main 14"/>
    <w:basedOn w:val="Caption"/>
    <w:qFormat/>
    <w:pPr>
      <w:keepNext w:val="false"/>
      <w:keepLines w:val="false"/>
      <w:pageBreakBefore w:val="false"/>
      <w:widowControl/>
      <w:shd w:val="nil"/>
      <w:spacing w:lineRule="auto" w:line="312" w:beforeAutospacing="0" w:before="60" w:afterAutospacing="0" w:after="0"/>
      <w:ind w:left="0" w:right="0" w:firstLine="709"/>
      <w:jc w:val="both"/>
    </w:pPr>
    <w:rPr>
      <w:rFonts w:ascii="Times New Roman" w:hAnsi="Times New Roman" w:eastAsia="Batang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position w:val="0"/>
      <w:sz w:val="28"/>
      <w:sz w:val="28"/>
      <w:szCs w:val="28"/>
      <w:u w:val="none"/>
      <w:vertAlign w:val="baseline"/>
      <w:lang w:val="ru-RU" w:eastAsia="ko-KR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</w:style>
  <w:style w:type="numbering" w:styleId="29" w:customStyle="1">
    <w:name w:val="Стиль2"/>
    <w:uiPriority w:val="99"/>
    <w:qFormat/>
  </w:style>
  <w:style w:type="numbering" w:styleId="12706396451" w:customStyle="1">
    <w:name w:val="12706396451"/>
    <w:qFormat/>
  </w:style>
  <w:style w:type="table" w:styleId="909">
    <w:name w:val="Plain Table 1"/>
    <w:basedOn w:val="92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0">
    <w:name w:val="Plain Table 2"/>
    <w:basedOn w:val="9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1">
    <w:name w:val="Plain Table 3"/>
    <w:basedOn w:val="9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2">
    <w:name w:val="Plain Table 4"/>
    <w:basedOn w:val="9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3">
    <w:name w:val="Plain Table 5"/>
    <w:basedOn w:val="9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4">
    <w:name w:val="Grid Table 1 Light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5">
    <w:name w:val="Grid Table 2"/>
    <w:basedOn w:val="9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6">
    <w:name w:val="Grid Table 3"/>
    <w:basedOn w:val="9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7">
    <w:name w:val="Grid Table 4"/>
    <w:basedOn w:val="9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8">
    <w:name w:val="Grid Table 5 Dark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9">
    <w:name w:val="Grid Table 6 Colorful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20">
    <w:name w:val="Grid Table 7 Colorful"/>
    <w:basedOn w:val="9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1">
    <w:name w:val="List Table 1 Light"/>
    <w:basedOn w:val="9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2">
    <w:name w:val="List Table 2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3">
    <w:name w:val="List Table 3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4">
    <w:name w:val="List Table 4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5">
    <w:name w:val="List Table 5 Dark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926">
    <w:name w:val="List Table 6 Colorful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band2Vert"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7">
    <w:name w:val="List Table 7 Colorful"/>
    <w:basedOn w:val="9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default="1" w:styleId="928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29">
    <w:name w:val="Table Grid Light"/>
    <w:basedOn w:val="92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0">
    <w:name w:val="Таблица простая 11"/>
    <w:basedOn w:val="92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1">
    <w:name w:val="Таблица простая 21"/>
    <w:basedOn w:val="92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2">
    <w:name w:val="Таблица простая 3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3">
    <w:name w:val="Таблица простая 4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4">
    <w:name w:val="Таблица простая 5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5">
    <w:name w:val="Таблица-сетка 1 светлая1"/>
    <w:basedOn w:val="92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6">
    <w:name w:val="Grid Table 1 Light - Accent 1"/>
    <w:basedOn w:val="92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7">
    <w:name w:val="Grid Table 1 Light - Accent 2"/>
    <w:basedOn w:val="92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8">
    <w:name w:val="Grid Table 1 Light - Accent 3"/>
    <w:basedOn w:val="92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9">
    <w:name w:val="Grid Table 1 Light - Accent 4"/>
    <w:basedOn w:val="92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0">
    <w:name w:val="Grid Table 1 Light - Accent 5"/>
    <w:basedOn w:val="92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1">
    <w:name w:val="Grid Table 1 Light - Accent 6"/>
    <w:basedOn w:val="92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2">
    <w:name w:val="Таблица-сетка 21"/>
    <w:basedOn w:val="92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3">
    <w:name w:val="Grid Table 2 - Accent 1"/>
    <w:basedOn w:val="92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4">
    <w:name w:val="Grid Table 2 - Accent 2"/>
    <w:basedOn w:val="92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5">
    <w:name w:val="Grid Table 2 - Accent 3"/>
    <w:basedOn w:val="92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6">
    <w:name w:val="Grid Table 2 - Accent 4"/>
    <w:basedOn w:val="92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7">
    <w:name w:val="Grid Table 2 - Accent 5"/>
    <w:basedOn w:val="92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8">
    <w:name w:val="Grid Table 2 - Accent 6"/>
    <w:basedOn w:val="92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9">
    <w:name w:val="Таблица-сетка 31"/>
    <w:basedOn w:val="92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0">
    <w:name w:val="Grid Table 3 - Accent 1"/>
    <w:basedOn w:val="92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1">
    <w:name w:val="Grid Table 3 - Accent 2"/>
    <w:basedOn w:val="92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2">
    <w:name w:val="Grid Table 3 - Accent 3"/>
    <w:basedOn w:val="92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3">
    <w:name w:val="Grid Table 3 - Accent 4"/>
    <w:basedOn w:val="92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4">
    <w:name w:val="Grid Table 3 - Accent 5"/>
    <w:basedOn w:val="92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5">
    <w:name w:val="Grid Table 3 - Accent 6"/>
    <w:basedOn w:val="92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6">
    <w:name w:val="Таблица-сетка 41"/>
    <w:basedOn w:val="92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7">
    <w:name w:val="Grid Table 4 - Accent 1"/>
    <w:basedOn w:val="928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  <w:shd w:val="clear" w:color="537DC8" w:fill="537DC8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8">
    <w:name w:val="Grid Table 4 - Accent 2"/>
    <w:basedOn w:val="928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9">
    <w:name w:val="Grid Table 4 - Accent 3"/>
    <w:basedOn w:val="928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0">
    <w:name w:val="Grid Table 4 - Accent 4"/>
    <w:basedOn w:val="928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1">
    <w:name w:val="Grid Table 4 - Accent 5"/>
    <w:basedOn w:val="928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2">
    <w:name w:val="Grid Table 4 - Accent 6"/>
    <w:basedOn w:val="928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3">
    <w:name w:val="Таблица-сетка 5 темная1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4">
    <w:name w:val="Grid Table 5 Dark- Accent 1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A9BEE4" w:fill="A9BEE4" w:themeFill="accent1" w:themeFillTint="75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5">
    <w:name w:val="Grid Table 5 Dark - Accent 2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6C3A0" w:fill="F6C3A0" w:themeFill="accent2" w:themeFillTint="75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6">
    <w:name w:val="Grid Table 5 Dark - Accent 3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D5D5D5" w:fill="D5D5D5" w:themeFill="accent3" w:themeFillTint="75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7">
    <w:name w:val="Grid Table 5 Dark- Accent 4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E28A" w:fill="FFE28A" w:themeFill="accent4" w:themeFillTint="75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8">
    <w:name w:val="Grid Table 5 Dark - Accent 5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B3D0EB" w:fill="B3D0EB" w:themeFill="accent5" w:themeFillTint="7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9">
    <w:name w:val="Grid Table 5 Dark - Accent 6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BCDBA8" w:fill="BCDBA8" w:themeFill="accent6" w:themeFillTint="75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0">
    <w:name w:val="Таблица-сетка 6 цветная1"/>
    <w:basedOn w:val="92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7F7F7F" w:themeColor="text1" w:themeTint="80" w:themeShade="95"/>
      </w:rPr>
      <w:tblPr/>
    </w:tblStyle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tblPr/>
    </w:tblStylePr>
    <w:tblStylePr w:type="lastRow">
      <w:rPr>
        <w:b/>
        <w:color w:val="7F7F7F"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1">
    <w:name w:val="Grid Table 6 Colorful - Accent 1"/>
    <w:basedOn w:val="928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A0B7E1" w:themeColor="accent1" w:themeTint="80" w:themeShade="95"/>
      </w:rPr>
      <w:tblPr/>
    </w:tblStylePr>
    <w:tblStylePr w:type="firstRow">
      <w:rPr>
        <w:b/>
        <w:color w:val="A0B7E1" w:themeColor="accent1" w:themeTint="80" w:themeShade="95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b/>
        <w:color w:val="A0B7E1" w:themeColor="accent1" w:themeTint="80" w:themeShade="95"/>
      </w:rPr>
      <w:tblPr/>
    </w:tblStylePr>
    <w:tblStylePr w:type="lastRow">
      <w:rPr>
        <w:b/>
        <w:color w:val="A0B7E1"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2">
    <w:name w:val="Grid Table 6 Colorful - Accent 2"/>
    <w:basedOn w:val="92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3">
    <w:name w:val="Grid Table 6 Colorful - Accent 3"/>
    <w:basedOn w:val="928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val="A5A5A5" w:themeColor="accent3" w:themeTint="fe" w:themeShade="95"/>
      </w:rPr>
      <w:tblPr/>
    </w:tblStyle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tblPr/>
    </w:tblStylePr>
    <w:tblStylePr w:type="lastRow">
      <w:rPr>
        <w:b/>
        <w:color w:val="A5A5A5"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4">
    <w:name w:val="Grid Table 6 Colorful - Accent 4"/>
    <w:basedOn w:val="92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5">
    <w:name w:val="Grid Table 6 Colorful - Accent 5"/>
    <w:basedOn w:val="928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6">
    <w:name w:val="Grid Table 6 Colorful - Accent 6"/>
    <w:basedOn w:val="928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7">
    <w:name w:val="Таблица-сетка 7 цветная1"/>
    <w:basedOn w:val="92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  <w:shd w:val="clear" w:color="FFFFFF" w:fill="auto"/>
      </w:tcPr>
    </w:tblStyle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8">
    <w:name w:val="Grid Table 7 Colorful - Accent 1"/>
    <w:basedOn w:val="928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9">
    <w:name w:val="Grid Table 7 Colorful - Accent 2"/>
    <w:basedOn w:val="928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  <w:shd w:val="clear" w:color="FFFFFF" w:fill="auto"/>
      </w:tcPr>
    </w:tblStyle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0">
    <w:name w:val="Grid Table 7 Colorful - Accent 3"/>
    <w:basedOn w:val="928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1">
    <w:name w:val="Grid Table 7 Colorful - Accent 4"/>
    <w:basedOn w:val="928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  <w:shd w:val="clear" w:color="FFFFFF" w:fill="auto"/>
      </w:tcPr>
    </w:tblStyle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2">
    <w:name w:val="Grid Table 7 Colorful - Accent 5"/>
    <w:basedOn w:val="928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5" w:sz="4" w:space="0"/>
        </w:tcBorders>
        <w:shd w:val="clear" w:color="FFFFFF" w:fill="auto"/>
      </w:tcPr>
    </w:tblStyle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5B9BD5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000000" w:sz="0" w:space="0"/>
          <w:left w:val="single" w:color="5B9BD5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5B9BD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3">
    <w:name w:val="Grid Table 7 Colorful - Accent 6"/>
    <w:basedOn w:val="928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  <w:shd w:val="clear" w:color="FFFFFF" w:fill="auto"/>
      </w:tcPr>
    </w:tblStyle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4">
    <w:name w:val="Список-таблица 1 светлая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5">
    <w:name w:val="List Table 1 Light - Accent 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6">
    <w:name w:val="List Table 1 Light - Accent 2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7">
    <w:name w:val="List Table 1 Light - Accent 3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8">
    <w:name w:val="List Table 1 Light - Accent 4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9">
    <w:name w:val="List Table 1 Light - Accent 5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0">
    <w:name w:val="List Table 1 Light - Accent 6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1">
    <w:name w:val="Список-таблица 21"/>
    <w:basedOn w:val="92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2">
    <w:name w:val="List Table 2 - Accent 1"/>
    <w:basedOn w:val="928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3">
    <w:name w:val="List Table 2 - Accent 2"/>
    <w:basedOn w:val="928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4">
    <w:name w:val="List Table 2 - Accent 3"/>
    <w:basedOn w:val="928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5">
    <w:name w:val="List Table 2 - Accent 4"/>
    <w:basedOn w:val="928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6">
    <w:name w:val="List Table 2 - Accent 5"/>
    <w:basedOn w:val="928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7">
    <w:name w:val="List Table 2 - Accent 6"/>
    <w:basedOn w:val="928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8">
    <w:name w:val="Список-таблица 31"/>
    <w:basedOn w:val="92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9">
    <w:name w:val="List Table 3 - Accent 1"/>
    <w:basedOn w:val="928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0">
    <w:name w:val="List Table 3 - Accent 2"/>
    <w:basedOn w:val="92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1">
    <w:name w:val="List Table 3 - Accent 3"/>
    <w:basedOn w:val="928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2">
    <w:name w:val="List Table 3 - Accent 4"/>
    <w:basedOn w:val="92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3">
    <w:name w:val="List Table 3 - Accent 5"/>
    <w:basedOn w:val="928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bottom w:val="single" w:color="5B9BD5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4">
    <w:name w:val="List Table 3 - Accent 6"/>
    <w:basedOn w:val="928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5">
    <w:name w:val="Список-таблица 41"/>
    <w:basedOn w:val="92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6">
    <w:name w:val="List Table 4 - Accent 1"/>
    <w:basedOn w:val="928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7">
    <w:name w:val="List Table 4 - Accent 2"/>
    <w:basedOn w:val="928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8">
    <w:name w:val="List Table 4 - Accent 3"/>
    <w:basedOn w:val="928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9">
    <w:name w:val="List Table 4 - Accent 4"/>
    <w:basedOn w:val="928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0">
    <w:name w:val="List Table 4 - Accent 5"/>
    <w:basedOn w:val="928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1">
    <w:name w:val="List Table 4 - Accent 6"/>
    <w:basedOn w:val="928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2">
    <w:name w:val="Список-таблица 5 темная1"/>
    <w:basedOn w:val="92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3">
    <w:name w:val="List Table 5 Dark - Accent 1"/>
    <w:basedOn w:val="928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4">
    <w:name w:val="List Table 5 Dark - Accent 2"/>
    <w:basedOn w:val="928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5">
    <w:name w:val="List Table 5 Dark - Accent 3"/>
    <w:basedOn w:val="928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6">
    <w:name w:val="List Table 5 Dark - Accent 4"/>
    <w:basedOn w:val="928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7">
    <w:name w:val="List Table 5 Dark - Accent 5"/>
    <w:basedOn w:val="928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8">
    <w:name w:val="List Table 5 Dark - Accent 6"/>
    <w:basedOn w:val="928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9">
    <w:name w:val="Список-таблица 6 цветная1"/>
    <w:basedOn w:val="92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band2Vert"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0">
    <w:name w:val="List Table 6 Colorful - Accent 1"/>
    <w:basedOn w:val="928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val="254175" w:themeColor="accent1" w:themeShade="95"/>
      </w:rPr>
      <w:tblPr/>
    </w:tblStyle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tblPr/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1">
    <w:name w:val="List Table 6 Colorful - Accent 2"/>
    <w:basedOn w:val="928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2">
    <w:name w:val="List Table 6 Colorful - Accent 3"/>
    <w:basedOn w:val="928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C9C9C9" w:themeColor="accent3" w:themeTint="98" w:themeShade="95"/>
      </w:rPr>
      <w:tblPr/>
    </w:tblStylePr>
    <w:tblStylePr w:type="firstRow">
      <w:rPr>
        <w:b/>
        <w:color w:val="C9C9C9"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tblPr/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3">
    <w:name w:val="List Table 6 Colorful - Accent 4"/>
    <w:basedOn w:val="928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4">
    <w:name w:val="List Table 6 Colorful - Accent 5"/>
    <w:basedOn w:val="928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9BC2E5" w:themeColor="accent5" w:themeTint="9a" w:themeShade="95"/>
      </w:rPr>
      <w:tblPr/>
    </w:tblStylePr>
    <w:tblStylePr w:type="firstRow">
      <w:rPr>
        <w:b/>
        <w:color w:val="9BC2E5" w:themeColor="accent5" w:themeTint="9a" w:themeShade="95"/>
      </w:rPr>
      <w:tblPr/>
      <w:tcPr>
        <w:tcBorders>
          <w:bottom w:val="single" w:color="5B9BD5" w:themeColor="accent5" w:sz="4" w:space="0"/>
        </w:tcBorders>
      </w:tcPr>
    </w:tblStylePr>
    <w:tblStylePr w:type="lastCol">
      <w:rPr>
        <w:b/>
        <w:color w:val="9BC2E5" w:themeColor="accent5" w:themeTint="9a" w:themeShade="95"/>
      </w:rPr>
      <w:tblPr/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5B9BD5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5">
    <w:name w:val="List Table 6 Colorful - Accent 6"/>
    <w:basedOn w:val="928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A9D08E" w:themeColor="accent6" w:themeTint="98" w:themeShade="95"/>
      </w:rPr>
      <w:tblPr/>
    </w:tblStylePr>
    <w:tblStylePr w:type="firstRow">
      <w:rPr>
        <w:b/>
        <w:color w:val="A9D08E"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tblPr/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6">
    <w:name w:val="Список-таблица 7 цветная1"/>
    <w:basedOn w:val="92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  <w:shd w:val="clear" w:color="FFFFFF" w:fill="auto"/>
      </w:tcPr>
    </w:tblStyle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7">
    <w:name w:val="List Table 7 Colorful - Accent 1"/>
    <w:basedOn w:val="928"/>
    <w:uiPriority w:val="99"/>
    <w:tblPr>
      <w:tblStyleRowBandSize w:val="1"/>
      <w:tblStyleColBandSize w:val="1"/>
      <w:tblBorders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8">
    <w:name w:val="List Table 7 Colorful - Accent 2"/>
    <w:basedOn w:val="928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  <w:shd w:val="clear" w:color="FFFFFF" w:fill="auto"/>
      </w:tcPr>
    </w:tblStyle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9">
    <w:name w:val="List Table 7 Colorful - Accent 3"/>
    <w:basedOn w:val="928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0">
    <w:name w:val="List Table 7 Colorful - Accent 4"/>
    <w:basedOn w:val="928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  <w:shd w:val="clear" w:color="FFFFFF" w:fill="auto"/>
      </w:tcPr>
    </w:tblStyle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1">
    <w:name w:val="List Table 7 Colorful - Accent 5"/>
    <w:basedOn w:val="928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5" w:sz="4" w:space="0"/>
        </w:tcBorders>
        <w:shd w:val="clear" w:color="FFFFFF" w:fill="auto"/>
      </w:tcPr>
    </w:tblStyle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5B9BD5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single" w:color="5B9BD5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5B9BD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2">
    <w:name w:val="List Table 7 Colorful - Accent 6"/>
    <w:basedOn w:val="928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  <w:shd w:val="clear" w:color="FFFFFF" w:fill="auto"/>
      </w:tcPr>
    </w:tblStyle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3">
    <w:name w:val="Lined - Accent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4">
    <w:name w:val="Lined - Accent 1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5">
    <w:name w:val="Lined - Accent 2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6">
    <w:name w:val="Lined - Accent 3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7">
    <w:name w:val="Lined - Accent 4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8">
    <w:name w:val="Lined - Accent 5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9">
    <w:name w:val="Lined - Accent 6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0">
    <w:name w:val="Bordered &amp; Lined - Accent"/>
    <w:basedOn w:val="928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1">
    <w:name w:val="Bordered &amp; Lined - Accent 1"/>
    <w:basedOn w:val="928"/>
    <w:uiPriority w:val="99"/>
    <w:rPr>
      <w:color w:val="404040"/>
    </w:r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4472C4" w:themeColor="accent1" w:sz="4" w:space="0"/>
        <w:insideV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2">
    <w:name w:val="Bordered &amp; Lined - Accent 2"/>
    <w:basedOn w:val="928"/>
    <w:uiPriority w:val="99"/>
    <w:rPr>
      <w:color w:val="404040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3">
    <w:name w:val="Bordered &amp; Lined - Accent 3"/>
    <w:basedOn w:val="928"/>
    <w:uiPriority w:val="99"/>
    <w:rPr>
      <w:color w:val="404040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4">
    <w:name w:val="Bordered &amp; Lined - Accent 4"/>
    <w:basedOn w:val="928"/>
    <w:uiPriority w:val="99"/>
    <w:rPr>
      <w:color w:val="404040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5">
    <w:name w:val="Bordered &amp; Lined - Accent 5"/>
    <w:basedOn w:val="928"/>
    <w:uiPriority w:val="99"/>
    <w:rPr>
      <w:color w:val="404040"/>
    </w:r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6">
    <w:name w:val="Bordered &amp; Lined - Accent 6"/>
    <w:basedOn w:val="928"/>
    <w:uiPriority w:val="99"/>
    <w:rPr>
      <w:color w:val="404040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7">
    <w:name w:val="Bordered"/>
    <w:basedOn w:val="92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8">
    <w:name w:val="Bordered - Accent 1"/>
    <w:basedOn w:val="92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9">
    <w:name w:val="Bordered - Accent 2"/>
    <w:basedOn w:val="92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ED7D31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0">
    <w:name w:val="Bordered - Accent 3"/>
    <w:basedOn w:val="92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5A5A5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1">
    <w:name w:val="Bordered - Accent 4"/>
    <w:basedOn w:val="92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C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2">
    <w:name w:val="Bordered - Accent 5"/>
    <w:basedOn w:val="92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5B9BD5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5B9BD5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3">
    <w:name w:val="Bordered - Accent 6"/>
    <w:basedOn w:val="92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0AD47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4">
    <w:name w:val="Table Grid"/>
    <w:basedOn w:val="928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5">
    <w:name w:val="Сетка таблицы1"/>
    <w:basedOn w:val="928"/>
    <w:uiPriority w:val="39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login.consultant.ru/link/?req=doc&amp;base=LAW&amp;n=494318&amp;dst=100007" TargetMode="External"/><Relationship Id="rId6" Type="http://schemas.openxmlformats.org/officeDocument/2006/relationships/hyperlink" Target="https://login.consultant.ru/link/?req=doc&amp;base=LAW&amp;n=494318&amp;dst=100008" TargetMode="External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562E1-FFA7-475E-90B2-F98302192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Application>AlterOffice/3.4.0.8$Linux_X86_64 LibreOffice_project/8f3f3c847f0b8d6fea24e251d3d8ed4f23cbe23c</Application>
  <AppVersion>15.0000</AppVersion>
  <Pages>16</Pages>
  <Words>2892</Words>
  <Characters>19728</Characters>
  <CharactersWithSpaces>22306</CharactersWithSpaces>
  <Paragraphs>365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2024-10-15T02:43:00Z</dcterms:created>
  <dc:creator>Быстров Олег Геннадьевич</dc:creator>
  <dc:description/>
  <dc:language>ru-RU</dc:language>
  <cp:lastModifiedBy>vinokurovav@sed.local</cp:lastModifiedBy>
  <dcterms:modified xsi:type="dcterms:W3CDTF">2026-09-21T14:54:36Z</dcterms:modified>
  <cp:revision>69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