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sz w:val="22"/>
          <w:szCs w:val="22"/>
          <w:lang w:val="ru-RU"/>
        </w:rPr>
      </w:pPr>
      <w:r>
        <w:rPr>
          <w:b/>
          <w:sz w:val="22"/>
          <w:szCs w:val="22"/>
          <w:lang w:val="ru-RU"/>
        </w:rPr>
        <w:t>Договор № ________</w:t>
      </w:r>
    </w:p>
    <w:p>
      <w:pPr>
        <w:pStyle w:val="Normal"/>
        <w:jc w:val="center"/>
        <w:rPr>
          <w:b/>
          <w:sz w:val="22"/>
          <w:szCs w:val="22"/>
          <w:lang w:val="ru-RU"/>
        </w:rPr>
      </w:pPr>
      <w:r>
        <w:rPr>
          <w:b/>
          <w:sz w:val="22"/>
          <w:szCs w:val="22"/>
          <w:lang w:val="ru-RU"/>
        </w:rPr>
        <w:t>возмездного оказания услуг</w:t>
      </w:r>
    </w:p>
    <w:p>
      <w:pPr>
        <w:pStyle w:val="Normal"/>
        <w:jc w:val="both"/>
        <w:rPr>
          <w:b/>
          <w:sz w:val="22"/>
          <w:szCs w:val="22"/>
          <w:lang w:val="ru-RU"/>
        </w:rPr>
      </w:pPr>
      <w:r>
        <w:rPr>
          <w:b/>
          <w:sz w:val="22"/>
          <w:szCs w:val="22"/>
          <w:lang w:val="ru-RU"/>
        </w:rPr>
      </w:r>
    </w:p>
    <w:p>
      <w:pPr>
        <w:pStyle w:val="Normal"/>
        <w:jc w:val="both"/>
        <w:rPr/>
      </w:pPr>
      <w:r>
        <w:rPr>
          <w:sz w:val="22"/>
          <w:szCs w:val="22"/>
          <w:lang w:val="ru-RU"/>
        </w:rPr>
        <w:t>г. Жигулевск</w:t>
        <w:tab/>
        <w:tab/>
        <w:tab/>
        <w:tab/>
        <w:tab/>
        <w:tab/>
        <w:tab/>
        <w:tab/>
        <w:tab/>
      </w:r>
      <w:bookmarkStart w:id="0" w:name="OLE_LINK1"/>
      <w:bookmarkStart w:id="1" w:name="OLE_LINK2"/>
      <w:r>
        <w:rPr>
          <w:b/>
          <w:sz w:val="22"/>
          <w:szCs w:val="22"/>
          <w:lang w:val="ru-RU"/>
        </w:rPr>
        <w:t>«__</w:t>
      </w:r>
      <w:r>
        <w:rPr>
          <w:bCs/>
          <w:sz w:val="22"/>
          <w:szCs w:val="22"/>
          <w:lang w:val="ru-RU"/>
        </w:rPr>
        <w:t>» ______________ 202</w:t>
      </w:r>
      <w:r>
        <w:rPr>
          <w:bCs/>
          <w:sz w:val="22"/>
          <w:szCs w:val="22"/>
          <w:lang w:val="en-US"/>
        </w:rPr>
        <w:t>6</w:t>
      </w:r>
      <w:r>
        <w:rPr>
          <w:bCs/>
          <w:sz w:val="22"/>
          <w:szCs w:val="22"/>
          <w:lang w:val="ru-RU"/>
        </w:rPr>
        <w:t xml:space="preserve"> г.</w:t>
      </w:r>
      <w:bookmarkEnd w:id="0"/>
      <w:bookmarkEnd w:id="1"/>
    </w:p>
    <w:p>
      <w:pPr>
        <w:pStyle w:val="Normal"/>
        <w:ind w:firstLine="708"/>
        <w:jc w:val="both"/>
        <w:rPr>
          <w:bCs/>
          <w:sz w:val="22"/>
          <w:szCs w:val="22"/>
          <w:lang w:val="ru-RU"/>
        </w:rPr>
      </w:pPr>
      <w:r>
        <w:rPr>
          <w:bCs/>
          <w:sz w:val="22"/>
          <w:szCs w:val="22"/>
          <w:lang w:val="ru-RU"/>
        </w:rPr>
      </w:r>
    </w:p>
    <w:p>
      <w:pPr>
        <w:pStyle w:val="33"/>
        <w:spacing w:before="0" w:after="0"/>
        <w:ind w:firstLine="708"/>
        <w:jc w:val="both"/>
        <w:rPr/>
      </w:pPr>
      <w:r>
        <w:rPr>
          <w:b/>
          <w:sz w:val="22"/>
          <w:szCs w:val="22"/>
          <w:lang w:val="ru-RU"/>
        </w:rPr>
        <w:t xml:space="preserve">Публичное акционерное общество «Федеральная гидрогенерирующая компания – РусГидро» (ПАО «РусГидро») </w:t>
      </w:r>
      <w:r>
        <w:rPr>
          <w:sz w:val="22"/>
          <w:szCs w:val="22"/>
          <w:lang w:val="ru-RU"/>
        </w:rPr>
        <w:t xml:space="preserve">(далее – «Заказчик»), в лице директора филиала Публичного акционерного общества «Федеральная гидрогенерирующая компания - РусГидро» - «Жигулевская ГЭС» (филиала ПАО «РусГидро» - «Жигулевская ГЭС») Шепелева Вячеслава Владимировича, действующего на основании доверенности № 9459 от 25.12.2024 г., с одной стороны, и </w:t>
      </w:r>
    </w:p>
    <w:p>
      <w:pPr>
        <w:pStyle w:val="Normal"/>
        <w:ind w:firstLine="708"/>
        <w:jc w:val="both"/>
        <w:rPr>
          <w:sz w:val="22"/>
          <w:szCs w:val="22"/>
          <w:lang w:val="ru-RU"/>
        </w:rPr>
      </w:pPr>
      <w:r>
        <w:rPr>
          <w:b/>
          <w:sz w:val="22"/>
          <w:szCs w:val="22"/>
          <w:lang w:val="ru-RU"/>
        </w:rPr>
        <w:t>__________________________________________________</w:t>
      </w:r>
      <w:r>
        <w:rPr>
          <w:b/>
          <w:sz w:val="22"/>
          <w:szCs w:val="22"/>
          <w:lang w:val="ru-RU"/>
        </w:rPr>
        <w:t xml:space="preserve">, </w:t>
      </w:r>
      <w:r>
        <w:rPr>
          <w:sz w:val="22"/>
          <w:szCs w:val="22"/>
          <w:lang w:val="ru-RU"/>
        </w:rPr>
        <w:t xml:space="preserve">(далее – «Исполнитель»), в лице </w:t>
      </w:r>
      <w:r>
        <w:rPr>
          <w:sz w:val="22"/>
          <w:szCs w:val="22"/>
          <w:lang w:val="ru-RU"/>
        </w:rPr>
        <w:t>__________________________________________________</w:t>
      </w:r>
      <w:r>
        <w:rPr>
          <w:sz w:val="22"/>
          <w:szCs w:val="22"/>
          <w:lang w:val="ru-RU"/>
        </w:rPr>
        <w:t xml:space="preserve">, действующего на основании </w:t>
      </w:r>
      <w:r>
        <w:rPr>
          <w:sz w:val="22"/>
          <w:szCs w:val="22"/>
          <w:lang w:val="ru-RU"/>
        </w:rPr>
        <w:t>_________________</w:t>
      </w:r>
      <w:r>
        <w:rPr>
          <w:sz w:val="22"/>
          <w:szCs w:val="22"/>
          <w:lang w:val="ru-RU"/>
        </w:rPr>
        <w:t xml:space="preserve">, с другой стороны, </w:t>
      </w:r>
    </w:p>
    <w:p>
      <w:pPr>
        <w:pStyle w:val="Normal"/>
        <w:ind w:firstLine="708"/>
        <w:jc w:val="both"/>
        <w:rPr>
          <w:sz w:val="22"/>
          <w:szCs w:val="22"/>
          <w:lang w:val="ru-RU"/>
        </w:rPr>
      </w:pPr>
      <w:r>
        <w:rPr>
          <w:sz w:val="22"/>
          <w:szCs w:val="22"/>
          <w:lang w:val="ru-RU"/>
        </w:rPr>
        <w:t xml:space="preserve">совместно в дальнейшем именуемые «Стороны», а по отдельности – «Сторона», </w:t>
      </w:r>
    </w:p>
    <w:p>
      <w:pPr>
        <w:pStyle w:val="Normal"/>
        <w:ind w:firstLine="708"/>
        <w:jc w:val="both"/>
        <w:rPr>
          <w:sz w:val="22"/>
          <w:szCs w:val="22"/>
          <w:lang w:val="ru-RU"/>
        </w:rPr>
      </w:pPr>
      <w:r>
        <w:rPr>
          <w:sz w:val="22"/>
          <w:szCs w:val="22"/>
          <w:lang w:val="ru-RU"/>
        </w:rPr>
        <w:t>заключили настоящий Договор (далее – Договор) о нижеследующем:</w:t>
      </w:r>
    </w:p>
    <w:p>
      <w:pPr>
        <w:pStyle w:val="33"/>
        <w:spacing w:before="0" w:after="0"/>
        <w:jc w:val="both"/>
        <w:rPr>
          <w:sz w:val="22"/>
          <w:szCs w:val="22"/>
          <w:lang w:val="ru-RU"/>
        </w:rPr>
      </w:pPr>
      <w:r>
        <w:rPr>
          <w:sz w:val="22"/>
          <w:szCs w:val="22"/>
          <w:lang w:val="ru-RU"/>
        </w:rPr>
      </w:r>
    </w:p>
    <w:p>
      <w:pPr>
        <w:pStyle w:val="1"/>
        <w:numPr>
          <w:ilvl w:val="0"/>
          <w:numId w:val="9"/>
        </w:numPr>
        <w:jc w:val="center"/>
        <w:rPr>
          <w:b/>
          <w:sz w:val="22"/>
          <w:szCs w:val="22"/>
          <w:lang w:val="en-US"/>
        </w:rPr>
      </w:pPr>
      <w:r>
        <w:rPr>
          <w:b/>
          <w:sz w:val="22"/>
          <w:szCs w:val="22"/>
        </w:rPr>
        <w:t>Предмет договора</w:t>
      </w:r>
    </w:p>
    <w:p>
      <w:pPr>
        <w:pStyle w:val="1"/>
        <w:numPr>
          <w:ilvl w:val="0"/>
        </w:numPr>
        <w:tabs>
          <w:tab w:val="clear" w:pos="708"/>
          <w:tab w:val="left" w:pos="709" w:leader="none"/>
        </w:tabs>
        <w:jc w:val="both"/>
        <w:rPr>
          <w:b/>
          <w:sz w:val="22"/>
          <w:szCs w:val="22"/>
          <w:lang w:val="en-US"/>
        </w:rPr>
      </w:pPr>
      <w:r>
        <w:rPr>
          <w:sz w:val="22"/>
          <w:szCs w:val="22"/>
        </w:rPr>
        <w:t>1.1. Исполнитель обязуется оказать Заказчику услуги по съемке продольного профили железнодорожного пути необщего пользования Жигулевской ГЭС и внесению соответствующих изменений в технический паспорт (далее – Услуги) в соответствии с Техническим заданием (Приложение № 1 к Договору), а Заказчик обязуется принять их и оплатить в соответствии с условиями Договора.</w:t>
      </w:r>
    </w:p>
    <w:p>
      <w:pPr>
        <w:pStyle w:val="ConsPlusNormal"/>
        <w:widowControl/>
        <w:tabs>
          <w:tab w:val="clear" w:pos="708"/>
          <w:tab w:val="left" w:pos="1260" w:leader="none"/>
        </w:tabs>
        <w:ind w:hanging="0"/>
        <w:jc w:val="both"/>
        <w:rPr>
          <w:b/>
          <w:sz w:val="22"/>
          <w:szCs w:val="22"/>
          <w:lang w:val="en-US"/>
        </w:rPr>
      </w:pPr>
      <w:r>
        <w:rPr>
          <w:rFonts w:cs="Times New Roman" w:ascii="Times New Roman" w:hAnsi="Times New Roman"/>
          <w:bCs/>
          <w:sz w:val="22"/>
          <w:szCs w:val="22"/>
        </w:rPr>
        <w:t>1.2. Услуги должны оказываться Исполнителем в строгом соответствии с нормами законодательства Российской Федерации, Техническим заданием (Приложение № 1 к Договору).</w:t>
      </w:r>
    </w:p>
    <w:p>
      <w:pPr>
        <w:pStyle w:val="Normal"/>
        <w:jc w:val="both"/>
        <w:rPr>
          <w:b/>
          <w:sz w:val="22"/>
          <w:szCs w:val="22"/>
          <w:lang w:val="en-US"/>
        </w:rPr>
      </w:pPr>
      <w:r>
        <w:rPr>
          <w:bCs/>
          <w:sz w:val="22"/>
          <w:szCs w:val="22"/>
          <w:lang w:val="ru-RU"/>
        </w:rPr>
        <w:t xml:space="preserve">1.3. Услуги оказываются для нужд </w:t>
      </w:r>
      <w:r>
        <w:rPr>
          <w:sz w:val="22"/>
          <w:szCs w:val="22"/>
          <w:lang w:val="ru-RU"/>
        </w:rPr>
        <w:t>филиала ПАО «РусГидро»-«Жигулевская ГЭС»</w:t>
      </w:r>
      <w:r>
        <w:rPr>
          <w:bCs/>
          <w:sz w:val="22"/>
          <w:szCs w:val="22"/>
          <w:lang w:val="ru-RU"/>
        </w:rPr>
        <w:t>.</w:t>
      </w:r>
    </w:p>
    <w:p>
      <w:pPr>
        <w:pStyle w:val="Normal"/>
        <w:jc w:val="both"/>
        <w:rPr>
          <w:b/>
          <w:sz w:val="22"/>
          <w:szCs w:val="22"/>
          <w:lang w:val="en-US"/>
        </w:rPr>
      </w:pPr>
      <w:r>
        <w:rPr>
          <w:bCs/>
          <w:sz w:val="22"/>
          <w:szCs w:val="22"/>
          <w:lang w:val="ru-RU"/>
        </w:rPr>
        <w:t xml:space="preserve">1.4. Место оказания услуг: </w:t>
      </w:r>
      <w:r>
        <w:rPr>
          <w:sz w:val="22"/>
          <w:szCs w:val="22"/>
          <w:lang w:val="ru-RU"/>
        </w:rPr>
        <w:t>445350, Самарская область, город Жигулёвск, Московское шоссе, 2</w:t>
      </w:r>
      <w:r>
        <w:rPr>
          <w:bCs/>
          <w:sz w:val="22"/>
          <w:szCs w:val="22"/>
          <w:lang w:val="ru-RU"/>
        </w:rPr>
        <w:t>.</w:t>
      </w:r>
    </w:p>
    <w:p>
      <w:pPr>
        <w:pStyle w:val="Normal"/>
        <w:jc w:val="both"/>
        <w:rPr>
          <w:b/>
          <w:sz w:val="22"/>
          <w:szCs w:val="22"/>
          <w:lang w:val="en-US"/>
        </w:rPr>
      </w:pPr>
      <w:r>
        <w:rPr>
          <w:bCs/>
          <w:sz w:val="22"/>
          <w:szCs w:val="22"/>
          <w:lang w:val="ru-RU"/>
        </w:rPr>
        <w:t xml:space="preserve">1.5. Услуги оказываются в один этап, в течении </w:t>
      </w:r>
      <w:r>
        <w:rPr>
          <w:bCs/>
          <w:sz w:val="22"/>
          <w:szCs w:val="22"/>
          <w:lang w:val="ru-RU"/>
        </w:rPr>
        <w:t>45</w:t>
      </w:r>
      <w:r>
        <w:rPr>
          <w:bCs/>
          <w:sz w:val="22"/>
          <w:szCs w:val="22"/>
          <w:lang w:val="ru-RU"/>
        </w:rPr>
        <w:t xml:space="preserve"> </w:t>
      </w:r>
      <w:r>
        <w:rPr>
          <w:bCs/>
          <w:sz w:val="22"/>
          <w:szCs w:val="22"/>
          <w:lang w:val="ru-RU"/>
        </w:rPr>
        <w:t>календарных</w:t>
      </w:r>
      <w:r>
        <w:rPr>
          <w:bCs/>
          <w:sz w:val="22"/>
          <w:szCs w:val="22"/>
          <w:lang w:val="ru-RU"/>
        </w:rPr>
        <w:t xml:space="preserve"> дней с даты заключения договора.</w:t>
      </w:r>
    </w:p>
    <w:p>
      <w:pPr>
        <w:pStyle w:val="Normal"/>
        <w:rPr>
          <w:b/>
          <w:sz w:val="22"/>
          <w:szCs w:val="22"/>
          <w:lang w:val="en-US"/>
        </w:rPr>
      </w:pPr>
      <w:r>
        <w:rPr>
          <w:b/>
          <w:sz w:val="22"/>
          <w:szCs w:val="22"/>
          <w:lang w:val="en-US"/>
        </w:rPr>
      </w:r>
    </w:p>
    <w:p>
      <w:pPr>
        <w:pStyle w:val="1"/>
        <w:numPr>
          <w:ilvl w:val="0"/>
          <w:numId w:val="9"/>
        </w:numPr>
        <w:jc w:val="center"/>
        <w:rPr>
          <w:b/>
          <w:sz w:val="22"/>
          <w:szCs w:val="22"/>
        </w:rPr>
      </w:pPr>
      <w:r>
        <w:rPr>
          <w:b/>
          <w:sz w:val="22"/>
          <w:szCs w:val="22"/>
        </w:rPr>
        <w:t>Права и обязанности сторон</w:t>
      </w:r>
    </w:p>
    <w:p>
      <w:pPr>
        <w:pStyle w:val="1"/>
        <w:numPr>
          <w:ilvl w:val="0"/>
        </w:numPr>
        <w:tabs>
          <w:tab w:val="clear" w:pos="708"/>
          <w:tab w:val="left" w:pos="709" w:leader="none"/>
        </w:tabs>
        <w:jc w:val="both"/>
        <w:rPr>
          <w:b/>
          <w:sz w:val="22"/>
          <w:szCs w:val="22"/>
        </w:rPr>
      </w:pPr>
      <w:r>
        <w:rPr>
          <w:b/>
          <w:sz w:val="22"/>
          <w:szCs w:val="22"/>
        </w:rPr>
        <w:t>2.1. Заказчик обязан:</w:t>
      </w:r>
    </w:p>
    <w:p>
      <w:pPr>
        <w:pStyle w:val="1"/>
        <w:tabs>
          <w:tab w:val="clear" w:pos="708"/>
          <w:tab w:val="left" w:pos="709" w:leader="none"/>
        </w:tabs>
        <w:jc w:val="both"/>
        <w:rPr>
          <w:b/>
          <w:sz w:val="22"/>
          <w:szCs w:val="22"/>
        </w:rPr>
      </w:pPr>
      <w:r>
        <w:rPr>
          <w:sz w:val="22"/>
          <w:szCs w:val="22"/>
        </w:rPr>
        <w:t>2.1.1. представить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Указанные материалы, документы, сведения и информация предоставляются Заказчиком Исполнителю с приложением их полного перечня в течение 5 (пяти) рабочих дней с момента получения соответствующего запроса Исполнителя. Прием материалов, документов, сведений и информации осуществляется Исполнителем путем проставления соответствующей отметки на копии вышеуказанного перечня, возвращаемой Заказчику;</w:t>
      </w:r>
    </w:p>
    <w:p>
      <w:pPr>
        <w:pStyle w:val="1"/>
        <w:tabs>
          <w:tab w:val="clear" w:pos="708"/>
          <w:tab w:val="left" w:pos="709" w:leader="none"/>
        </w:tabs>
        <w:jc w:val="both"/>
        <w:rPr>
          <w:b/>
          <w:sz w:val="22"/>
          <w:szCs w:val="22"/>
        </w:rPr>
      </w:pPr>
      <w:r>
        <w:rPr>
          <w:sz w:val="22"/>
          <w:szCs w:val="22"/>
        </w:rPr>
        <w:t>2.1.2. принять оказанные Исполнителем Услуги и оплатить их своевременно и в полном объеме на условиях, предусмотренных Договором.</w:t>
      </w:r>
    </w:p>
    <w:p>
      <w:pPr>
        <w:pStyle w:val="1"/>
        <w:tabs>
          <w:tab w:val="clear" w:pos="708"/>
          <w:tab w:val="left" w:pos="709" w:leader="none"/>
        </w:tabs>
        <w:jc w:val="both"/>
        <w:rPr>
          <w:b/>
          <w:sz w:val="22"/>
          <w:szCs w:val="22"/>
        </w:rPr>
      </w:pPr>
      <w:r>
        <w:rPr>
          <w:b/>
          <w:sz w:val="22"/>
          <w:szCs w:val="22"/>
        </w:rPr>
      </w:r>
    </w:p>
    <w:p>
      <w:pPr>
        <w:pStyle w:val="1"/>
        <w:tabs>
          <w:tab w:val="clear" w:pos="708"/>
          <w:tab w:val="left" w:pos="709" w:leader="none"/>
        </w:tabs>
        <w:jc w:val="both"/>
        <w:rPr>
          <w:b/>
          <w:sz w:val="22"/>
          <w:szCs w:val="22"/>
        </w:rPr>
      </w:pPr>
      <w:r>
        <w:rPr>
          <w:b/>
          <w:sz w:val="22"/>
          <w:szCs w:val="22"/>
        </w:rPr>
        <w:t>2.2. Заказчик вправе:</w:t>
      </w:r>
    </w:p>
    <w:p>
      <w:pPr>
        <w:pStyle w:val="1"/>
        <w:tabs>
          <w:tab w:val="clear" w:pos="708"/>
          <w:tab w:val="left" w:pos="709" w:leader="none"/>
        </w:tabs>
        <w:jc w:val="both"/>
        <w:rPr>
          <w:b/>
          <w:sz w:val="22"/>
          <w:szCs w:val="22"/>
        </w:rPr>
      </w:pPr>
      <w:r>
        <w:rPr>
          <w:sz w:val="22"/>
          <w:szCs w:val="22"/>
        </w:rPr>
        <w:t>2.2.1. в любое время осуществлять контроль за ходом оказания Исполнителем Услуг, указывать Исполнителю на выявленные недостатки, требовать их устранения;</w:t>
      </w:r>
    </w:p>
    <w:p>
      <w:pPr>
        <w:pStyle w:val="1"/>
        <w:tabs>
          <w:tab w:val="clear" w:pos="708"/>
          <w:tab w:val="left" w:pos="709" w:leader="none"/>
        </w:tabs>
        <w:jc w:val="both"/>
        <w:rPr>
          <w:b/>
          <w:sz w:val="22"/>
          <w:szCs w:val="22"/>
        </w:rPr>
      </w:pPr>
      <w:r>
        <w:rPr>
          <w:sz w:val="22"/>
          <w:szCs w:val="22"/>
        </w:rPr>
        <w:t xml:space="preserve">2.2.2. приостановить оказание Услуг при обнаружении отступлений от Технического задания </w:t>
      </w:r>
      <w:r>
        <w:rPr>
          <w:bCs/>
          <w:sz w:val="22"/>
          <w:szCs w:val="22"/>
        </w:rPr>
        <w:t>(Приложение № 1 к Договору)</w:t>
      </w:r>
      <w:r>
        <w:rPr>
          <w:sz w:val="22"/>
          <w:szCs w:val="22"/>
        </w:rPr>
        <w:t>;</w:t>
      </w:r>
    </w:p>
    <w:p>
      <w:pPr>
        <w:pStyle w:val="1"/>
        <w:tabs>
          <w:tab w:val="clear" w:pos="708"/>
          <w:tab w:val="left" w:pos="709" w:leader="none"/>
        </w:tabs>
        <w:jc w:val="both"/>
        <w:rPr>
          <w:b/>
          <w:sz w:val="22"/>
          <w:szCs w:val="22"/>
        </w:rPr>
      </w:pPr>
      <w:r>
        <w:rPr>
          <w:sz w:val="22"/>
          <w:szCs w:val="22"/>
        </w:rPr>
        <w:t>2.2.3. изымать пропуска и не допускать на территорию Заказчика работников Исполнителя и (или) привлеченных им третьих лиц при выявлении с их стороны нарушений пропускного и внутриобъектового режима, требований охраны труда, промышленной и пожарной безопасности, природоохранного законодательства;</w:t>
      </w:r>
    </w:p>
    <w:p>
      <w:pPr>
        <w:pStyle w:val="1"/>
        <w:tabs>
          <w:tab w:val="clear" w:pos="708"/>
          <w:tab w:val="left" w:pos="709" w:leader="none"/>
        </w:tabs>
        <w:jc w:val="both"/>
        <w:rPr>
          <w:b/>
          <w:sz w:val="22"/>
          <w:szCs w:val="22"/>
        </w:rPr>
      </w:pPr>
      <w:r>
        <w:rPr>
          <w:sz w:val="22"/>
          <w:szCs w:val="22"/>
        </w:rPr>
        <w:t>2.2.4. любой платеж, причитающийся по Договору и/или в силу требований законодательства Российской Федерации к оплате Исполнителем в пользу Заказчика, может быть удержан Заказчиком из денежных средств, подлежащих уплате Заказчиком Исполнителю.</w:t>
      </w:r>
    </w:p>
    <w:p>
      <w:pPr>
        <w:pStyle w:val="1"/>
        <w:tabs>
          <w:tab w:val="clear" w:pos="708"/>
          <w:tab w:val="left" w:pos="709" w:leader="none"/>
        </w:tabs>
        <w:jc w:val="both"/>
        <w:rPr>
          <w:b/>
          <w:sz w:val="22"/>
          <w:szCs w:val="22"/>
        </w:rPr>
      </w:pPr>
      <w:r>
        <w:rPr>
          <w:b/>
          <w:sz w:val="22"/>
          <w:szCs w:val="22"/>
        </w:rPr>
      </w:r>
    </w:p>
    <w:p>
      <w:pPr>
        <w:pStyle w:val="1"/>
        <w:tabs>
          <w:tab w:val="clear" w:pos="708"/>
          <w:tab w:val="left" w:pos="709" w:leader="none"/>
        </w:tabs>
        <w:jc w:val="both"/>
        <w:rPr>
          <w:b/>
          <w:sz w:val="22"/>
          <w:szCs w:val="22"/>
        </w:rPr>
      </w:pPr>
      <w:r>
        <w:rPr>
          <w:b/>
          <w:sz w:val="22"/>
          <w:szCs w:val="22"/>
        </w:rPr>
        <w:t>2.3. Исполнитель обязан:</w:t>
      </w:r>
    </w:p>
    <w:p>
      <w:pPr>
        <w:pStyle w:val="1"/>
        <w:tabs>
          <w:tab w:val="clear" w:pos="708"/>
          <w:tab w:val="left" w:pos="709" w:leader="none"/>
        </w:tabs>
        <w:jc w:val="both"/>
        <w:rPr>
          <w:b/>
          <w:sz w:val="22"/>
          <w:szCs w:val="22"/>
        </w:rPr>
      </w:pPr>
      <w:r>
        <w:rPr>
          <w:sz w:val="22"/>
          <w:szCs w:val="22"/>
        </w:rPr>
        <w:t>2.3.1. оказать Услуги качественно, в полном объеме, на высоком профессиональном уровне и в установленные Договором сроки;</w:t>
      </w:r>
    </w:p>
    <w:p>
      <w:pPr>
        <w:pStyle w:val="1"/>
        <w:tabs>
          <w:tab w:val="clear" w:pos="708"/>
          <w:tab w:val="left" w:pos="709" w:leader="none"/>
        </w:tabs>
        <w:jc w:val="both"/>
        <w:rPr>
          <w:b/>
          <w:sz w:val="22"/>
          <w:szCs w:val="22"/>
        </w:rPr>
      </w:pPr>
      <w:r>
        <w:rPr>
          <w:sz w:val="22"/>
          <w:szCs w:val="22"/>
        </w:rPr>
        <w:t>2.3.2. регулярно 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Style19"/>
        <w:tabs>
          <w:tab w:val="clear" w:pos="708"/>
        </w:tabs>
        <w:rPr>
          <w:b/>
          <w:sz w:val="22"/>
          <w:szCs w:val="22"/>
        </w:rPr>
      </w:pPr>
      <w:r>
        <w:rPr>
          <w:rFonts w:cs="Times New Roman" w:ascii="Times New Roman" w:hAnsi="Times New Roman"/>
          <w:sz w:val="22"/>
          <w:szCs w:val="22"/>
        </w:rPr>
        <w:t>2.3.3. своевременно сообщать Заказчику о возникновении обстоятельств, способных негативно повлиять на оказание Услуг по Договору;</w:t>
      </w:r>
    </w:p>
    <w:p>
      <w:pPr>
        <w:pStyle w:val="Style19"/>
        <w:tabs>
          <w:tab w:val="clear" w:pos="708"/>
        </w:tabs>
        <w:rPr>
          <w:b/>
          <w:sz w:val="22"/>
          <w:szCs w:val="22"/>
        </w:rPr>
      </w:pPr>
      <w:r>
        <w:rPr>
          <w:rFonts w:cs="Times New Roman" w:ascii="Times New Roman" w:hAnsi="Times New Roman"/>
          <w:sz w:val="22"/>
          <w:szCs w:val="22"/>
        </w:rPr>
        <w:t>2.3.4. устранять замечания Заказчика в установленные им сроки.</w:t>
      </w:r>
    </w:p>
    <w:p>
      <w:pPr>
        <w:pStyle w:val="Style19"/>
        <w:rPr>
          <w:b/>
          <w:sz w:val="22"/>
          <w:szCs w:val="22"/>
        </w:rPr>
      </w:pPr>
      <w:r>
        <w:rPr>
          <w:rFonts w:cs="Times New Roman" w:ascii="Times New Roman" w:hAnsi="Times New Roman"/>
          <w:sz w:val="22"/>
          <w:szCs w:val="22"/>
        </w:rPr>
        <w:t>2.3.5. не разглашать и правомерно использовать инсайдерскую информацию Заказчика. Не позднее 2 рабочих дней до даты фактической передачи Заказчиком инсайдерской информации в рамках исполнения договора подписать Соглашение о конфиденциальности в отношении инсайдерской информации, передаваемой Заказчиком в рамках реализации договора.</w:t>
      </w:r>
    </w:p>
    <w:p>
      <w:pPr>
        <w:pStyle w:val="Style19"/>
        <w:rPr>
          <w:b/>
          <w:sz w:val="22"/>
          <w:szCs w:val="22"/>
        </w:rPr>
      </w:pPr>
      <w:r>
        <w:rPr>
          <w:rFonts w:cs="Times New Roman" w:ascii="Times New Roman" w:hAnsi="Times New Roman"/>
          <w:sz w:val="22"/>
          <w:szCs w:val="22"/>
        </w:rPr>
        <w:t>2.3.6. предоставить Заказчику список лиц, которые получат доступ к инсайдерской информации Заказчика в целях исполнения обязательств по договору, а также подтвердить тот факт, что указанные лица приняли на себя обязательство об исполнении законодательства Российской Федерации о противодействии неправомерному использованию инсайдерской информации и манипулированию рынком и Положения об инсайдерской информации Заказчика.</w:t>
      </w:r>
    </w:p>
    <w:p>
      <w:pPr>
        <w:pStyle w:val="Style19"/>
        <w:tabs>
          <w:tab w:val="clear" w:pos="708"/>
        </w:tabs>
        <w:rPr>
          <w:b/>
          <w:sz w:val="22"/>
          <w:szCs w:val="22"/>
        </w:rPr>
      </w:pPr>
      <w:r>
        <w:rPr>
          <w:rFonts w:cs="Times New Roman" w:ascii="Times New Roman" w:hAnsi="Times New Roman"/>
          <w:sz w:val="22"/>
          <w:szCs w:val="22"/>
        </w:rPr>
        <w:t>2.3.7. уведомить Заказчика о совершаемых сделках с ценными бумагами/товарами Заказчика в соответствии с требованиями законодательства Российской Федерации и Положения об инсайдерской информации Заказчика.</w:t>
      </w:r>
    </w:p>
    <w:p>
      <w:pPr>
        <w:pStyle w:val="1"/>
        <w:tabs>
          <w:tab w:val="clear" w:pos="708"/>
          <w:tab w:val="left" w:pos="709" w:leader="none"/>
        </w:tabs>
        <w:jc w:val="both"/>
        <w:rPr>
          <w:b/>
          <w:sz w:val="22"/>
          <w:szCs w:val="22"/>
        </w:rPr>
      </w:pPr>
      <w:r>
        <w:rPr>
          <w:b/>
          <w:sz w:val="22"/>
          <w:szCs w:val="22"/>
        </w:rPr>
      </w:r>
    </w:p>
    <w:p>
      <w:pPr>
        <w:pStyle w:val="1"/>
        <w:tabs>
          <w:tab w:val="clear" w:pos="708"/>
          <w:tab w:val="left" w:pos="709" w:leader="none"/>
        </w:tabs>
        <w:jc w:val="both"/>
        <w:rPr>
          <w:b/>
          <w:sz w:val="22"/>
          <w:szCs w:val="22"/>
        </w:rPr>
      </w:pPr>
      <w:r>
        <w:rPr>
          <w:b/>
          <w:sz w:val="22"/>
          <w:szCs w:val="22"/>
        </w:rPr>
        <w:t>2.4. Исполнитель имеет право:</w:t>
      </w:r>
    </w:p>
    <w:p>
      <w:pPr>
        <w:pStyle w:val="Style19"/>
        <w:tabs>
          <w:tab w:val="clear" w:pos="708"/>
        </w:tabs>
        <w:rPr>
          <w:b/>
          <w:sz w:val="22"/>
          <w:szCs w:val="22"/>
        </w:rPr>
      </w:pPr>
      <w:r>
        <w:rPr>
          <w:rFonts w:cs="Times New Roman" w:ascii="Times New Roman" w:hAnsi="Times New Roman"/>
          <w:sz w:val="22"/>
          <w:szCs w:val="22"/>
        </w:rPr>
        <w:t>2.4.1. обращаться в письменном виде к Заказчику за предоставлением информации и материалов, имеющихся в наличии у Заказчика, необходимых для оказания Услуг;</w:t>
      </w:r>
    </w:p>
    <w:p>
      <w:pPr>
        <w:pStyle w:val="1"/>
        <w:tabs>
          <w:tab w:val="clear" w:pos="708"/>
          <w:tab w:val="left" w:pos="709" w:leader="none"/>
        </w:tabs>
        <w:jc w:val="both"/>
        <w:rPr>
          <w:b/>
          <w:sz w:val="22"/>
          <w:szCs w:val="22"/>
        </w:rPr>
      </w:pPr>
      <w:r>
        <w:rPr>
          <w:sz w:val="22"/>
          <w:szCs w:val="22"/>
        </w:rPr>
        <w:t>2.4.2. привлекать к оказанию Услуг третьих лиц только с предварительного письменного согласия Заказчика.</w:t>
      </w:r>
    </w:p>
    <w:p>
      <w:pPr>
        <w:pStyle w:val="1"/>
        <w:tabs>
          <w:tab w:val="clear" w:pos="708"/>
          <w:tab w:val="left" w:pos="709" w:leader="none"/>
        </w:tabs>
        <w:jc w:val="both"/>
        <w:rPr>
          <w:b/>
          <w:sz w:val="22"/>
          <w:szCs w:val="22"/>
        </w:rPr>
      </w:pPr>
      <w:r>
        <w:rPr>
          <w:b/>
          <w:sz w:val="22"/>
          <w:szCs w:val="22"/>
        </w:rPr>
      </w:r>
    </w:p>
    <w:p>
      <w:pPr>
        <w:pStyle w:val="1"/>
        <w:tabs>
          <w:tab w:val="clear" w:pos="708"/>
          <w:tab w:val="left" w:pos="709" w:leader="none"/>
        </w:tabs>
        <w:jc w:val="both"/>
        <w:rPr>
          <w:b/>
          <w:sz w:val="22"/>
          <w:szCs w:val="22"/>
        </w:rPr>
      </w:pPr>
      <w:r>
        <w:rPr>
          <w:b/>
          <w:sz w:val="22"/>
          <w:szCs w:val="22"/>
        </w:rPr>
        <w:t>2.5. Антикоррупционная оговорка:</w:t>
      </w:r>
    </w:p>
    <w:p>
      <w:pPr>
        <w:pStyle w:val="1"/>
        <w:tabs>
          <w:tab w:val="clear" w:pos="708"/>
          <w:tab w:val="left" w:pos="709" w:leader="none"/>
        </w:tabs>
        <w:jc w:val="both"/>
        <w:rPr>
          <w:b/>
          <w:sz w:val="22"/>
          <w:szCs w:val="22"/>
        </w:rPr>
      </w:pPr>
      <w:r>
        <w:rPr>
          <w:sz w:val="22"/>
          <w:szCs w:val="22"/>
        </w:rPr>
        <w:t>2.5.1.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1"/>
        <w:tabs>
          <w:tab w:val="clear" w:pos="708"/>
          <w:tab w:val="left" w:pos="709" w:leader="none"/>
        </w:tabs>
        <w:jc w:val="both"/>
        <w:rPr>
          <w:b/>
          <w:sz w:val="22"/>
          <w:szCs w:val="22"/>
        </w:rPr>
      </w:pPr>
      <w:r>
        <w:rPr>
          <w:sz w:val="22"/>
          <w:szCs w:val="22"/>
        </w:rPr>
        <w:t>2.5.2.</w:t>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1"/>
        <w:tabs>
          <w:tab w:val="clear" w:pos="708"/>
          <w:tab w:val="left" w:pos="709" w:leader="none"/>
        </w:tabs>
        <w:jc w:val="both"/>
        <w:rPr>
          <w:b/>
          <w:sz w:val="22"/>
          <w:szCs w:val="22"/>
        </w:rPr>
      </w:pPr>
      <w:r>
        <w:rPr>
          <w:sz w:val="22"/>
          <w:szCs w:val="22"/>
        </w:rPr>
        <w:t>2.5.3.</w:t>
        <w:tab/>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1"/>
        <w:tabs>
          <w:tab w:val="clear" w:pos="708"/>
          <w:tab w:val="left" w:pos="709" w:leader="none"/>
        </w:tabs>
        <w:jc w:val="both"/>
        <w:rPr>
          <w:b/>
          <w:sz w:val="22"/>
          <w:szCs w:val="22"/>
        </w:rPr>
      </w:pPr>
      <w:r>
        <w:rPr>
          <w:sz w:val="22"/>
          <w:szCs w:val="22"/>
        </w:rPr>
        <w:t>2.5.4.</w:t>
        <w:tab/>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1"/>
        <w:tabs>
          <w:tab w:val="clear" w:pos="708"/>
          <w:tab w:val="left" w:pos="709" w:leader="none"/>
        </w:tabs>
        <w:jc w:val="both"/>
        <w:rPr>
          <w:b/>
          <w:sz w:val="22"/>
          <w:szCs w:val="22"/>
        </w:rPr>
      </w:pPr>
      <w:r>
        <w:rPr>
          <w:sz w:val="22"/>
          <w:szCs w:val="22"/>
        </w:rPr>
        <w:t>2.5.5.</w:t>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1"/>
        <w:tabs>
          <w:tab w:val="clear" w:pos="708"/>
          <w:tab w:val="left" w:pos="709" w:leader="none"/>
        </w:tabs>
        <w:jc w:val="both"/>
        <w:rPr>
          <w:b/>
          <w:sz w:val="22"/>
          <w:szCs w:val="22"/>
        </w:rPr>
      </w:pPr>
      <w:r>
        <w:rPr>
          <w:sz w:val="22"/>
          <w:szCs w:val="22"/>
        </w:rPr>
        <w:t>2.5.6.</w:t>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1"/>
        <w:tabs>
          <w:tab w:val="clear" w:pos="708"/>
          <w:tab w:val="left" w:pos="709" w:leader="none"/>
        </w:tabs>
        <w:jc w:val="both"/>
        <w:rPr>
          <w:b/>
          <w:sz w:val="22"/>
          <w:szCs w:val="22"/>
        </w:rPr>
      </w:pPr>
      <w:r>
        <w:rPr>
          <w:sz w:val="22"/>
          <w:szCs w:val="22"/>
        </w:rPr>
        <w:t>2.5.7.</w:t>
        <w:tab/>
        <w:t xml:space="preserve">Каналы связи Линия доверия Группы РусГидро: </w:t>
      </w:r>
    </w:p>
    <w:p>
      <w:pPr>
        <w:pStyle w:val="1"/>
        <w:tabs>
          <w:tab w:val="clear" w:pos="708"/>
          <w:tab w:val="left" w:pos="709" w:leader="none"/>
        </w:tabs>
        <w:jc w:val="both"/>
        <w:rPr>
          <w:b/>
          <w:sz w:val="22"/>
          <w:szCs w:val="22"/>
        </w:rPr>
      </w:pPr>
      <w:r>
        <w:rPr>
          <w:sz w:val="22"/>
          <w:szCs w:val="22"/>
        </w:rPr>
        <w:t>2.5.7.1.</w:t>
        <w:tab/>
        <w:t xml:space="preserve">Электронная почта: </w:t>
      </w:r>
      <w:r>
        <w:rPr>
          <w:sz w:val="22"/>
          <w:szCs w:val="22"/>
          <w:lang w:val="en-GB"/>
        </w:rPr>
        <w:t>ld</w:t>
      </w:r>
      <w:r>
        <w:rPr>
          <w:sz w:val="22"/>
          <w:szCs w:val="22"/>
        </w:rPr>
        <w:t>@</w:t>
      </w:r>
      <w:r>
        <w:rPr>
          <w:sz w:val="22"/>
          <w:szCs w:val="22"/>
          <w:lang w:val="en-GB"/>
        </w:rPr>
        <w:t>rushydro</w:t>
      </w:r>
      <w:r>
        <w:rPr>
          <w:sz w:val="22"/>
          <w:szCs w:val="22"/>
        </w:rPr>
        <w:t>.</w:t>
      </w:r>
      <w:r>
        <w:rPr>
          <w:sz w:val="22"/>
          <w:szCs w:val="22"/>
          <w:lang w:val="en-GB"/>
        </w:rPr>
        <w:t>ru</w:t>
      </w:r>
      <w:r>
        <w:rPr>
          <w:sz w:val="22"/>
          <w:szCs w:val="22"/>
        </w:rPr>
        <w:t>.</w:t>
      </w:r>
    </w:p>
    <w:p>
      <w:pPr>
        <w:pStyle w:val="1"/>
        <w:tabs>
          <w:tab w:val="clear" w:pos="708"/>
          <w:tab w:val="left" w:pos="709" w:leader="none"/>
        </w:tabs>
        <w:jc w:val="both"/>
        <w:rPr>
          <w:b/>
          <w:sz w:val="22"/>
          <w:szCs w:val="22"/>
        </w:rPr>
      </w:pPr>
      <w:r>
        <w:rPr>
          <w:sz w:val="22"/>
          <w:szCs w:val="22"/>
        </w:rPr>
        <w:t>2.5.7.2.</w:t>
        <w:tab/>
        <w:t xml:space="preserve">Специальная форма «обратной связи», размещенная на официальном сайте Общества в сети интернет: </w:t>
      </w:r>
      <w:r>
        <w:rPr>
          <w:sz w:val="22"/>
          <w:szCs w:val="22"/>
          <w:lang w:val="en-GB"/>
        </w:rPr>
        <w:t>http</w:t>
      </w:r>
      <w:r>
        <w:rPr>
          <w:sz w:val="22"/>
          <w:szCs w:val="22"/>
        </w:rPr>
        <w:t>://</w:t>
      </w:r>
      <w:r>
        <w:rPr>
          <w:sz w:val="22"/>
          <w:szCs w:val="22"/>
          <w:lang w:val="en-GB"/>
        </w:rPr>
        <w:t>www</w:t>
      </w:r>
      <w:r>
        <w:rPr>
          <w:sz w:val="22"/>
          <w:szCs w:val="22"/>
        </w:rPr>
        <w:t>.</w:t>
      </w:r>
      <w:r>
        <w:rPr>
          <w:sz w:val="22"/>
          <w:szCs w:val="22"/>
          <w:lang w:val="en-GB"/>
        </w:rPr>
        <w:t>rushydro</w:t>
      </w:r>
      <w:r>
        <w:rPr>
          <w:sz w:val="22"/>
          <w:szCs w:val="22"/>
        </w:rPr>
        <w:t>.</w:t>
      </w:r>
      <w:r>
        <w:rPr>
          <w:sz w:val="22"/>
          <w:szCs w:val="22"/>
          <w:lang w:val="en-GB"/>
        </w:rPr>
        <w:t>ru</w:t>
      </w:r>
      <w:r>
        <w:rPr>
          <w:sz w:val="22"/>
          <w:szCs w:val="22"/>
        </w:rPr>
        <w:t>/ (далее перейти по ссылке «Линия доверия» и заполнить поля специальной формы «обратной связи»);</w:t>
      </w:r>
    </w:p>
    <w:p>
      <w:pPr>
        <w:pStyle w:val="1"/>
        <w:tabs>
          <w:tab w:val="clear" w:pos="708"/>
          <w:tab w:val="left" w:pos="709" w:leader="none"/>
        </w:tabs>
        <w:jc w:val="both"/>
        <w:rPr>
          <w:b/>
          <w:sz w:val="22"/>
          <w:szCs w:val="22"/>
        </w:rPr>
      </w:pPr>
      <w:r>
        <w:rPr>
          <w:sz w:val="22"/>
          <w:szCs w:val="22"/>
        </w:rPr>
        <w:t>2.5.7.3.</w:t>
        <w:tab/>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jc w:val="both"/>
        <w:rPr>
          <w:b/>
          <w:sz w:val="22"/>
          <w:szCs w:val="22"/>
        </w:rPr>
      </w:pPr>
      <w:r>
        <w:rPr>
          <w:b/>
          <w:sz w:val="22"/>
          <w:szCs w:val="22"/>
        </w:rPr>
      </w:r>
    </w:p>
    <w:p>
      <w:pPr>
        <w:pStyle w:val="1"/>
        <w:numPr>
          <w:ilvl w:val="0"/>
          <w:numId w:val="9"/>
        </w:numPr>
        <w:jc w:val="center"/>
        <w:rPr>
          <w:b/>
          <w:sz w:val="22"/>
          <w:szCs w:val="22"/>
        </w:rPr>
      </w:pPr>
      <w:r>
        <w:rPr>
          <w:b/>
          <w:sz w:val="22"/>
          <w:szCs w:val="22"/>
        </w:rPr>
        <w:t>Порядок сдачи-приемки услуг</w:t>
      </w:r>
    </w:p>
    <w:p>
      <w:pPr>
        <w:pStyle w:val="Style17"/>
        <w:numPr>
          <w:ilvl w:val="0"/>
        </w:numPr>
        <w:spacing w:lineRule="auto" w:line="240" w:before="0" w:after="0"/>
        <w:rPr>
          <w:b/>
          <w:sz w:val="22"/>
          <w:szCs w:val="22"/>
        </w:rPr>
      </w:pPr>
      <w:r>
        <w:rPr>
          <w:rFonts w:cs="Times New Roman" w:ascii="Times New Roman" w:hAnsi="Times New Roman"/>
          <w:szCs w:val="22"/>
          <w:lang w:val="ru-RU"/>
        </w:rPr>
        <w:t xml:space="preserve">3.1. По окончании оказания Услуг Исполнитель направляет Заказчику подписанный со своей стороны Акт сдачи-приемки Услуг по форме Приложения № 3 к Договору в 2 (двух) экземплярах, а также отчетные документы, предусмотренные Техническим заданием (Приложение №1 </w:t>
      </w:r>
      <w:r>
        <w:rPr>
          <w:rFonts w:cs="Times New Roman" w:ascii="Times New Roman" w:hAnsi="Times New Roman"/>
          <w:bCs/>
          <w:szCs w:val="22"/>
          <w:lang w:val="ru-RU"/>
        </w:rPr>
        <w:t>к Договору</w:t>
      </w:r>
      <w:r>
        <w:rPr>
          <w:rFonts w:cs="Times New Roman" w:ascii="Times New Roman" w:hAnsi="Times New Roman"/>
          <w:szCs w:val="22"/>
          <w:lang w:val="ru-RU"/>
        </w:rPr>
        <w:t>).</w:t>
      </w:r>
    </w:p>
    <w:p>
      <w:pPr>
        <w:pStyle w:val="Style17"/>
        <w:spacing w:lineRule="auto" w:line="240" w:before="0" w:after="0"/>
        <w:rPr>
          <w:b/>
          <w:sz w:val="22"/>
          <w:szCs w:val="22"/>
        </w:rPr>
      </w:pPr>
      <w:r>
        <w:rPr>
          <w:rFonts w:cs="Times New Roman" w:ascii="Times New Roman" w:hAnsi="Times New Roman"/>
          <w:szCs w:val="22"/>
          <w:lang w:val="ru-RU"/>
        </w:rPr>
        <w:t>3.2. В течение 3 (трех) рабочих дней с момента получения от Исполнителя Акта сдачи-приемки Услуг и отчетных документов в соответствии с п. 3.1 Договора Заказчик:</w:t>
      </w:r>
    </w:p>
    <w:p>
      <w:pPr>
        <w:pStyle w:val="Style17"/>
        <w:spacing w:lineRule="auto" w:line="240" w:before="0" w:after="0"/>
        <w:rPr>
          <w:b/>
          <w:sz w:val="22"/>
          <w:szCs w:val="22"/>
        </w:rPr>
      </w:pPr>
      <w:r>
        <w:rPr>
          <w:rFonts w:cs="Times New Roman" w:ascii="Times New Roman" w:hAnsi="Times New Roman"/>
          <w:szCs w:val="22"/>
          <w:lang w:val="ru-RU"/>
        </w:rPr>
        <w:t>3.2.1. подписывает Акт сдачи-приемки Услуг и возвращает 1 (один) его экземпляр Исполнителю либо,</w:t>
      </w:r>
    </w:p>
    <w:p>
      <w:pPr>
        <w:pStyle w:val="Style17"/>
        <w:spacing w:lineRule="auto" w:line="240" w:before="0" w:after="0"/>
        <w:rPr>
          <w:b/>
          <w:sz w:val="22"/>
          <w:szCs w:val="22"/>
        </w:rPr>
      </w:pPr>
      <w:r>
        <w:rPr>
          <w:rFonts w:cs="Times New Roman" w:ascii="Times New Roman" w:hAnsi="Times New Roman"/>
          <w:szCs w:val="22"/>
          <w:lang w:val="ru-RU"/>
        </w:rPr>
        <w:t xml:space="preserve">3.2.2. заявляет письменный мотивированный отказ от подписания Акта сдачи-приемки Услуг (с указанием перечня выявленных недостатков и сроков их устранения) и направляет его Исполнителю. </w:t>
      </w:r>
    </w:p>
    <w:p>
      <w:pPr>
        <w:pStyle w:val="Style17"/>
        <w:spacing w:lineRule="auto" w:line="240" w:before="0" w:after="0"/>
        <w:rPr>
          <w:b/>
          <w:sz w:val="22"/>
          <w:szCs w:val="22"/>
        </w:rPr>
      </w:pPr>
      <w:r>
        <w:rPr>
          <w:rFonts w:cs="Times New Roman" w:ascii="Times New Roman" w:hAnsi="Times New Roman"/>
          <w:szCs w:val="22"/>
          <w:lang w:val="ru-RU"/>
        </w:rPr>
        <w:t>3.3. Исполнитель устраняет выявленные недостатки своими силами и за свой счет. Повторное подписание Акта сдачи-приемки Услуг производится в порядке, предусмотренном настоящим разделом.</w:t>
      </w:r>
    </w:p>
    <w:p>
      <w:pPr>
        <w:pStyle w:val="Style17"/>
        <w:spacing w:lineRule="auto" w:line="240" w:before="0" w:after="0"/>
        <w:rPr>
          <w:b/>
          <w:sz w:val="22"/>
          <w:szCs w:val="22"/>
        </w:rPr>
      </w:pPr>
      <w:r>
        <w:rPr>
          <w:rFonts w:cs="Times New Roman" w:ascii="Times New Roman" w:hAnsi="Times New Roman"/>
          <w:szCs w:val="22"/>
          <w:lang w:val="ru-RU"/>
        </w:rPr>
        <w:t>3.4. Услуги считаются оказанными Исполнителем и принятыми Заказчиком с момента подписания Сторонами Акта сдачи-приемки Услуг.</w:t>
      </w:r>
    </w:p>
    <w:p>
      <w:pPr>
        <w:pStyle w:val="1"/>
        <w:ind w:left="720" w:hanging="0"/>
        <w:rPr>
          <w:b/>
          <w:sz w:val="22"/>
          <w:szCs w:val="22"/>
        </w:rPr>
      </w:pPr>
      <w:r>
        <w:rPr>
          <w:b/>
          <w:sz w:val="22"/>
          <w:szCs w:val="22"/>
        </w:rPr>
      </w:r>
    </w:p>
    <w:p>
      <w:pPr>
        <w:pStyle w:val="1"/>
        <w:numPr>
          <w:ilvl w:val="0"/>
          <w:numId w:val="9"/>
        </w:numPr>
        <w:jc w:val="center"/>
        <w:rPr>
          <w:sz w:val="22"/>
          <w:szCs w:val="22"/>
        </w:rPr>
      </w:pPr>
      <w:r>
        <w:rPr>
          <w:b/>
          <w:sz w:val="22"/>
          <w:szCs w:val="22"/>
        </w:rPr>
        <w:t xml:space="preserve">Стоимость услуг и порядок расчетов </w:t>
      </w:r>
    </w:p>
    <w:p>
      <w:pPr>
        <w:pStyle w:val="1"/>
        <w:numPr>
          <w:ilvl w:val="0"/>
        </w:numPr>
        <w:tabs>
          <w:tab w:val="clear" w:pos="708"/>
          <w:tab w:val="left" w:pos="709" w:leader="none"/>
        </w:tabs>
        <w:jc w:val="both"/>
        <w:rPr>
          <w:sz w:val="22"/>
          <w:szCs w:val="22"/>
        </w:rPr>
      </w:pPr>
      <w:r>
        <w:rPr>
          <w:sz w:val="22"/>
          <w:szCs w:val="22"/>
        </w:rPr>
        <w:t xml:space="preserve">4.1. Стоимость Услуг по Договору (далее - Цена Договора) составляет </w:t>
      </w:r>
      <w:r>
        <w:rPr>
          <w:sz w:val="22"/>
          <w:szCs w:val="22"/>
        </w:rPr>
        <w:t>____________</w:t>
      </w:r>
      <w:r>
        <w:rPr>
          <w:sz w:val="22"/>
          <w:szCs w:val="22"/>
        </w:rPr>
        <w:t xml:space="preserve"> (</w:t>
      </w:r>
      <w:r>
        <w:rPr>
          <w:sz w:val="22"/>
          <w:szCs w:val="22"/>
        </w:rPr>
        <w:t>_______________</w:t>
      </w:r>
      <w:r>
        <w:rPr>
          <w:sz w:val="22"/>
          <w:szCs w:val="22"/>
        </w:rPr>
        <w:t xml:space="preserve">) рублей </w:t>
      </w:r>
      <w:r>
        <w:rPr>
          <w:sz w:val="22"/>
          <w:szCs w:val="22"/>
        </w:rPr>
        <w:t>___</w:t>
      </w:r>
      <w:r>
        <w:rPr>
          <w:sz w:val="22"/>
          <w:szCs w:val="22"/>
        </w:rPr>
        <w:t xml:space="preserve"> копеек без учета НДС, при этом НДС исчисляется дополнительно по ставке, установленной статьей 164 Налогового кодекса РФ.</w:t>
      </w:r>
    </w:p>
    <w:p>
      <w:pPr>
        <w:pStyle w:val="Normal"/>
        <w:jc w:val="both"/>
        <w:rPr>
          <w:sz w:val="22"/>
          <w:szCs w:val="22"/>
        </w:rPr>
      </w:pPr>
      <w:r>
        <w:rPr>
          <w:sz w:val="22"/>
          <w:szCs w:val="22"/>
          <w:lang w:val="ru-RU"/>
        </w:rPr>
        <w:t>4.2. Оплата за оказанные Услуги производится в течение 7 (семи) рабочих дней с даты подписания акта сдачи-приемки Услуг на основании счета, выставленного Исполнителем. (При этом в случае получения Заказчиком счета Исполнителя позднее чем за 10 календарных дней до истечения указанного срока на оплату, оплата за оказанные Услуги осуществляется в течение 10 календарных дней с даты получения Заказчиком счета Исполнителя.)</w:t>
      </w:r>
    </w:p>
    <w:p>
      <w:pPr>
        <w:pStyle w:val="1"/>
        <w:tabs>
          <w:tab w:val="clear" w:pos="708"/>
          <w:tab w:val="left" w:pos="709" w:leader="none"/>
        </w:tabs>
        <w:jc w:val="both"/>
        <w:rPr>
          <w:sz w:val="22"/>
          <w:szCs w:val="22"/>
        </w:rPr>
      </w:pPr>
      <w:r>
        <w:rPr>
          <w:sz w:val="22"/>
          <w:szCs w:val="22"/>
        </w:rPr>
        <w:t>4.3. Расчеты осуществляются в валюте Российской Федерации путем перечисления Заказчиком денежных средств на расчетный счет Исполнителя, указанный в разделе 13 Договора или в счете Исполнителя. Обязательства Заказчика по оплате считаются выполненными с момента списания денежных средств с расчетного счета Заказчика.</w:t>
      </w:r>
    </w:p>
    <w:p>
      <w:pPr>
        <w:pStyle w:val="Normal"/>
        <w:jc w:val="both"/>
        <w:rPr>
          <w:sz w:val="22"/>
          <w:szCs w:val="22"/>
        </w:rPr>
      </w:pPr>
      <w:r>
        <w:rPr>
          <w:sz w:val="22"/>
          <w:szCs w:val="22"/>
        </w:rPr>
      </w:r>
    </w:p>
    <w:p>
      <w:pPr>
        <w:pStyle w:val="1"/>
        <w:numPr>
          <w:ilvl w:val="0"/>
          <w:numId w:val="9"/>
        </w:numPr>
        <w:jc w:val="center"/>
        <w:rPr>
          <w:b/>
          <w:sz w:val="22"/>
          <w:szCs w:val="22"/>
        </w:rPr>
      </w:pPr>
      <w:r>
        <w:rPr>
          <w:b/>
          <w:sz w:val="22"/>
          <w:szCs w:val="22"/>
        </w:rPr>
        <w:t>Ответственность сторон</w:t>
      </w:r>
    </w:p>
    <w:p>
      <w:pPr>
        <w:pStyle w:val="1"/>
        <w:numPr>
          <w:ilvl w:val="0"/>
        </w:numPr>
        <w:tabs>
          <w:tab w:val="clear" w:pos="708"/>
          <w:tab w:val="left" w:pos="709" w:leader="none"/>
        </w:tabs>
        <w:jc w:val="both"/>
        <w:rPr>
          <w:b/>
          <w:sz w:val="22"/>
          <w:szCs w:val="22"/>
        </w:rPr>
      </w:pPr>
      <w:r>
        <w:rPr>
          <w:sz w:val="22"/>
          <w:szCs w:val="22"/>
        </w:rPr>
        <w:t>5.1. 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и настоящим Договором.</w:t>
      </w:r>
    </w:p>
    <w:p>
      <w:pPr>
        <w:pStyle w:val="1"/>
        <w:tabs>
          <w:tab w:val="clear" w:pos="708"/>
          <w:tab w:val="left" w:pos="709" w:leader="none"/>
        </w:tabs>
        <w:jc w:val="both"/>
        <w:rPr>
          <w:b/>
          <w:sz w:val="22"/>
          <w:szCs w:val="22"/>
        </w:rPr>
      </w:pPr>
      <w:r>
        <w:rPr>
          <w:sz w:val="22"/>
          <w:szCs w:val="22"/>
        </w:rPr>
        <w:t>5.2. В случае нарушения Исполнителем обязательств по оказанию услуг, а также в случае несвоевременного устранения выявленных недостатков результатов Услуг Заказчик вправе потребовать уплаты Исполнителем неустойки в размере 0,1 % от цены договора за каждый день просрочки.</w:t>
      </w:r>
    </w:p>
    <w:p>
      <w:pPr>
        <w:pStyle w:val="1"/>
        <w:tabs>
          <w:tab w:val="clear" w:pos="708"/>
          <w:tab w:val="left" w:pos="709" w:leader="none"/>
        </w:tabs>
        <w:jc w:val="both"/>
        <w:rPr>
          <w:b/>
          <w:sz w:val="22"/>
          <w:szCs w:val="22"/>
        </w:rPr>
      </w:pPr>
      <w:r>
        <w:rPr>
          <w:sz w:val="22"/>
          <w:szCs w:val="22"/>
        </w:rPr>
        <w:t>5.3. В случае нарушения Заказчиком сроков оплаты результатов оказанных услуг Исполнитель вправе потребовать уплаты Заказчиком неустойки в размере 0,1 % от несвоевременно оплаченной суммы за каждый день просрочки, но не более 5 % от несвоевременно оплаченной суммы.</w:t>
      </w:r>
    </w:p>
    <w:p>
      <w:pPr>
        <w:pStyle w:val="1"/>
        <w:tabs>
          <w:tab w:val="clear" w:pos="708"/>
          <w:tab w:val="left" w:pos="709" w:leader="none"/>
        </w:tabs>
        <w:jc w:val="both"/>
        <w:rPr>
          <w:b/>
          <w:sz w:val="22"/>
          <w:szCs w:val="22"/>
        </w:rPr>
      </w:pPr>
      <w:r>
        <w:rPr>
          <w:sz w:val="22"/>
          <w:szCs w:val="22"/>
        </w:rPr>
        <w:t>5.4. Ответственность Заказчика за причиненные Исполнителю убытки ограничивается реальным ущербом, но не более Цены Договора.</w:t>
      </w:r>
    </w:p>
    <w:p>
      <w:pPr>
        <w:pStyle w:val="Style17"/>
        <w:spacing w:lineRule="auto" w:line="240" w:before="0" w:after="0"/>
        <w:rPr>
          <w:b/>
          <w:sz w:val="22"/>
          <w:szCs w:val="22"/>
        </w:rPr>
      </w:pPr>
      <w:r>
        <w:rPr>
          <w:rFonts w:cs="Times New Roman" w:ascii="Times New Roman" w:hAnsi="Times New Roman"/>
          <w:szCs w:val="22"/>
          <w:lang w:val="ru-RU"/>
        </w:rPr>
        <w:t>5.5. Уплата пеней и штрафов не освобождает Стороны от выполнения обязательств и устранения нарушений.</w:t>
      </w:r>
    </w:p>
    <w:p>
      <w:pPr>
        <w:pStyle w:val="1"/>
        <w:tabs>
          <w:tab w:val="clear" w:pos="708"/>
          <w:tab w:val="left" w:pos="709" w:leader="none"/>
        </w:tabs>
        <w:jc w:val="both"/>
        <w:rPr>
          <w:b/>
          <w:sz w:val="22"/>
          <w:szCs w:val="22"/>
        </w:rPr>
      </w:pPr>
      <w:r>
        <w:rPr>
          <w:sz w:val="22"/>
          <w:szCs w:val="22"/>
        </w:rPr>
        <w:t>5.6. Исполнитель освобождается от ответственности за нарушение сроков в случаях, если нарушение сроков исполнения произошло в связи с ненадлежащими действиями или бездействием Заказчика (непредставление или несвоевременное предоставление информации, предоставление недостоверной информации).</w:t>
      </w:r>
    </w:p>
    <w:p>
      <w:pPr>
        <w:pStyle w:val="Style17"/>
        <w:spacing w:lineRule="auto" w:line="240" w:before="0" w:after="0"/>
        <w:rPr>
          <w:b/>
          <w:sz w:val="22"/>
          <w:szCs w:val="22"/>
        </w:rPr>
      </w:pPr>
      <w:r>
        <w:rPr>
          <w:rFonts w:cs="Times New Roman" w:ascii="Times New Roman" w:hAnsi="Times New Roman"/>
          <w:szCs w:val="22"/>
          <w:lang w:val="ru-RU"/>
        </w:rPr>
        <w:t>5.7. В случае нарушения Исполнителем и его работниками пропускного и внутриобъектового режима, требований охраны труда, промышленной и пожарной безопасности, природоохранного законодательства, если они зафиксированы Актом, подписанным ответственными работниками Заказчика или надзорными органами, или пожарной частью, Исполнитель помимо обязательства по возмещению убытков Заказчику несет ответственность в соответствии с Приложением № 4 к Договору. Указанные штрафные санкции уплачиваются Исполнителем как в случае нарушений со стороны самого Исполнителя, так и в случае нарушений со стороны привлеченных им третьих лиц.</w:t>
      </w:r>
    </w:p>
    <w:p>
      <w:pPr>
        <w:pStyle w:val="2"/>
        <w:spacing w:lineRule="auto" w:line="240" w:before="0" w:after="0"/>
        <w:rPr>
          <w:b/>
          <w:sz w:val="22"/>
          <w:szCs w:val="22"/>
        </w:rPr>
      </w:pPr>
      <w:r>
        <w:rPr>
          <w:b/>
          <w:sz w:val="22"/>
          <w:szCs w:val="22"/>
        </w:rPr>
      </w:r>
    </w:p>
    <w:p>
      <w:pPr>
        <w:pStyle w:val="Style27"/>
        <w:numPr>
          <w:ilvl w:val="0"/>
          <w:numId w:val="9"/>
        </w:numPr>
        <w:shd w:val="clear" w:fill="FFFFFF"/>
        <w:tabs>
          <w:tab w:val="clear" w:pos="708"/>
          <w:tab w:val="left" w:pos="566" w:leader="none"/>
        </w:tabs>
        <w:jc w:val="center"/>
        <w:rPr>
          <w:b/>
          <w:color w:val="000000"/>
          <w:spacing w:val="-4"/>
          <w:sz w:val="22"/>
          <w:szCs w:val="22"/>
        </w:rPr>
      </w:pPr>
      <w:r>
        <w:rPr>
          <w:b/>
          <w:color w:val="000000"/>
          <w:spacing w:val="-4"/>
          <w:sz w:val="22"/>
          <w:szCs w:val="22"/>
        </w:rPr>
        <w:t>Разрешение споров</w:t>
      </w:r>
    </w:p>
    <w:p>
      <w:pPr>
        <w:pStyle w:val="2"/>
        <w:numPr>
          <w:ilvl w:val="0"/>
        </w:numPr>
        <w:spacing w:lineRule="auto" w:line="240" w:before="0" w:after="0"/>
        <w:rPr>
          <w:b/>
          <w:color w:val="000000"/>
          <w:spacing w:val="-4"/>
          <w:sz w:val="22"/>
          <w:szCs w:val="22"/>
        </w:rPr>
      </w:pPr>
      <w:r>
        <w:rPr>
          <w:rFonts w:cs="Times New Roman" w:ascii="Times New Roman" w:hAnsi="Times New Roman"/>
          <w:szCs w:val="22"/>
          <w:lang w:val="ru-RU"/>
        </w:rPr>
        <w:t>6.1. Все споры и разногласия, возникающие между Сторонами по Договору или в связи с ним, разрешаются путем переговоров между Сторонами.</w:t>
      </w:r>
    </w:p>
    <w:p>
      <w:pPr>
        <w:pStyle w:val="2"/>
        <w:spacing w:lineRule="auto" w:line="240" w:before="0" w:after="0"/>
        <w:rPr>
          <w:b/>
          <w:color w:val="000000"/>
          <w:spacing w:val="-4"/>
          <w:sz w:val="22"/>
          <w:szCs w:val="22"/>
        </w:rPr>
      </w:pPr>
      <w:r>
        <w:rPr>
          <w:rFonts w:cs="Times New Roman" w:ascii="Times New Roman" w:hAnsi="Times New Roman"/>
          <w:szCs w:val="22"/>
          <w:lang w:val="ru-RU"/>
        </w:rPr>
        <w:t>6.2. Все споры, разногласия и требования, возникающие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не урегулированные Сторонами путем проведения переговоров, подлежат разрешению в Арбитражном суде Самарской области.</w:t>
      </w:r>
    </w:p>
    <w:p>
      <w:pPr>
        <w:pStyle w:val="Normal"/>
        <w:tabs>
          <w:tab w:val="clear" w:pos="708"/>
          <w:tab w:val="left" w:pos="1304" w:leader="none"/>
        </w:tabs>
        <w:jc w:val="both"/>
        <w:rPr>
          <w:b/>
          <w:color w:val="000000"/>
          <w:spacing w:val="-4"/>
          <w:sz w:val="22"/>
          <w:szCs w:val="22"/>
        </w:rPr>
      </w:pPr>
      <w:r>
        <w:rPr>
          <w:b/>
          <w:color w:val="000000"/>
          <w:spacing w:val="-4"/>
          <w:sz w:val="22"/>
          <w:szCs w:val="22"/>
        </w:rPr>
      </w:r>
    </w:p>
    <w:p>
      <w:pPr>
        <w:pStyle w:val="Style27"/>
        <w:numPr>
          <w:ilvl w:val="0"/>
          <w:numId w:val="9"/>
        </w:numPr>
        <w:shd w:val="clear" w:fill="FFFFFF"/>
        <w:tabs>
          <w:tab w:val="clear" w:pos="708"/>
          <w:tab w:val="left" w:pos="566" w:leader="none"/>
        </w:tabs>
        <w:jc w:val="center"/>
        <w:rPr>
          <w:b/>
          <w:color w:val="000000"/>
          <w:spacing w:val="-4"/>
          <w:sz w:val="22"/>
          <w:szCs w:val="22"/>
        </w:rPr>
      </w:pPr>
      <w:r>
        <w:rPr>
          <w:b/>
          <w:color w:val="000000"/>
          <w:spacing w:val="-4"/>
          <w:sz w:val="22"/>
          <w:szCs w:val="22"/>
        </w:rPr>
        <w:t xml:space="preserve"> </w:t>
      </w:r>
      <w:r>
        <w:rPr>
          <w:b/>
          <w:color w:val="000000"/>
          <w:spacing w:val="-4"/>
          <w:sz w:val="22"/>
          <w:szCs w:val="22"/>
        </w:rPr>
        <w:t>Форс-мажор</w:t>
      </w:r>
    </w:p>
    <w:p>
      <w:pPr>
        <w:pStyle w:val="2"/>
        <w:numPr>
          <w:ilvl w:val="0"/>
        </w:numPr>
        <w:spacing w:lineRule="auto" w:line="240" w:before="0" w:after="0"/>
        <w:rPr>
          <w:b/>
          <w:color w:val="000000"/>
          <w:spacing w:val="-4"/>
          <w:sz w:val="22"/>
          <w:szCs w:val="22"/>
        </w:rPr>
      </w:pPr>
      <w:r>
        <w:rPr>
          <w:rFonts w:cs="Times New Roman" w:ascii="Times New Roman" w:hAnsi="Times New Roman"/>
          <w:szCs w:val="22"/>
          <w:lang w:val="ru-RU"/>
        </w:rPr>
        <w:t>7.1.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забастовки, гражданские беспорядки, изменения в законодательстве Российской Федерации, а также принятие обязательных к исполнению нормативных актов, препятствующих одной из Сторон исполнить свои обязательства по Договору.</w:t>
      </w:r>
    </w:p>
    <w:p>
      <w:pPr>
        <w:pStyle w:val="2"/>
        <w:spacing w:lineRule="auto" w:line="240" w:before="0" w:after="0"/>
        <w:rPr>
          <w:b/>
          <w:color w:val="000000"/>
          <w:spacing w:val="-4"/>
          <w:sz w:val="22"/>
          <w:szCs w:val="22"/>
        </w:rPr>
      </w:pPr>
      <w:r>
        <w:rPr>
          <w:rFonts w:cs="Times New Roman" w:ascii="Times New Roman" w:hAnsi="Times New Roman"/>
          <w:szCs w:val="22"/>
          <w:lang w:val="ru-RU"/>
        </w:rPr>
        <w:t>7.2. Сторона имеет право ссылаться на обстоятельства, упомянутые в п. 7.1 Договора, (далее - форс-мажорные обстоятельства или обстоятельства форс-мажора), только в случае, если такие обстоятельства непосредственно повлияли на возможность исполнения этой Стороной условий Договора.</w:t>
      </w:r>
    </w:p>
    <w:p>
      <w:pPr>
        <w:pStyle w:val="2"/>
        <w:spacing w:lineRule="auto" w:line="240" w:before="0" w:after="0"/>
        <w:rPr>
          <w:b/>
          <w:color w:val="000000"/>
          <w:spacing w:val="-4"/>
          <w:sz w:val="22"/>
          <w:szCs w:val="22"/>
        </w:rPr>
      </w:pPr>
      <w:r>
        <w:rPr>
          <w:rFonts w:cs="Times New Roman" w:ascii="Times New Roman" w:hAnsi="Times New Roman"/>
          <w:szCs w:val="22"/>
          <w:lang w:val="ru-RU"/>
        </w:rPr>
        <w:t>7.3. Сторона, для которой наступили обстоятельства невозможности исполнения своих обязательств по Договору, должна письменно известить другую Сторону о наступлении и планируемом прекращении вышеуказанных обстоятельств, но не позднее 5 (пяти) календарных дней с даты их возникновения.</w:t>
      </w:r>
    </w:p>
    <w:p>
      <w:pPr>
        <w:pStyle w:val="2"/>
        <w:spacing w:lineRule="auto" w:line="240" w:before="0" w:after="0"/>
        <w:rPr>
          <w:b/>
          <w:color w:val="000000"/>
          <w:spacing w:val="-4"/>
          <w:sz w:val="22"/>
          <w:szCs w:val="22"/>
        </w:rPr>
      </w:pPr>
      <w:r>
        <w:rPr>
          <w:rFonts w:cs="Times New Roman" w:ascii="Times New Roman" w:hAnsi="Times New Roman"/>
          <w:szCs w:val="22"/>
          <w:lang w:val="ru-RU"/>
        </w:rPr>
        <w:t>7.4. Извещение об обстоятельствах форс-мажора, не сделанное в течение указанного срока, лишает соответствующую Сторону права в дальнейшем ссылаться на эти обстоятельства как на основание, освобождающее от ответственности за неисполнение либо ненадлежащее исполнение обязательств по Договору.</w:t>
      </w:r>
    </w:p>
    <w:p>
      <w:pPr>
        <w:pStyle w:val="11"/>
        <w:spacing w:lineRule="auto" w:line="240" w:before="0" w:after="0"/>
        <w:rPr>
          <w:b/>
          <w:color w:val="000000"/>
          <w:spacing w:val="-4"/>
          <w:sz w:val="22"/>
          <w:szCs w:val="22"/>
        </w:rPr>
      </w:pPr>
      <w:r>
        <w:rPr>
          <w:rFonts w:cs="Times New Roman" w:ascii="Times New Roman" w:hAnsi="Times New Roman"/>
          <w:szCs w:val="22"/>
          <w:lang w:val="ru-RU"/>
        </w:rPr>
        <w:t>7.5. Письменное уведомление Торгово-промышленной палаты является достаточным подтверждением действия и длительности форс-мажорных обстоятельств.</w:t>
      </w:r>
    </w:p>
    <w:p>
      <w:pPr>
        <w:pStyle w:val="2"/>
        <w:spacing w:lineRule="auto" w:line="240" w:before="0" w:after="0"/>
        <w:rPr>
          <w:b/>
          <w:color w:val="000000"/>
          <w:spacing w:val="-4"/>
          <w:sz w:val="22"/>
          <w:szCs w:val="22"/>
        </w:rPr>
      </w:pPr>
      <w:r>
        <w:rPr>
          <w:rFonts w:cs="Times New Roman" w:ascii="Times New Roman" w:hAnsi="Times New Roman"/>
          <w:szCs w:val="22"/>
          <w:lang w:val="ru-RU"/>
        </w:rPr>
        <w:t>7.6. 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w:t>
      </w:r>
    </w:p>
    <w:p>
      <w:pPr>
        <w:pStyle w:val="2"/>
        <w:spacing w:lineRule="auto" w:line="240" w:before="0" w:after="0"/>
        <w:rPr>
          <w:b/>
          <w:color w:val="000000"/>
          <w:spacing w:val="-4"/>
          <w:sz w:val="22"/>
          <w:szCs w:val="22"/>
        </w:rPr>
      </w:pPr>
      <w:r>
        <w:rPr>
          <w:b/>
          <w:color w:val="000000"/>
          <w:spacing w:val="-4"/>
          <w:sz w:val="22"/>
          <w:szCs w:val="22"/>
        </w:rPr>
      </w:r>
    </w:p>
    <w:p>
      <w:pPr>
        <w:pStyle w:val="Normal"/>
        <w:jc w:val="center"/>
        <w:rPr>
          <w:b/>
          <w:color w:val="000000"/>
          <w:spacing w:val="-4"/>
          <w:sz w:val="22"/>
          <w:szCs w:val="22"/>
        </w:rPr>
      </w:pPr>
      <w:r>
        <w:rPr>
          <w:b/>
          <w:sz w:val="22"/>
          <w:szCs w:val="22"/>
          <w:lang w:val="ru-RU" w:eastAsia="en-US"/>
        </w:rPr>
        <w:t>8.  Исключительные права и патенты</w:t>
      </w:r>
    </w:p>
    <w:p>
      <w:pPr>
        <w:pStyle w:val="Normal"/>
        <w:snapToGrid w:val="false"/>
        <w:jc w:val="both"/>
        <w:rPr>
          <w:b/>
          <w:color w:val="000000"/>
          <w:spacing w:val="-4"/>
          <w:sz w:val="22"/>
          <w:szCs w:val="22"/>
        </w:rPr>
      </w:pPr>
      <w:r>
        <w:rPr>
          <w:sz w:val="22"/>
          <w:szCs w:val="22"/>
          <w:lang w:val="ru-RU"/>
        </w:rPr>
        <w:t>8.1. Исполнитель гарантирует, что оказание Услуг, предусмотренных Договором, а также передача Заказчику их результата не нарушают и не будут нарушать исключительных прав третьих лиц, в том числе авторских, патентных и др.</w:t>
      </w:r>
    </w:p>
    <w:p>
      <w:pPr>
        <w:pStyle w:val="Normal"/>
        <w:snapToGrid w:val="false"/>
        <w:jc w:val="both"/>
        <w:rPr>
          <w:b/>
          <w:color w:val="000000"/>
          <w:spacing w:val="-4"/>
          <w:sz w:val="22"/>
          <w:szCs w:val="22"/>
        </w:rPr>
      </w:pPr>
      <w:r>
        <w:rPr>
          <w:sz w:val="22"/>
          <w:szCs w:val="22"/>
          <w:lang w:val="ru-RU"/>
        </w:rPr>
        <w:t>8.2.</w:t>
        <w:tab/>
        <w:t xml:space="preserve">Исполнитель вправе использовать при оказании Услуг объекты интеллектуальной собственности, принадлежащие третьим лицам, только если он получил на это соответствующие разрешения (лицензии) этих лиц. </w:t>
      </w:r>
    </w:p>
    <w:p>
      <w:pPr>
        <w:pStyle w:val="Normal"/>
        <w:spacing w:before="0" w:after="160"/>
        <w:jc w:val="both"/>
        <w:rPr>
          <w:b/>
          <w:color w:val="000000"/>
          <w:spacing w:val="-4"/>
          <w:sz w:val="22"/>
          <w:szCs w:val="22"/>
        </w:rPr>
      </w:pPr>
      <w:r>
        <w:rPr>
          <w:sz w:val="22"/>
          <w:szCs w:val="22"/>
          <w:lang w:val="ru-RU"/>
        </w:rPr>
        <w:t>8.3.</w:t>
        <w:tab/>
        <w:t>Если Заказчику будут предъявлены требования, связанные с тем, что при оказании Услуг по Договору Исполнителем нарушены исключительные права третьих лиц, Исполнитель полностью возместит Заказчику все убытки, связанные с такими требованиями, включая расходы на юридических консультантов.</w:t>
      </w:r>
    </w:p>
    <w:p>
      <w:pPr>
        <w:pStyle w:val="Normal"/>
        <w:jc w:val="center"/>
        <w:rPr>
          <w:b/>
          <w:color w:val="000000"/>
          <w:spacing w:val="-4"/>
          <w:sz w:val="22"/>
          <w:szCs w:val="22"/>
        </w:rPr>
      </w:pPr>
      <w:r>
        <w:rPr>
          <w:b/>
          <w:sz w:val="22"/>
          <w:szCs w:val="22"/>
          <w:lang w:val="ru-RU" w:eastAsia="en-US"/>
        </w:rPr>
        <w:t>9. Конфиденциальность</w:t>
      </w:r>
    </w:p>
    <w:p>
      <w:pPr>
        <w:pStyle w:val="Normal"/>
        <w:widowControl w:val="false"/>
        <w:shd w:val="clear" w:fill="FFFFFF"/>
        <w:tabs>
          <w:tab w:val="clear" w:pos="708"/>
          <w:tab w:val="left" w:pos="1134" w:leader="none"/>
        </w:tabs>
        <w:jc w:val="both"/>
        <w:rPr>
          <w:b/>
          <w:color w:val="000000"/>
          <w:spacing w:val="-4"/>
          <w:sz w:val="22"/>
          <w:szCs w:val="22"/>
        </w:rPr>
      </w:pPr>
      <w:r>
        <w:rPr>
          <w:sz w:val="22"/>
          <w:szCs w:val="22"/>
          <w:lang w:val="ru-RU" w:eastAsia="en-US"/>
        </w:rPr>
        <w:t xml:space="preserve"> </w:t>
      </w:r>
      <w:r>
        <w:rPr>
          <w:bCs/>
          <w:sz w:val="22"/>
          <w:szCs w:val="22"/>
          <w:lang w:val="ru-RU"/>
        </w:rPr>
        <w:t>9.1.</w:t>
        <w:tab/>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данная Информация имеет действительную или потенциальную коммерческую ценность для Заказчика в силу неизвестности ее третьим лицам;</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 xml:space="preserve">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 </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9.2.</w:t>
        <w:tab/>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9.3.</w:t>
        <w:tab/>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9.4.</w:t>
        <w:tab/>
        <w:t>На документ, содержащий Информацию, Заказчиком может быть нанесен гриф «Коммерческая тайна» с указанием обладателя этой информации.</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9.5.</w:t>
        <w:tab/>
        <w:t>Информация, подлежащая сохранению в тайне и неразглашению, может включать в себя, без ограничения приведенным перечнем:</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финансовую отчетность;</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учетные регистры бухгалтерского учета;</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бизнес-планы;</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договоры и соглашения, заключаемые или заключенные непосредственно Заказчиком либо в его пользу, а также информацию и сведения, содержащиеся в данных договорах и соглашениях;</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сведения о финансовых, правовых, организационных и других взаимоотношениях между Заказчиком и третьими лицами;</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сведения о подрядчиках, поставщиках оборудования, сырья и материалов, а также о покупателях продукции и их аффилированных лицах;</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сведения об объемах производства и/или реализации продукции и услуг Заказчика или его аффилированных лиц;</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w:t>
        <w:tab/>
        <w:t>материалы обобщения, анализа, оценки, иных действий по обработке вышеуказанной Информации и документов.</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w:t>
        <w:tab/>
        <w:t xml:space="preserve">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9.6.1.</w:t>
        <w:tab/>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если иное не предусмотрено законодательством Российской Федерации и п. 9.6.7 Договора;</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9.6.2.</w:t>
        <w:tab/>
        <w:t>принимать меры предосторожности, обычно используемые для защиты такого рода информации в деловом обороте, однако, если в организации Исполнителя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Исполнитель обязан использовать в отношении защиты Информации обычно используемые им меры защиты;</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9.6.3.</w:t>
        <w:tab/>
        <w:t xml:space="preserve">использовать Информацию исключительно для целей, для которых она была предоставлена; </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9.6.4.</w:t>
        <w:tab/>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9.6.5.</w:t>
        <w:tab/>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несанкционированного раскрытия;</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9.6.6.</w:t>
        <w:tab/>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9.6.7.</w:t>
        <w:tab/>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9.6.8.</w:t>
        <w:tab/>
        <w:t>не разглашать третьим лицам факта передачи или получения Информации.</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9.7.</w:t>
        <w:tab/>
        <w:t>Исполнитель, нарушивший условия настоящего раздела Договора, возмещает Заказчику все понесенные расходы и убытки, вызванные таким нарушением, в течение 10 (десяти) календарных дней с даты получения соответствующего требования.</w:t>
      </w:r>
    </w:p>
    <w:p>
      <w:pPr>
        <w:pStyle w:val="Normal"/>
        <w:widowControl w:val="false"/>
        <w:shd w:val="clear" w:fill="FFFFFF"/>
        <w:tabs>
          <w:tab w:val="clear" w:pos="708"/>
          <w:tab w:val="left" w:pos="1134" w:leader="none"/>
        </w:tabs>
        <w:jc w:val="both"/>
        <w:rPr>
          <w:b/>
          <w:color w:val="000000"/>
          <w:spacing w:val="-4"/>
          <w:sz w:val="22"/>
          <w:szCs w:val="22"/>
        </w:rPr>
      </w:pPr>
      <w:r>
        <w:rPr>
          <w:bCs/>
          <w:sz w:val="22"/>
          <w:szCs w:val="22"/>
          <w:lang w:val="ru-RU"/>
        </w:rPr>
        <w:t>9.8.</w:t>
        <w:tab/>
        <w:t xml:space="preserve">Исполнитель обязуется в договорах с соисполнителями обеспечить повторение условий Договора в части соблюдения режима конфиденциальности. </w:t>
      </w:r>
    </w:p>
    <w:p>
      <w:pPr>
        <w:pStyle w:val="Normal"/>
        <w:spacing w:before="0" w:after="160"/>
        <w:jc w:val="both"/>
        <w:rPr>
          <w:b/>
          <w:color w:val="000000"/>
          <w:spacing w:val="-4"/>
          <w:sz w:val="22"/>
          <w:szCs w:val="22"/>
        </w:rPr>
      </w:pPr>
      <w:r>
        <w:rPr>
          <w:bCs/>
          <w:sz w:val="22"/>
          <w:szCs w:val="22"/>
          <w:lang w:val="ru-RU"/>
        </w:rPr>
        <w:t>9.9.</w:t>
        <w:tab/>
        <w:t>Условия защиты конфиденциальной информации, представляемой Исполнителем Заказчику, могут быть урегулированы отдельно заключаемым Сторонами соглашением.</w:t>
      </w:r>
    </w:p>
    <w:p>
      <w:pPr>
        <w:pStyle w:val="2"/>
        <w:numPr>
          <w:ilvl w:val="0"/>
          <w:numId w:val="4"/>
        </w:numPr>
        <w:spacing w:lineRule="auto" w:line="240" w:before="0" w:after="0"/>
        <w:jc w:val="center"/>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t>Уведомления</w:t>
      </w:r>
    </w:p>
    <w:p>
      <w:pPr>
        <w:pStyle w:val="2"/>
        <w:numPr>
          <w:ilvl w:val="0"/>
        </w:numPr>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10.1. Обмен сведениями между Сторонами по любым вопросам, связанным с настоящим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10.2. Документ будет считаться полученным:</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10.2.1. в случае вручения лично или отправления по почте заказным письмом - в дату и время фактического вручения;</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10.2.2. в случае передачи по факсимильной связи - в дату и время отправления, подтвержденного протоколом передачи, распечатанным факсимильным аппаратом отправителя. В случае, если передача по факсимильной связи осуществляется вне обычных рабочих часов, документ будет считаться полученным в 10.00 следующего рабочего дня.</w:t>
      </w:r>
    </w:p>
    <w:p>
      <w:pPr>
        <w:pStyle w:val="2"/>
        <w:spacing w:lineRule="auto" w:line="240" w:before="0" w:after="0"/>
        <w:jc w:val="center"/>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r>
    </w:p>
    <w:p>
      <w:pPr>
        <w:pStyle w:val="2"/>
        <w:numPr>
          <w:ilvl w:val="0"/>
          <w:numId w:val="7"/>
        </w:numPr>
        <w:spacing w:lineRule="auto" w:line="240" w:before="0" w:after="0"/>
        <w:jc w:val="center"/>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t>Заключительные положения</w:t>
      </w:r>
    </w:p>
    <w:p>
      <w:pPr>
        <w:pStyle w:val="Normal"/>
        <w:numPr>
          <w:ilvl w:val="0"/>
        </w:numPr>
        <w:jc w:val="both"/>
        <w:rPr>
          <w:rFonts w:ascii="Times New Roman" w:hAnsi="Times New Roman" w:cs="Times New Roman"/>
          <w:b/>
          <w:bCs/>
          <w:color w:val="000000"/>
          <w:spacing w:val="-17"/>
          <w:szCs w:val="22"/>
          <w:lang w:val="ru-RU"/>
        </w:rPr>
      </w:pPr>
      <w:r>
        <w:rPr>
          <w:sz w:val="22"/>
          <w:szCs w:val="22"/>
          <w:lang w:val="ru-RU"/>
        </w:rPr>
        <w:t xml:space="preserve">11.1. </w:t>
      </w:r>
      <w:r>
        <w:rPr>
          <w:bCs/>
          <w:sz w:val="22"/>
          <w:szCs w:val="22"/>
          <w:lang w:val="ru-RU"/>
        </w:rPr>
        <w:t>Договор вступает в силу с момента его подписания Сторонами</w:t>
      </w:r>
      <w:r>
        <w:rPr>
          <w:sz w:val="22"/>
          <w:szCs w:val="22"/>
          <w:lang w:val="ru-RU"/>
        </w:rPr>
        <w:t xml:space="preserve"> </w:t>
      </w:r>
      <w:r>
        <w:rPr>
          <w:bCs/>
          <w:sz w:val="22"/>
          <w:szCs w:val="22"/>
          <w:lang w:val="ru-RU"/>
        </w:rPr>
        <w:t>и действует полного исполнения принятых на себя обязательств.</w:t>
      </w:r>
    </w:p>
    <w:p>
      <w:pPr>
        <w:pStyle w:val="Style19"/>
        <w:tabs>
          <w:tab w:val="clear" w:pos="708"/>
        </w:tabs>
        <w:rPr>
          <w:rFonts w:ascii="Times New Roman" w:hAnsi="Times New Roman" w:cs="Times New Roman"/>
          <w:b/>
          <w:bCs/>
          <w:color w:val="000000"/>
          <w:spacing w:val="-17"/>
          <w:szCs w:val="22"/>
          <w:lang w:val="ru-RU"/>
        </w:rPr>
      </w:pPr>
      <w:r>
        <w:rPr>
          <w:rFonts w:cs="Times New Roman" w:ascii="Times New Roman" w:hAnsi="Times New Roman"/>
          <w:sz w:val="22"/>
          <w:szCs w:val="22"/>
        </w:rPr>
        <w:t>11.2. Исполнитель не вправе передавать свои права и обязанности по Договору третьим лицам без предварительного письменного согласия Заказчика.</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11.3. Дополнения и изменения Договора должны согласовываться между сторонами и оформляться в виде дополнительного соглашения Договору, подписываемого уполномоченными представителями сторон.</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11.4. Все Приложения к Договору являются его неотъемлемыми частями.</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 xml:space="preserve">11.5. Все положения Договора трактуются и применяются в соответствии с законодательством Российской Федерации. </w:t>
      </w:r>
    </w:p>
    <w:p>
      <w:pPr>
        <w:pStyle w:val="2"/>
        <w:spacing w:lineRule="auto" w:line="240" w:before="0" w:after="0"/>
        <w:rPr>
          <w:rFonts w:ascii="Times New Roman" w:hAnsi="Times New Roman" w:cs="Times New Roman"/>
          <w:b/>
          <w:bCs/>
          <w:color w:val="000000"/>
          <w:spacing w:val="-17"/>
          <w:szCs w:val="22"/>
          <w:lang w:val="ru-RU"/>
        </w:rPr>
      </w:pPr>
      <w:r>
        <w:rPr>
          <w:rFonts w:cs="Times New Roman" w:ascii="Times New Roman" w:hAnsi="Times New Roman"/>
          <w:szCs w:val="22"/>
          <w:lang w:val="ru-RU"/>
        </w:rPr>
        <w:t>11.6. Договор составлен в 2 (двух) подлинных экземплярах, по одному для каждой из Сторон.</w:t>
      </w:r>
    </w:p>
    <w:p>
      <w:pPr>
        <w:pStyle w:val="Normal"/>
        <w:shd w:val="clear" w:fill="FFFFFF"/>
        <w:rPr>
          <w:rFonts w:ascii="Times New Roman" w:hAnsi="Times New Roman" w:cs="Times New Roman"/>
          <w:b/>
          <w:bCs/>
          <w:color w:val="000000"/>
          <w:spacing w:val="-17"/>
          <w:szCs w:val="22"/>
          <w:lang w:val="ru-RU"/>
        </w:rPr>
      </w:pPr>
      <w:r>
        <w:rPr>
          <w:rFonts w:cs="Times New Roman"/>
          <w:b/>
          <w:bCs/>
          <w:color w:val="000000"/>
          <w:spacing w:val="-17"/>
          <w:szCs w:val="22"/>
          <w:lang w:val="ru-RU"/>
        </w:rPr>
      </w:r>
    </w:p>
    <w:p>
      <w:pPr>
        <w:pStyle w:val="Style27"/>
        <w:numPr>
          <w:ilvl w:val="0"/>
          <w:numId w:val="7"/>
        </w:numPr>
        <w:shd w:val="clear" w:fill="FFFFFF"/>
        <w:tabs>
          <w:tab w:val="clear" w:pos="708"/>
          <w:tab w:val="left" w:pos="259" w:leader="none"/>
        </w:tabs>
        <w:jc w:val="center"/>
        <w:rPr>
          <w:b/>
          <w:sz w:val="22"/>
          <w:szCs w:val="22"/>
        </w:rPr>
      </w:pPr>
      <w:r>
        <w:rPr>
          <w:b/>
          <w:sz w:val="22"/>
          <w:szCs w:val="22"/>
        </w:rPr>
        <w:t>Список приложений</w:t>
      </w:r>
    </w:p>
    <w:p>
      <w:pPr>
        <w:pStyle w:val="Normal"/>
        <w:numPr>
          <w:ilvl w:val="0"/>
        </w:numPr>
        <w:rPr>
          <w:b/>
          <w:sz w:val="22"/>
          <w:szCs w:val="22"/>
        </w:rPr>
      </w:pPr>
      <w:r>
        <w:rPr>
          <w:sz w:val="22"/>
          <w:szCs w:val="22"/>
          <w:lang w:val="ru-RU"/>
        </w:rPr>
        <w:t xml:space="preserve">Приложение № 1 - Техническое задание на </w:t>
      </w:r>
      <w:r>
        <w:rPr>
          <w:sz w:val="22"/>
          <w:szCs w:val="22"/>
          <w:lang w:val="ru-RU"/>
        </w:rPr>
        <w:t>__</w:t>
      </w:r>
      <w:r>
        <w:rPr>
          <w:sz w:val="22"/>
          <w:szCs w:val="22"/>
          <w:lang w:val="ru-RU"/>
        </w:rPr>
        <w:t xml:space="preserve"> листах.</w:t>
      </w:r>
    </w:p>
    <w:p>
      <w:pPr>
        <w:pStyle w:val="Normal"/>
        <w:rPr>
          <w:b/>
          <w:sz w:val="22"/>
          <w:szCs w:val="22"/>
        </w:rPr>
      </w:pPr>
      <w:r>
        <w:rPr>
          <w:sz w:val="22"/>
          <w:szCs w:val="22"/>
          <w:lang w:val="ru-RU"/>
        </w:rPr>
        <w:t>Приложение № 2 – Расчет стоимости оказания Услуг на 1 листе.</w:t>
      </w:r>
    </w:p>
    <w:p>
      <w:pPr>
        <w:pStyle w:val="Normal"/>
        <w:rPr>
          <w:b/>
          <w:sz w:val="22"/>
          <w:szCs w:val="22"/>
        </w:rPr>
      </w:pPr>
      <w:r>
        <w:rPr>
          <w:sz w:val="22"/>
          <w:szCs w:val="22"/>
          <w:lang w:val="ru-RU"/>
        </w:rPr>
        <w:t>Приложение № 3 - Форма Акта сдачи-приемки Услуг на 1 листе.</w:t>
      </w:r>
    </w:p>
    <w:p>
      <w:pPr>
        <w:pStyle w:val="Normal"/>
        <w:jc w:val="both"/>
        <w:rPr>
          <w:b/>
          <w:sz w:val="22"/>
          <w:szCs w:val="22"/>
        </w:rPr>
      </w:pPr>
      <w:r>
        <w:rPr>
          <w:sz w:val="22"/>
          <w:szCs w:val="22"/>
          <w:lang w:val="ru-RU"/>
        </w:rPr>
        <w:t>Приложение № 4 - Размер ответственности Исполнителя за нарушения пропускного и внутриобъектового режима, требований охраны труда, промышленной безопасности, пожарной безопасности, охраны окружающей среды, санитарно-эпидемиологических правил и норм на 1 листе.</w:t>
      </w:r>
    </w:p>
    <w:p>
      <w:pPr>
        <w:pStyle w:val="Style17"/>
        <w:spacing w:lineRule="auto" w:line="240" w:before="0" w:after="0"/>
        <w:jc w:val="center"/>
        <w:rPr>
          <w:b/>
          <w:sz w:val="22"/>
          <w:szCs w:val="22"/>
        </w:rPr>
      </w:pPr>
      <w:r>
        <w:rPr>
          <w:b/>
          <w:sz w:val="22"/>
          <w:szCs w:val="22"/>
        </w:rPr>
      </w:r>
    </w:p>
    <w:p>
      <w:pPr>
        <w:pStyle w:val="Style17"/>
        <w:numPr>
          <w:ilvl w:val="0"/>
          <w:numId w:val="7"/>
        </w:numPr>
        <w:spacing w:lineRule="auto" w:line="240" w:before="0" w:after="0"/>
        <w:jc w:val="center"/>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t>Адреса и платежные реквизиты сторон</w:t>
      </w:r>
    </w:p>
    <w:p>
      <w:pPr>
        <w:pStyle w:val="Style17"/>
        <w:numPr>
          <w:ilvl w:val="0"/>
        </w:numPr>
        <w:spacing w:lineRule="auto" w:line="240" w:before="0" w:after="0"/>
        <w:ind w:left="1080" w:hanging="0"/>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r>
    </w:p>
    <w:tbl>
      <w:tblPr>
        <w:tblW w:w="9464" w:type="dxa"/>
        <w:jc w:val="left"/>
        <w:tblInd w:w="0" w:type="dxa"/>
        <w:tblLayout w:type="fixed"/>
        <w:tblCellMar>
          <w:top w:w="0" w:type="dxa"/>
          <w:left w:w="108" w:type="dxa"/>
          <w:bottom w:w="0" w:type="dxa"/>
          <w:right w:w="108" w:type="dxa"/>
        </w:tblCellMar>
      </w:tblPr>
      <w:tblGrid>
        <w:gridCol w:w="4820"/>
        <w:gridCol w:w="4643"/>
      </w:tblGrid>
      <w:tr>
        <w:trPr/>
        <w:tc>
          <w:tcPr>
            <w:tcW w:w="4820" w:type="dxa"/>
            <w:tcBorders/>
          </w:tcPr>
          <w:p>
            <w:pPr>
              <w:pStyle w:val="Normal"/>
              <w:widowControl w:val="false"/>
              <w:rPr>
                <w:b/>
                <w:sz w:val="22"/>
                <w:szCs w:val="22"/>
              </w:rPr>
            </w:pPr>
            <w:r>
              <w:rPr>
                <w:b/>
                <w:sz w:val="22"/>
                <w:szCs w:val="22"/>
              </w:rPr>
              <w:t>ЗАКАЗЧИК:</w:t>
            </w:r>
          </w:p>
        </w:tc>
        <w:tc>
          <w:tcPr>
            <w:tcW w:w="4643" w:type="dxa"/>
            <w:tcBorders/>
          </w:tcPr>
          <w:p>
            <w:pPr>
              <w:pStyle w:val="Normal"/>
              <w:widowControl w:val="false"/>
              <w:rPr/>
            </w:pPr>
            <w:r>
              <w:rPr>
                <w:b/>
                <w:sz w:val="22"/>
                <w:szCs w:val="22"/>
                <w:lang w:val="ru-RU"/>
              </w:rPr>
              <w:t>ИСПОЛНИТЕЛЬ</w:t>
            </w:r>
            <w:r>
              <w:rPr>
                <w:b/>
                <w:sz w:val="22"/>
                <w:szCs w:val="22"/>
              </w:rPr>
              <w:t>:</w:t>
            </w:r>
          </w:p>
        </w:tc>
      </w:tr>
      <w:tr>
        <w:trPr/>
        <w:tc>
          <w:tcPr>
            <w:tcW w:w="4820" w:type="dxa"/>
            <w:tcBorders/>
          </w:tcPr>
          <w:p>
            <w:pPr>
              <w:pStyle w:val="Normal"/>
              <w:widowControl w:val="false"/>
              <w:rPr>
                <w:b/>
                <w:sz w:val="22"/>
                <w:szCs w:val="22"/>
                <w:lang w:val="ru-RU"/>
              </w:rPr>
            </w:pPr>
            <w:r>
              <w:rPr>
                <w:b/>
                <w:sz w:val="22"/>
                <w:szCs w:val="22"/>
                <w:lang w:val="ru-RU"/>
              </w:rPr>
              <w:t>Публичное акционерное общество</w:t>
            </w:r>
          </w:p>
          <w:p>
            <w:pPr>
              <w:pStyle w:val="Normal"/>
              <w:widowControl w:val="false"/>
              <w:rPr>
                <w:b/>
                <w:sz w:val="22"/>
                <w:szCs w:val="22"/>
                <w:lang w:val="ru-RU"/>
              </w:rPr>
            </w:pPr>
            <w:r>
              <w:rPr>
                <w:b/>
                <w:sz w:val="22"/>
                <w:szCs w:val="22"/>
                <w:lang w:val="ru-RU"/>
              </w:rPr>
              <w:t>«Федеральная гидрогенерирующая компания - РусГидро»</w:t>
            </w:r>
          </w:p>
          <w:p>
            <w:pPr>
              <w:pStyle w:val="Normal"/>
              <w:widowControl w:val="false"/>
              <w:rPr>
                <w:b/>
                <w:sz w:val="22"/>
                <w:szCs w:val="22"/>
                <w:lang w:val="ru-RU"/>
              </w:rPr>
            </w:pPr>
            <w:r>
              <w:rPr>
                <w:b/>
                <w:sz w:val="22"/>
                <w:szCs w:val="22"/>
                <w:lang w:val="ru-RU"/>
              </w:rPr>
            </w:r>
          </w:p>
          <w:p>
            <w:pPr>
              <w:pStyle w:val="Normal"/>
              <w:widowControl w:val="false"/>
              <w:rPr>
                <w:sz w:val="22"/>
                <w:szCs w:val="22"/>
                <w:lang w:val="ru-RU"/>
              </w:rPr>
            </w:pPr>
            <w:r>
              <w:rPr>
                <w:sz w:val="22"/>
                <w:szCs w:val="22"/>
                <w:lang w:val="ru-RU"/>
              </w:rPr>
              <w:t>Место нахождения: 660049, Красноярский край, г.о. город Красноярск, г. Красноярск, ул. Перенсона, зд. 2а, помещение 1.</w:t>
            </w:r>
          </w:p>
          <w:p>
            <w:pPr>
              <w:pStyle w:val="Normal"/>
              <w:widowControl w:val="false"/>
              <w:rPr>
                <w:sz w:val="22"/>
                <w:szCs w:val="22"/>
                <w:lang w:val="ru-RU"/>
              </w:rPr>
            </w:pPr>
            <w:r>
              <w:rPr>
                <w:sz w:val="22"/>
                <w:szCs w:val="22"/>
                <w:lang w:val="ru-RU"/>
              </w:rPr>
              <w:t>Почтовый адрес: 660049, Красноярский край, г.о. Красноярск, г. Красноярск, ул. Перенсона, зд. 2а, помещение 1.</w:t>
            </w:r>
          </w:p>
          <w:p>
            <w:pPr>
              <w:pStyle w:val="Normal"/>
              <w:widowControl w:val="false"/>
              <w:rPr>
                <w:sz w:val="22"/>
                <w:szCs w:val="22"/>
                <w:lang w:val="ru-RU"/>
              </w:rPr>
            </w:pPr>
            <w:r>
              <w:rPr>
                <w:sz w:val="22"/>
                <w:szCs w:val="22"/>
                <w:lang w:val="ru-RU"/>
              </w:rPr>
              <w:t>Филиал ПАО «РусГидро» - «Жигулевская ГЭС»</w:t>
            </w:r>
          </w:p>
          <w:p>
            <w:pPr>
              <w:pStyle w:val="Normal"/>
              <w:widowControl w:val="false"/>
              <w:rPr>
                <w:sz w:val="22"/>
                <w:szCs w:val="22"/>
                <w:lang w:val="ru-RU"/>
              </w:rPr>
            </w:pPr>
            <w:r>
              <w:rPr>
                <w:sz w:val="22"/>
                <w:szCs w:val="22"/>
                <w:lang w:val="ru-RU"/>
              </w:rPr>
              <w:t>Место нахождения: Российская Федерация, Самарская область, город Жигулевск.</w:t>
            </w:r>
          </w:p>
          <w:p>
            <w:pPr>
              <w:pStyle w:val="Normal"/>
              <w:widowControl w:val="false"/>
              <w:rPr>
                <w:sz w:val="22"/>
                <w:szCs w:val="22"/>
                <w:lang w:val="ru-RU"/>
              </w:rPr>
            </w:pPr>
            <w:r>
              <w:rPr>
                <w:sz w:val="22"/>
                <w:szCs w:val="22"/>
                <w:lang w:val="ru-RU"/>
              </w:rPr>
              <w:t>Почтовый адрес: 445350, Самарская область, город Жигулёвск, Московское шоссе,2.</w:t>
            </w:r>
          </w:p>
          <w:p>
            <w:pPr>
              <w:pStyle w:val="Normal"/>
              <w:widowControl w:val="false"/>
              <w:rPr>
                <w:sz w:val="22"/>
                <w:szCs w:val="22"/>
                <w:lang w:val="ru-RU"/>
              </w:rPr>
            </w:pPr>
            <w:r>
              <w:rPr>
                <w:sz w:val="22"/>
                <w:szCs w:val="22"/>
                <w:lang w:val="ru-RU"/>
              </w:rPr>
              <w:t>Тел/факс. (84862) 21587</w:t>
            </w:r>
          </w:p>
          <w:p>
            <w:pPr>
              <w:pStyle w:val="Normal"/>
              <w:widowControl w:val="false"/>
              <w:rPr>
                <w:sz w:val="22"/>
                <w:szCs w:val="22"/>
                <w:lang w:val="ru-RU"/>
              </w:rPr>
            </w:pPr>
            <w:r>
              <w:rPr>
                <w:sz w:val="22"/>
                <w:szCs w:val="22"/>
                <w:lang w:val="ru-RU"/>
              </w:rPr>
              <w:t>ИНН/КПП 2460066195 / 634502001</w:t>
            </w:r>
          </w:p>
          <w:p>
            <w:pPr>
              <w:pStyle w:val="Normal"/>
              <w:widowControl w:val="false"/>
              <w:rPr>
                <w:sz w:val="22"/>
                <w:szCs w:val="22"/>
                <w:lang w:val="ru-RU"/>
              </w:rPr>
            </w:pPr>
            <w:r>
              <w:rPr>
                <w:sz w:val="22"/>
                <w:szCs w:val="22"/>
                <w:lang w:val="ru-RU"/>
              </w:rPr>
              <w:t>ОГРН 1042401810494</w:t>
            </w:r>
          </w:p>
          <w:p>
            <w:pPr>
              <w:pStyle w:val="Normal"/>
              <w:widowControl w:val="false"/>
              <w:rPr>
                <w:sz w:val="22"/>
                <w:szCs w:val="22"/>
                <w:lang w:val="ru-RU"/>
              </w:rPr>
            </w:pPr>
            <w:r>
              <w:rPr>
                <w:sz w:val="22"/>
                <w:szCs w:val="22"/>
                <w:lang w:val="ru-RU"/>
              </w:rPr>
              <w:t>Р/с 407 02 810 0 5404 0002491 в Поволжском банке Сбербанка РФ г. Самара</w:t>
            </w:r>
          </w:p>
          <w:p>
            <w:pPr>
              <w:pStyle w:val="Normal"/>
              <w:widowControl w:val="false"/>
              <w:rPr>
                <w:sz w:val="22"/>
                <w:szCs w:val="22"/>
                <w:lang w:val="ru-RU"/>
              </w:rPr>
            </w:pPr>
            <w:r>
              <w:rPr>
                <w:sz w:val="22"/>
                <w:szCs w:val="22"/>
                <w:lang w:val="ru-RU"/>
              </w:rPr>
              <w:t>к/с 301 01 810 2 0000 0000 607,</w:t>
            </w:r>
          </w:p>
          <w:p>
            <w:pPr>
              <w:pStyle w:val="Normal"/>
              <w:widowControl w:val="false"/>
              <w:rPr>
                <w:sz w:val="22"/>
                <w:szCs w:val="22"/>
                <w:lang w:val="ru-RU"/>
              </w:rPr>
            </w:pPr>
            <w:r>
              <w:rPr>
                <w:sz w:val="22"/>
                <w:szCs w:val="22"/>
                <w:lang w:val="ru-RU"/>
              </w:rPr>
              <w:t>БИК 043601607</w:t>
            </w:r>
          </w:p>
          <w:p>
            <w:pPr>
              <w:pStyle w:val="Normal"/>
              <w:widowControl w:val="false"/>
              <w:rPr>
                <w:sz w:val="22"/>
                <w:szCs w:val="22"/>
                <w:lang w:val="ru-RU"/>
              </w:rPr>
            </w:pPr>
            <w:r>
              <w:rPr>
                <w:sz w:val="22"/>
                <w:szCs w:val="22"/>
                <w:lang w:val="ru-RU"/>
              </w:rPr>
              <w:t xml:space="preserve">эл/адрес: </w:t>
            </w:r>
            <w:hyperlink r:id="rId2">
              <w:r>
                <w:rPr>
                  <w:rStyle w:val="Hyperlink"/>
                  <w:sz w:val="22"/>
                  <w:szCs w:val="22"/>
                  <w:lang w:val="ru-RU"/>
                </w:rPr>
                <w:t>MatveevAV@rushydro.ru</w:t>
              </w:r>
            </w:hyperlink>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r>
          </w:p>
        </w:tc>
        <w:tc>
          <w:tcPr>
            <w:tcW w:w="4643" w:type="dxa"/>
            <w:tcBorders/>
          </w:tcPr>
          <w:p>
            <w:pPr>
              <w:pStyle w:val="Normal"/>
              <w:widowControl w:val="false"/>
              <w:rPr>
                <w:b/>
                <w:sz w:val="22"/>
                <w:szCs w:val="22"/>
                <w:lang w:val="ru-RU"/>
              </w:rPr>
            </w:pPr>
            <w:r>
              <w:rPr>
                <w:b/>
                <w:sz w:val="22"/>
                <w:szCs w:val="22"/>
                <w:lang w:val="ru-RU"/>
              </w:rPr>
              <w:t>________________________</w:t>
            </w:r>
          </w:p>
          <w:p>
            <w:pPr>
              <w:pStyle w:val="Normal"/>
              <w:widowControl w:val="false"/>
              <w:rPr>
                <w:b/>
                <w:sz w:val="22"/>
                <w:szCs w:val="22"/>
                <w:lang w:val="ru-RU"/>
              </w:rPr>
            </w:pPr>
            <w:r>
              <w:rPr/>
            </w:r>
          </w:p>
          <w:p>
            <w:pPr>
              <w:pStyle w:val="Normal"/>
              <w:widowControl w:val="false"/>
              <w:rPr>
                <w:b/>
                <w:sz w:val="22"/>
                <w:szCs w:val="22"/>
                <w:lang w:val="ru-RU"/>
              </w:rPr>
            </w:pPr>
            <w:r>
              <w:rPr>
                <w:b/>
                <w:sz w:val="22"/>
                <w:szCs w:val="22"/>
                <w:lang w:val="ru-RU"/>
              </w:rPr>
            </w:r>
          </w:p>
          <w:p>
            <w:pPr>
              <w:pStyle w:val="Normal"/>
              <w:widowControl w:val="false"/>
              <w:rPr>
                <w:b/>
                <w:sz w:val="22"/>
                <w:szCs w:val="22"/>
                <w:lang w:val="ru-RU"/>
              </w:rPr>
            </w:pPr>
            <w:r>
              <w:rPr>
                <w:b/>
                <w:sz w:val="22"/>
                <w:szCs w:val="22"/>
                <w:lang w:val="ru-RU"/>
              </w:rPr>
            </w:r>
          </w:p>
          <w:p>
            <w:pPr>
              <w:pStyle w:val="Normal"/>
              <w:widowControl w:val="false"/>
              <w:rPr>
                <w:sz w:val="22"/>
                <w:szCs w:val="22"/>
                <w:lang w:val="ru-RU"/>
              </w:rPr>
            </w:pPr>
            <w:r>
              <w:rPr>
                <w:sz w:val="22"/>
                <w:szCs w:val="22"/>
                <w:lang w:val="ru-RU"/>
              </w:rPr>
              <w:t xml:space="preserve">Место нахождения: </w:t>
            </w:r>
          </w:p>
          <w:p>
            <w:pPr>
              <w:pStyle w:val="Normal"/>
              <w:widowControl w:val="false"/>
              <w:rPr>
                <w:sz w:val="22"/>
                <w:szCs w:val="22"/>
                <w:lang w:val="ru-RU"/>
              </w:rPr>
            </w:pPr>
            <w:r>
              <w:rPr>
                <w:sz w:val="22"/>
                <w:szCs w:val="22"/>
                <w:lang w:val="ru-RU"/>
              </w:rPr>
              <w:t xml:space="preserve">Фактический адрес: </w:t>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t xml:space="preserve">ИНН </w:t>
            </w:r>
          </w:p>
          <w:p>
            <w:pPr>
              <w:pStyle w:val="Normal"/>
              <w:widowControl w:val="false"/>
              <w:rPr>
                <w:sz w:val="22"/>
                <w:szCs w:val="22"/>
                <w:lang w:val="ru-RU"/>
              </w:rPr>
            </w:pPr>
            <w:r>
              <w:rPr>
                <w:sz w:val="22"/>
                <w:szCs w:val="22"/>
                <w:lang w:val="ru-RU"/>
              </w:rPr>
              <w:t xml:space="preserve">КПП </w:t>
            </w:r>
          </w:p>
          <w:p>
            <w:pPr>
              <w:pStyle w:val="Normal"/>
              <w:widowControl w:val="false"/>
              <w:rPr>
                <w:sz w:val="22"/>
                <w:szCs w:val="22"/>
                <w:lang w:val="ru-RU"/>
              </w:rPr>
            </w:pPr>
            <w:r>
              <w:rPr>
                <w:sz w:val="22"/>
                <w:szCs w:val="22"/>
                <w:lang w:val="ru-RU"/>
              </w:rPr>
              <w:t xml:space="preserve">ОГРН </w:t>
            </w:r>
          </w:p>
          <w:p>
            <w:pPr>
              <w:pStyle w:val="Normal"/>
              <w:widowControl w:val="false"/>
              <w:rPr>
                <w:sz w:val="22"/>
                <w:szCs w:val="22"/>
                <w:lang w:val="ru-RU"/>
              </w:rPr>
            </w:pPr>
            <w:r>
              <w:rPr>
                <w:sz w:val="22"/>
                <w:szCs w:val="22"/>
                <w:lang w:val="ru-RU"/>
              </w:rPr>
              <w:t xml:space="preserve">Р/с: </w:t>
            </w:r>
          </w:p>
          <w:p>
            <w:pPr>
              <w:pStyle w:val="Normal"/>
              <w:widowControl w:val="false"/>
              <w:rPr>
                <w:sz w:val="22"/>
                <w:szCs w:val="22"/>
                <w:lang w:val="ru-RU"/>
              </w:rPr>
            </w:pPr>
            <w:r>
              <w:rPr>
                <w:sz w:val="22"/>
                <w:szCs w:val="22"/>
                <w:lang w:val="ru-RU"/>
              </w:rPr>
              <w:t xml:space="preserve">к/с: </w:t>
            </w:r>
          </w:p>
          <w:p>
            <w:pPr>
              <w:pStyle w:val="Normal"/>
              <w:widowControl w:val="false"/>
              <w:rPr>
                <w:sz w:val="22"/>
                <w:szCs w:val="22"/>
                <w:lang w:val="ru-RU"/>
              </w:rPr>
            </w:pPr>
            <w:r>
              <w:rPr>
                <w:sz w:val="22"/>
                <w:szCs w:val="22"/>
                <w:lang w:val="ru-RU"/>
              </w:rPr>
              <w:t xml:space="preserve">БИК </w:t>
            </w:r>
          </w:p>
          <w:p>
            <w:pPr>
              <w:pStyle w:val="Normal"/>
              <w:widowControl w:val="false"/>
              <w:rPr>
                <w:b/>
                <w:sz w:val="22"/>
                <w:szCs w:val="22"/>
                <w:lang w:val="ru-RU"/>
              </w:rPr>
            </w:pPr>
            <w:r>
              <w:rPr>
                <w:b/>
                <w:sz w:val="22"/>
                <w:szCs w:val="22"/>
                <w:lang w:val="ru-RU"/>
              </w:rPr>
            </w:r>
          </w:p>
          <w:p>
            <w:pPr>
              <w:pStyle w:val="Normal"/>
              <w:widowControl w:val="false"/>
              <w:rPr>
                <w:b/>
                <w:sz w:val="22"/>
                <w:szCs w:val="22"/>
                <w:lang w:val="ru-RU"/>
              </w:rPr>
            </w:pPr>
            <w:r>
              <w:rPr>
                <w:b/>
                <w:sz w:val="22"/>
                <w:szCs w:val="22"/>
                <w:lang w:val="ru-RU"/>
              </w:rPr>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r>
          </w:p>
          <w:p>
            <w:pPr>
              <w:pStyle w:val="Normal"/>
              <w:widowControl w:val="false"/>
              <w:rPr>
                <w:sz w:val="22"/>
                <w:szCs w:val="22"/>
                <w:lang w:val="ru-RU"/>
              </w:rPr>
            </w:pPr>
            <w:r>
              <w:rPr>
                <w:sz w:val="22"/>
                <w:szCs w:val="22"/>
                <w:lang w:val="ru-RU"/>
              </w:rPr>
            </w:r>
          </w:p>
        </w:tc>
      </w:tr>
      <w:tr>
        <w:trPr/>
        <w:tc>
          <w:tcPr>
            <w:tcW w:w="4820" w:type="dxa"/>
            <w:tcBorders/>
          </w:tcPr>
          <w:p>
            <w:pPr>
              <w:pStyle w:val="Normal"/>
              <w:widowControl w:val="false"/>
              <w:rPr>
                <w:sz w:val="22"/>
                <w:szCs w:val="22"/>
                <w:lang w:val="ru-RU"/>
              </w:rPr>
            </w:pPr>
            <w:r>
              <w:rPr>
                <w:sz w:val="22"/>
                <w:szCs w:val="22"/>
                <w:lang w:val="ru-RU"/>
              </w:rPr>
              <w:t>_______________ / Ше</w:t>
            </w:r>
            <w:r>
              <w:rPr>
                <w:sz w:val="22"/>
                <w:szCs w:val="22"/>
                <w:lang w:val="en-US"/>
              </w:rPr>
              <w:t>пелев В.</w:t>
            </w:r>
            <w:r>
              <w:rPr>
                <w:sz w:val="22"/>
                <w:szCs w:val="22"/>
                <w:lang w:val="ru-RU"/>
              </w:rPr>
              <w:t>В.</w:t>
            </w:r>
          </w:p>
          <w:p>
            <w:pPr>
              <w:pStyle w:val="Normal"/>
              <w:widowControl w:val="false"/>
              <w:rPr>
                <w:sz w:val="22"/>
                <w:szCs w:val="22"/>
                <w:lang w:val="ru-RU"/>
              </w:rPr>
            </w:pPr>
            <w:r>
              <w:rPr>
                <w:sz w:val="22"/>
                <w:szCs w:val="22"/>
                <w:lang w:val="ru-RU"/>
              </w:rPr>
            </w:r>
          </w:p>
        </w:tc>
        <w:tc>
          <w:tcPr>
            <w:tcW w:w="4643" w:type="dxa"/>
            <w:tcBorders/>
          </w:tcPr>
          <w:p>
            <w:pPr>
              <w:pStyle w:val="Normal"/>
              <w:widowControl w:val="false"/>
              <w:rPr>
                <w:sz w:val="22"/>
                <w:szCs w:val="22"/>
                <w:lang w:val="ru-RU"/>
              </w:rPr>
            </w:pPr>
            <w:r>
              <w:rPr>
                <w:sz w:val="22"/>
                <w:szCs w:val="22"/>
                <w:lang w:val="ru-RU"/>
              </w:rPr>
              <w:t xml:space="preserve">_______________ / </w:t>
            </w:r>
            <w:r>
              <w:rPr>
                <w:sz w:val="22"/>
                <w:szCs w:val="22"/>
                <w:lang w:val="ru-RU"/>
              </w:rPr>
              <w:t>_________________</w:t>
            </w:r>
          </w:p>
          <w:p>
            <w:pPr>
              <w:pStyle w:val="Normal"/>
              <w:widowControl w:val="false"/>
              <w:rPr>
                <w:sz w:val="22"/>
                <w:szCs w:val="22"/>
                <w:lang w:val="ru-RU"/>
              </w:rPr>
            </w:pPr>
            <w:r>
              <w:rPr>
                <w:sz w:val="22"/>
                <w:szCs w:val="22"/>
                <w:lang w:val="ru-RU"/>
              </w:rPr>
            </w:r>
          </w:p>
        </w:tc>
      </w:tr>
    </w:tbl>
    <w:p>
      <w:pPr>
        <w:pStyle w:val="Style17"/>
        <w:spacing w:lineRule="auto" w:line="240" w:before="0" w:after="0"/>
        <w:ind w:left="1080" w:hanging="0"/>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r>
      <w:r>
        <w:br w:type="page"/>
      </w:r>
    </w:p>
    <w:p>
      <w:pPr>
        <w:pStyle w:val="Style17"/>
        <w:spacing w:lineRule="auto" w:line="240" w:before="0" w:after="0"/>
        <w:ind w:left="1080" w:hanging="0"/>
        <w:rPr>
          <w:rFonts w:ascii="Times New Roman" w:hAnsi="Times New Roman" w:cs="Times New Roman"/>
          <w:b/>
          <w:bCs/>
          <w:color w:val="000000"/>
          <w:spacing w:val="-17"/>
          <w:szCs w:val="22"/>
          <w:lang w:val="ru-RU"/>
        </w:rPr>
      </w:pPr>
      <w:r>
        <w:rPr>
          <w:rFonts w:cs="Times New Roman" w:ascii="Times New Roman" w:hAnsi="Times New Roman"/>
          <w:b/>
          <w:bCs/>
          <w:color w:val="000000"/>
          <w:spacing w:val="-17"/>
          <w:szCs w:val="22"/>
          <w:lang w:val="ru-RU"/>
        </w:rPr>
      </w:r>
    </w:p>
    <w:p>
      <w:pPr>
        <w:pStyle w:val="Normal"/>
        <w:jc w:val="right"/>
        <w:rPr>
          <w:rFonts w:ascii="Times New Roman" w:hAnsi="Times New Roman" w:cs="Times New Roman"/>
          <w:b/>
          <w:bCs/>
          <w:color w:val="000000"/>
          <w:spacing w:val="-17"/>
          <w:szCs w:val="22"/>
          <w:lang w:val="ru-RU"/>
        </w:rPr>
      </w:pPr>
      <w:r>
        <w:rPr>
          <w:sz w:val="22"/>
          <w:szCs w:val="22"/>
          <w:lang w:val="ru-RU"/>
        </w:rPr>
        <w:t>Приложение № 1</w:t>
      </w:r>
    </w:p>
    <w:p>
      <w:pPr>
        <w:pStyle w:val="Normal"/>
        <w:jc w:val="right"/>
        <w:rPr>
          <w:rFonts w:ascii="Times New Roman" w:hAnsi="Times New Roman" w:cs="Times New Roman"/>
          <w:b/>
          <w:bCs/>
          <w:color w:val="000000"/>
          <w:spacing w:val="-17"/>
          <w:szCs w:val="22"/>
          <w:lang w:val="ru-RU"/>
        </w:rPr>
      </w:pPr>
      <w:r>
        <w:rPr>
          <w:sz w:val="22"/>
          <w:szCs w:val="22"/>
          <w:lang w:val="ru-RU"/>
        </w:rPr>
        <w:t>к договору возмездного оказания услуг</w:t>
      </w:r>
    </w:p>
    <w:p>
      <w:pPr>
        <w:pStyle w:val="Normal"/>
        <w:jc w:val="right"/>
        <w:rPr>
          <w:rFonts w:ascii="Times New Roman" w:hAnsi="Times New Roman" w:cs="Times New Roman"/>
          <w:b/>
          <w:bCs/>
          <w:color w:val="000000"/>
          <w:spacing w:val="-17"/>
          <w:szCs w:val="22"/>
          <w:lang w:val="ru-RU"/>
        </w:rPr>
      </w:pPr>
      <w:r>
        <w:rPr>
          <w:sz w:val="22"/>
          <w:szCs w:val="22"/>
          <w:lang w:val="ru-RU"/>
        </w:rPr>
        <w:t xml:space="preserve">№ </w:t>
      </w:r>
      <w:r>
        <w:rPr>
          <w:sz w:val="22"/>
          <w:szCs w:val="22"/>
          <w:lang w:val="ru-RU"/>
        </w:rPr>
        <w:t>_____________ от «____» __________ 202</w:t>
      </w:r>
      <w:r>
        <w:rPr>
          <w:sz w:val="22"/>
          <w:szCs w:val="22"/>
          <w:lang w:val="en-US"/>
        </w:rPr>
        <w:t>6</w:t>
      </w:r>
      <w:r>
        <w:rPr>
          <w:sz w:val="22"/>
          <w:szCs w:val="22"/>
          <w:lang w:val="ru-RU"/>
        </w:rPr>
        <w:t xml:space="preserve"> г.</w:t>
      </w:r>
    </w:p>
    <w:p>
      <w:pPr>
        <w:pStyle w:val="Normal"/>
        <w:rPr>
          <w:rFonts w:ascii="Times New Roman" w:hAnsi="Times New Roman" w:cs="Times New Roman"/>
          <w:b/>
          <w:bCs/>
          <w:color w:val="000000"/>
          <w:spacing w:val="-17"/>
          <w:szCs w:val="22"/>
          <w:lang w:val="ru-RU"/>
        </w:rPr>
      </w:pPr>
      <w:r>
        <w:rPr>
          <w:rFonts w:cs="Times New Roman"/>
          <w:b/>
          <w:bCs/>
          <w:color w:val="000000"/>
          <w:spacing w:val="-17"/>
          <w:szCs w:val="22"/>
          <w:lang w:val="ru-RU"/>
        </w:rPr>
      </w:r>
    </w:p>
    <w:p>
      <w:pPr>
        <w:pStyle w:val="Normal"/>
        <w:jc w:val="center"/>
        <w:rPr>
          <w:rFonts w:ascii="Times New Roman" w:hAnsi="Times New Roman" w:cs="Times New Roman"/>
          <w:b/>
          <w:bCs/>
          <w:color w:val="000000"/>
          <w:spacing w:val="-17"/>
          <w:szCs w:val="22"/>
          <w:lang w:val="ru-RU"/>
        </w:rPr>
      </w:pPr>
      <w:r>
        <w:rPr>
          <w:b/>
          <w:sz w:val="22"/>
          <w:szCs w:val="22"/>
          <w:lang w:val="ru-RU"/>
        </w:rPr>
        <w:t>ТЕХНИЧЕСКОЕ ЗАДАНИЕ</w:t>
      </w:r>
    </w:p>
    <w:p>
      <w:pPr>
        <w:pStyle w:val="Normal"/>
        <w:jc w:val="center"/>
        <w:rPr>
          <w:rFonts w:ascii="Times New Roman" w:hAnsi="Times New Roman" w:cs="Times New Roman"/>
          <w:b/>
          <w:bCs/>
          <w:color w:val="000000"/>
          <w:spacing w:val="-17"/>
          <w:szCs w:val="22"/>
          <w:lang w:val="ru-RU"/>
        </w:rPr>
      </w:pPr>
      <w:r>
        <w:rPr>
          <w:rFonts w:cs="Times New Roman"/>
          <w:b/>
          <w:bCs/>
          <w:color w:val="000000"/>
          <w:spacing w:val="-17"/>
          <w:szCs w:val="22"/>
          <w:lang w:val="ru-RU"/>
        </w:rPr>
      </w:r>
    </w:p>
    <w:p>
      <w:pPr>
        <w:pStyle w:val="Normal"/>
        <w:jc w:val="center"/>
        <w:rPr>
          <w:rFonts w:ascii="Times New Roman" w:hAnsi="Times New Roman"/>
          <w:sz w:val="24"/>
          <w:szCs w:val="24"/>
        </w:rPr>
      </w:pPr>
      <w:r>
        <w:rPr>
          <w:rFonts w:cs="Times New Roman"/>
          <w:b/>
          <w:bCs/>
          <w:color w:val="000000"/>
          <w:spacing w:val="-17"/>
          <w:sz w:val="24"/>
          <w:szCs w:val="24"/>
          <w:lang w:val="ru-RU"/>
        </w:rPr>
        <w:t xml:space="preserve">71.12.19.100 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w:t>
      </w:r>
    </w:p>
    <w:p>
      <w:pPr>
        <w:pStyle w:val="Normal"/>
        <w:jc w:val="center"/>
        <w:rPr>
          <w:rFonts w:ascii="Times New Roman" w:hAnsi="Times New Roman"/>
          <w:sz w:val="24"/>
          <w:szCs w:val="24"/>
        </w:rPr>
      </w:pPr>
      <w:r>
        <w:rPr>
          <w:rFonts w:cs="Times New Roman"/>
          <w:b/>
          <w:bCs/>
          <w:color w:val="000000"/>
          <w:spacing w:val="-17"/>
          <w:sz w:val="24"/>
          <w:szCs w:val="24"/>
          <w:lang w:val="ru-RU"/>
        </w:rPr>
        <w:t xml:space="preserve">филиала ПАО «РусГидро» – «Жигулевская ГЭС» </w:t>
      </w:r>
    </w:p>
    <w:p>
      <w:pPr>
        <w:pStyle w:val="Normal"/>
        <w:jc w:val="right"/>
        <w:rPr>
          <w:rFonts w:ascii="Times New Roman" w:hAnsi="Times New Roman" w:cs="Times New Roman"/>
          <w:b/>
          <w:bCs/>
          <w:color w:val="000000"/>
          <w:spacing w:val="-17"/>
          <w:szCs w:val="22"/>
          <w:lang w:val="ru-RU"/>
        </w:rPr>
      </w:pPr>
      <w:r>
        <w:rPr>
          <w:rFonts w:cs="Times New Roman"/>
          <w:b/>
          <w:bCs/>
          <w:color w:val="000000"/>
          <w:spacing w:val="-17"/>
          <w:szCs w:val="22"/>
          <w:lang w:val="ru-RU"/>
        </w:rPr>
      </w:r>
    </w:p>
    <w:p>
      <w:pPr>
        <w:pStyle w:val="Normal"/>
        <w:keepNext w:val="true"/>
        <w:numPr>
          <w:ilvl w:val="1"/>
          <w:numId w:val="8"/>
        </w:numPr>
        <w:suppressAutoHyphens w:val="true"/>
        <w:spacing w:before="120" w:after="60"/>
        <w:outlineLvl w:val="3"/>
        <w:rPr>
          <w:rFonts w:eastAsia="Calibri"/>
          <w:b/>
          <w:bCs/>
          <w:sz w:val="22"/>
          <w:szCs w:val="22"/>
          <w:lang w:val="ru-RU"/>
        </w:rPr>
      </w:pPr>
      <w:r>
        <w:rPr>
          <w:rFonts w:eastAsia="Calibri"/>
          <w:b/>
          <w:bCs/>
          <w:sz w:val="22"/>
          <w:szCs w:val="22"/>
          <w:lang w:val="ru-RU"/>
        </w:rPr>
        <w:t>Наименование закупаемой продукции</w:t>
      </w:r>
    </w:p>
    <w:p>
      <w:pPr>
        <w:pStyle w:val="Normal"/>
        <w:numPr>
          <w:ilvl w:val="1"/>
        </w:numPr>
        <w:tabs>
          <w:tab w:val="clear" w:pos="708"/>
          <w:tab w:val="left" w:pos="993" w:leader="none"/>
        </w:tabs>
        <w:suppressAutoHyphens w:val="true"/>
        <w:spacing w:lineRule="auto" w:line="276"/>
        <w:jc w:val="both"/>
        <w:rPr>
          <w:b w:val="false"/>
          <w:bCs w:val="false"/>
        </w:rPr>
      </w:pPr>
      <w:r>
        <w:rPr>
          <w:rFonts w:eastAsia="Calibri"/>
          <w:b w:val="false"/>
          <w:bCs w:val="false"/>
          <w:sz w:val="22"/>
          <w:szCs w:val="22"/>
          <w:lang w:val="ru-RU"/>
        </w:rPr>
        <w:t xml:space="preserve">71.12.19.100 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«РусГидро» – «Жигулевская ГЭС» </w:t>
      </w:r>
    </w:p>
    <w:p>
      <w:pPr>
        <w:pStyle w:val="Normal"/>
        <w:keepNext w:val="true"/>
        <w:numPr>
          <w:ilvl w:val="1"/>
          <w:numId w:val="8"/>
        </w:numPr>
        <w:suppressAutoHyphens w:val="true"/>
        <w:spacing w:before="240" w:after="60"/>
        <w:ind w:left="431" w:hanging="431"/>
        <w:outlineLvl w:val="3"/>
        <w:rPr>
          <w:rFonts w:eastAsia="Calibri"/>
          <w:b/>
          <w:bCs/>
          <w:sz w:val="22"/>
          <w:szCs w:val="22"/>
          <w:lang w:val="ru-RU"/>
        </w:rPr>
      </w:pPr>
      <w:r>
        <w:rPr>
          <w:rFonts w:eastAsia="Calibri"/>
          <w:b/>
          <w:bCs/>
          <w:sz w:val="22"/>
          <w:szCs w:val="22"/>
          <w:lang w:val="ru-RU"/>
        </w:rPr>
        <w:t>Цель оказания услуг</w:t>
      </w:r>
    </w:p>
    <w:p>
      <w:pPr>
        <w:pStyle w:val="Normal"/>
        <w:numPr>
          <w:ilvl w:val="1"/>
        </w:numPr>
        <w:suppressAutoHyphens w:val="true"/>
        <w:spacing w:before="120" w:after="0"/>
        <w:jc w:val="both"/>
        <w:rPr>
          <w:b w:val="false"/>
          <w:bCs w:val="false"/>
        </w:rPr>
      </w:pPr>
      <w:r>
        <w:rPr>
          <w:rFonts w:eastAsia="Calibri"/>
          <w:b w:val="false"/>
          <w:bCs w:val="false"/>
          <w:sz w:val="22"/>
          <w:szCs w:val="22"/>
          <w:lang w:val="ru-RU"/>
        </w:rPr>
        <w:t xml:space="preserve">- Целью актуализации технического паспорта и инструкции о порядке обслуживания и организации движения на железнодорожном пути необщего пользования является приведение локально   нормативной   документации  филиала   ПАО   «РусГидро»   -   «Жигулевская   ГЭС»   в соответствие требований действующего федерального законодательства.  </w:t>
      </w:r>
    </w:p>
    <w:p>
      <w:pPr>
        <w:pStyle w:val="Normal"/>
        <w:suppressAutoHyphens w:val="true"/>
        <w:spacing w:before="120" w:after="0"/>
        <w:jc w:val="both"/>
        <w:rPr>
          <w:b w:val="false"/>
          <w:bCs w:val="false"/>
        </w:rPr>
      </w:pPr>
      <w:r>
        <w:rPr>
          <w:rFonts w:eastAsia="Calibri"/>
          <w:b w:val="false"/>
          <w:bCs w:val="false"/>
          <w:sz w:val="22"/>
          <w:szCs w:val="22"/>
          <w:lang w:val="ru-RU"/>
        </w:rPr>
        <w:t>- Целью   проведения   инженерно-геодезических   съемки   продольного   профиля железнодорожного пути является выполнение обязательных требований Минтранса РФ (приказ No250 от 23.06.2022 г.), определения фактических уклонов на железнодорожном пути необщего пользования Жигулевской ГЭС</w:t>
      </w:r>
    </w:p>
    <w:p>
      <w:pPr>
        <w:pStyle w:val="Normal"/>
        <w:keepNext w:val="true"/>
        <w:numPr>
          <w:ilvl w:val="0"/>
          <w:numId w:val="0"/>
        </w:numPr>
        <w:suppressAutoHyphens w:val="true"/>
        <w:spacing w:before="120" w:after="60"/>
        <w:ind w:left="0" w:hanging="0"/>
        <w:outlineLvl w:val="3"/>
        <w:rPr>
          <w:rFonts w:eastAsia="Calibri"/>
          <w:b/>
          <w:bCs/>
          <w:sz w:val="22"/>
          <w:szCs w:val="22"/>
          <w:lang w:val="ru-RU"/>
        </w:rPr>
      </w:pPr>
      <w:r>
        <w:rPr>
          <w:rFonts w:eastAsia="Calibri"/>
          <w:b/>
          <w:bCs/>
          <w:sz w:val="22"/>
          <w:szCs w:val="22"/>
          <w:lang w:val="ru-RU"/>
        </w:rPr>
        <w:t>1.3.  Существующее положение</w:t>
      </w:r>
    </w:p>
    <w:p>
      <w:pPr>
        <w:pStyle w:val="Normal"/>
        <w:tabs>
          <w:tab w:val="clear" w:pos="708"/>
          <w:tab w:val="left" w:pos="1789" w:leader="none"/>
        </w:tabs>
        <w:suppressAutoHyphens w:val="true"/>
        <w:spacing w:before="120" w:after="0"/>
        <w:jc w:val="both"/>
        <w:rPr>
          <w:sz w:val="22"/>
          <w:szCs w:val="22"/>
        </w:rPr>
      </w:pPr>
      <w:r>
        <w:rPr>
          <w:sz w:val="22"/>
          <w:szCs w:val="22"/>
          <w:lang w:val="ru-RU"/>
        </w:rPr>
        <w:t>Место производства работ: Самарская область, г.Жигулевск, Московское шоссе, д.2, территория филиала ПАО «РусГидро» - «Жигулевская ГЭС».</w:t>
      </w:r>
    </w:p>
    <w:p>
      <w:pPr>
        <w:pStyle w:val="Normal"/>
        <w:tabs>
          <w:tab w:val="clear" w:pos="708"/>
          <w:tab w:val="left" w:pos="1789" w:leader="none"/>
        </w:tabs>
        <w:suppressAutoHyphens w:val="true"/>
        <w:spacing w:before="120" w:after="0"/>
        <w:jc w:val="both"/>
        <w:rPr>
          <w:sz w:val="22"/>
          <w:szCs w:val="22"/>
        </w:rPr>
      </w:pPr>
      <w:r>
        <w:rPr>
          <w:sz w:val="22"/>
          <w:szCs w:val="22"/>
        </w:rPr>
        <w:t>Таблица 1. Перечень объектов заказчика</w:t>
      </w:r>
    </w:p>
    <w:tbl>
      <w:tblPr>
        <w:tblW w:w="9918" w:type="dxa"/>
        <w:jc w:val="left"/>
        <w:tblInd w:w="226" w:type="dxa"/>
        <w:tblLayout w:type="fixed"/>
        <w:tblCellMar>
          <w:top w:w="0" w:type="dxa"/>
          <w:left w:w="108" w:type="dxa"/>
          <w:bottom w:w="0" w:type="dxa"/>
          <w:right w:w="108" w:type="dxa"/>
        </w:tblCellMar>
        <w:tblLook w:val="0000" w:noHBand="0" w:noVBand="0" w:firstColumn="0" w:lastRow="0" w:lastColumn="0" w:firstRow="0"/>
      </w:tblPr>
      <w:tblGrid>
        <w:gridCol w:w="817"/>
        <w:gridCol w:w="2297"/>
        <w:gridCol w:w="2410"/>
        <w:gridCol w:w="2410"/>
        <w:gridCol w:w="1984"/>
      </w:tblGrid>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w:t>
            </w:r>
          </w:p>
          <w:p>
            <w:pPr>
              <w:pStyle w:val="Normal"/>
              <w:widowControl w:val="false"/>
              <w:jc w:val="center"/>
              <w:rPr>
                <w:sz w:val="22"/>
                <w:szCs w:val="22"/>
              </w:rPr>
            </w:pPr>
            <w:r>
              <w:rPr>
                <w:sz w:val="22"/>
                <w:szCs w:val="22"/>
              </w:rPr>
              <w:t>п/п</w:t>
            </w:r>
          </w:p>
        </w:tc>
        <w:tc>
          <w:tcPr>
            <w:tcW w:w="22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Наименование объекта</w:t>
            </w:r>
          </w:p>
          <w:p>
            <w:pPr>
              <w:pStyle w:val="Normal"/>
              <w:widowControl w:val="false"/>
              <w:jc w:val="center"/>
              <w:rPr>
                <w:sz w:val="22"/>
                <w:szCs w:val="22"/>
              </w:rPr>
            </w:pPr>
            <w:r>
              <w:rPr>
                <w:sz w:val="22"/>
                <w:szCs w:val="22"/>
              </w:rPr>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Расположение объекта </w:t>
              <w:br/>
              <w:t>(место оказания услуг)</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 xml:space="preserve">Наименование основного средства </w:t>
              <w:br/>
              <w:t>(в отношении которого оказываются услуги)</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sz w:val="22"/>
                <w:szCs w:val="22"/>
              </w:rPr>
              <w:t>Примечания</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1</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2</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3</w:t>
            </w:r>
          </w:p>
        </w:tc>
        <w:tc>
          <w:tcPr>
            <w:tcW w:w="24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4</w:t>
            </w:r>
          </w:p>
        </w:tc>
        <w:tc>
          <w:tcPr>
            <w:tcW w:w="19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5</w:t>
            </w:r>
          </w:p>
        </w:tc>
      </w:tr>
      <w:tr>
        <w:trPr>
          <w:trHeight w:val="881" w:hRule="atLeast"/>
        </w:trPr>
        <w:tc>
          <w:tcPr>
            <w:tcW w:w="817" w:type="dxa"/>
            <w:tcBorders>
              <w:top w:val="single" w:sz="4" w:space="0" w:color="000000"/>
              <w:left w:val="single" w:sz="4" w:space="0" w:color="000000"/>
              <w:bottom w:val="single" w:sz="4" w:space="0" w:color="000000"/>
              <w:right w:val="single" w:sz="4" w:space="0" w:color="000000"/>
            </w:tcBorders>
            <w:vAlign w:val="center"/>
          </w:tcPr>
          <w:p>
            <w:pPr>
              <w:pStyle w:val="ListParagraph"/>
              <w:widowControl w:val="false"/>
              <w:ind w:left="202" w:hanging="0"/>
              <w:rPr>
                <w:sz w:val="22"/>
                <w:szCs w:val="22"/>
              </w:rPr>
            </w:pPr>
            <w:r>
              <w:rPr>
                <w:iCs/>
                <w:sz w:val="22"/>
                <w:szCs w:val="22"/>
              </w:rPr>
              <w:t>1.</w:t>
            </w:r>
          </w:p>
        </w:tc>
        <w:tc>
          <w:tcPr>
            <w:tcW w:w="229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r>
              <w:rPr>
                <w:rFonts w:eastAsia="Calibri"/>
                <w:sz w:val="22"/>
                <w:szCs w:val="22"/>
              </w:rPr>
              <w:t>Железнодорожные подъездные пути</w:t>
            </w:r>
          </w:p>
        </w:tc>
        <w:tc>
          <w:tcPr>
            <w:tcW w:w="241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r>
              <w:rPr>
                <w:i/>
                <w:iCs/>
                <w:sz w:val="22"/>
                <w:szCs w:val="22"/>
              </w:rPr>
              <w:t>Филиал ПАО «РусГидро» – «Жигулевская ГЭС», Российская Федерация, Самарская область, г. Жигулевск, Московское шоссе, дом 2.</w:t>
            </w:r>
          </w:p>
        </w:tc>
        <w:tc>
          <w:tcPr>
            <w:tcW w:w="24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2"/>
                <w:szCs w:val="22"/>
              </w:rPr>
            </w:pPr>
            <w:r>
              <w:rPr>
                <w:rFonts w:eastAsia="Calibri"/>
                <w:sz w:val="22"/>
                <w:szCs w:val="22"/>
              </w:rPr>
              <w:t>Железнодорожные подъездные пути (инвентарный номер №ЖГ20011)</w:t>
            </w:r>
          </w:p>
        </w:tc>
        <w:tc>
          <w:tcPr>
            <w:tcW w:w="19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2"/>
                <w:szCs w:val="22"/>
              </w:rPr>
            </w:pPr>
            <w:r>
              <w:rPr>
                <w:i/>
                <w:iCs/>
                <w:sz w:val="22"/>
                <w:szCs w:val="22"/>
              </w:rPr>
              <w:t>Эксплуатирующая организация: Филиал ПАО “РусГидро”-“Жигулевская ГЭС”</w:t>
            </w:r>
          </w:p>
        </w:tc>
      </w:tr>
    </w:tbl>
    <w:p>
      <w:pPr>
        <w:pStyle w:val="Normal"/>
        <w:tabs>
          <w:tab w:val="clear" w:pos="708"/>
          <w:tab w:val="left" w:pos="1789" w:leader="none"/>
        </w:tabs>
        <w:suppressAutoHyphens w:val="true"/>
        <w:spacing w:before="120" w:after="0"/>
        <w:jc w:val="both"/>
        <w:rPr>
          <w:sz w:val="22"/>
          <w:szCs w:val="22"/>
        </w:rPr>
      </w:pPr>
      <w:r>
        <w:rPr>
          <w:sz w:val="22"/>
          <w:szCs w:val="22"/>
        </w:rPr>
      </w:r>
    </w:p>
    <w:p>
      <w:pPr>
        <w:pStyle w:val="Normal"/>
        <w:keepNext w:val="true"/>
        <w:numPr>
          <w:ilvl w:val="0"/>
          <w:numId w:val="0"/>
        </w:numPr>
        <w:suppressAutoHyphens w:val="true"/>
        <w:spacing w:before="120" w:after="60"/>
        <w:ind w:left="0" w:hanging="0"/>
        <w:outlineLvl w:val="3"/>
        <w:rPr>
          <w:rFonts w:eastAsia="Calibri"/>
          <w:b/>
          <w:bCs/>
          <w:sz w:val="22"/>
          <w:szCs w:val="22"/>
          <w:lang w:val="ru-RU"/>
        </w:rPr>
      </w:pPr>
      <w:r>
        <w:rPr>
          <w:rFonts w:eastAsia="Calibri"/>
          <w:b/>
          <w:bCs/>
          <w:sz w:val="22"/>
          <w:szCs w:val="22"/>
          <w:lang w:val="ru-RU"/>
        </w:rPr>
        <w:t>1.</w:t>
      </w:r>
      <w:r>
        <w:rPr>
          <w:rFonts w:eastAsia="Calibri"/>
          <w:b/>
          <w:bCs/>
          <w:sz w:val="22"/>
          <w:szCs w:val="22"/>
          <w:lang w:val="ru-RU"/>
        </w:rPr>
        <w:t>4</w:t>
      </w:r>
      <w:r>
        <w:rPr>
          <w:rFonts w:eastAsia="Calibri"/>
          <w:b/>
          <w:bCs/>
          <w:sz w:val="22"/>
          <w:szCs w:val="22"/>
          <w:lang w:val="ru-RU"/>
        </w:rPr>
        <w:t xml:space="preserve">.  </w:t>
      </w:r>
      <w:r>
        <w:rPr>
          <w:rFonts w:eastAsia="Calibri"/>
          <w:b/>
          <w:bCs/>
          <w:sz w:val="22"/>
          <w:szCs w:val="22"/>
          <w:lang w:val="ru-RU"/>
        </w:rPr>
        <w:t>Основание на оказание услуг</w:t>
      </w:r>
    </w:p>
    <w:p>
      <w:pPr>
        <w:pStyle w:val="Normal"/>
        <w:tabs>
          <w:tab w:val="clear" w:pos="708"/>
          <w:tab w:val="left" w:pos="1789" w:leader="none"/>
        </w:tabs>
        <w:suppressAutoHyphens w:val="true"/>
        <w:spacing w:before="120" w:after="0"/>
        <w:jc w:val="both"/>
        <w:rPr>
          <w:sz w:val="22"/>
          <w:szCs w:val="22"/>
        </w:rPr>
      </w:pPr>
      <w:r>
        <w:rPr>
          <w:sz w:val="22"/>
          <w:szCs w:val="22"/>
          <w:lang w:val="ru-RU"/>
        </w:rPr>
        <w:t>Устранение нарушения Представления Приволжской транспортной прокуратуры от 14.08.2026 No23/1-3-2026, выданного по результатам проверки соблюдения Филиалом ПАО «РусГидро»-«Жигулевская ГЭС» требований федерального законодательства о безопасности движения и эксплуатации железнодорожного транспорта. А также выполнение обязательных требований Минтранса РФ (приказ №250 от 23.06.2022 г.), определения фактических уклонов на железнодорожном пути необщего пользования Жигулевской ГЭС.</w:t>
      </w:r>
    </w:p>
    <w:p>
      <w:pPr>
        <w:pStyle w:val="Normal"/>
        <w:keepNext w:val="true"/>
        <w:numPr>
          <w:ilvl w:val="0"/>
          <w:numId w:val="0"/>
        </w:numPr>
        <w:suppressAutoHyphens w:val="true"/>
        <w:spacing w:before="120" w:after="60"/>
        <w:ind w:left="0" w:hanging="0"/>
        <w:outlineLvl w:val="3"/>
        <w:rPr>
          <w:sz w:val="22"/>
          <w:szCs w:val="22"/>
        </w:rPr>
      </w:pPr>
      <w:r>
        <w:rPr>
          <w:rFonts w:eastAsia="Calibri"/>
          <w:b/>
          <w:bCs/>
          <w:sz w:val="22"/>
          <w:szCs w:val="22"/>
          <w:lang w:val="ru-RU"/>
        </w:rPr>
        <w:t>1.</w:t>
      </w:r>
      <w:r>
        <w:rPr>
          <w:rFonts w:eastAsia="Calibri"/>
          <w:b/>
          <w:bCs/>
          <w:sz w:val="22"/>
          <w:szCs w:val="22"/>
          <w:lang w:val="ru-RU"/>
        </w:rPr>
        <w:t>5</w:t>
      </w:r>
      <w:r>
        <w:rPr>
          <w:rFonts w:eastAsia="Calibri"/>
          <w:b/>
          <w:bCs/>
          <w:sz w:val="22"/>
          <w:szCs w:val="22"/>
          <w:lang w:val="ru-RU"/>
        </w:rPr>
        <w:t xml:space="preserve">.  </w:t>
      </w:r>
      <w:r>
        <w:rPr>
          <w:rFonts w:eastAsia="Calibri"/>
          <w:b/>
          <w:bCs/>
          <w:sz w:val="22"/>
          <w:szCs w:val="22"/>
          <w:lang w:val="ru-RU"/>
        </w:rPr>
        <w:t xml:space="preserve">Информация в отношении исполнения договора, которая должна быть учтена при подготовке заявки (в том числе перечень ресурсов, услуг и документов, предоставляемых заказчиком на этапе исполнения договора) </w:t>
      </w:r>
    </w:p>
    <w:p>
      <w:pPr>
        <w:pStyle w:val="Normal"/>
        <w:tabs>
          <w:tab w:val="clear" w:pos="708"/>
          <w:tab w:val="left" w:pos="1789" w:leader="none"/>
        </w:tabs>
        <w:suppressAutoHyphens w:val="true"/>
        <w:spacing w:before="120" w:after="0"/>
        <w:jc w:val="both"/>
        <w:rPr>
          <w:sz w:val="22"/>
          <w:szCs w:val="22"/>
        </w:rPr>
      </w:pPr>
      <w:r>
        <w:rPr>
          <w:sz w:val="22"/>
          <w:szCs w:val="22"/>
        </w:rPr>
        <w:t>1.</w:t>
      </w:r>
      <w:r>
        <w:rPr>
          <w:sz w:val="22"/>
          <w:szCs w:val="22"/>
        </w:rPr>
        <w:t>5</w:t>
      </w:r>
      <w:r>
        <w:rPr>
          <w:sz w:val="22"/>
          <w:szCs w:val="22"/>
        </w:rPr>
        <w:t>.1. Заказчик назначает представителя для оперативного рассмотрения и решения технических и организационных вопросов, связанных с оказанием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«РусГидро» – «Жигулевская ГЭС».</w:t>
      </w:r>
    </w:p>
    <w:p>
      <w:pPr>
        <w:pStyle w:val="Normal"/>
        <w:tabs>
          <w:tab w:val="clear" w:pos="708"/>
          <w:tab w:val="left" w:pos="1789" w:leader="none"/>
        </w:tabs>
        <w:suppressAutoHyphens w:val="true"/>
        <w:spacing w:before="120" w:after="0"/>
        <w:jc w:val="both"/>
        <w:rPr>
          <w:sz w:val="22"/>
          <w:szCs w:val="22"/>
        </w:rPr>
      </w:pPr>
      <w:r>
        <w:rPr>
          <w:sz w:val="22"/>
          <w:szCs w:val="22"/>
        </w:rPr>
        <w:t>1.</w:t>
      </w:r>
      <w:r>
        <w:rPr>
          <w:sz w:val="22"/>
          <w:szCs w:val="22"/>
        </w:rPr>
        <w:t>5</w:t>
      </w:r>
      <w:r>
        <w:rPr>
          <w:sz w:val="22"/>
          <w:szCs w:val="22"/>
        </w:rPr>
        <w:t>.2. Ознакомление Исполнителя с локальными нормативными актами Заказчика, устанавливающими требования по охране труда, промышленной и пожарной безопасности, охране окружающей среды (Приложение № 2 к ТТ), правилами пропускного и внутриобъектового режимов Заказчика.</w:t>
      </w:r>
    </w:p>
    <w:p>
      <w:pPr>
        <w:pStyle w:val="Normal"/>
        <w:tabs>
          <w:tab w:val="clear" w:pos="708"/>
          <w:tab w:val="left" w:pos="1789" w:leader="none"/>
        </w:tabs>
        <w:suppressAutoHyphens w:val="true"/>
        <w:spacing w:before="120" w:after="0"/>
        <w:jc w:val="both"/>
        <w:rPr>
          <w:sz w:val="22"/>
          <w:szCs w:val="22"/>
        </w:rPr>
      </w:pPr>
      <w:r>
        <w:rPr>
          <w:sz w:val="22"/>
          <w:szCs w:val="22"/>
        </w:rPr>
        <w:t>1.</w:t>
      </w:r>
      <w:r>
        <w:rPr>
          <w:sz w:val="22"/>
          <w:szCs w:val="22"/>
        </w:rPr>
        <w:t>5</w:t>
      </w:r>
      <w:r>
        <w:rPr>
          <w:sz w:val="22"/>
          <w:szCs w:val="22"/>
        </w:rPr>
        <w:t>.3. На объекте действует пропускной режим: проход лиц, проезд транспортных средств на территорию Филиала и обратно, вноса (выноса), ввоза (вывоза) материальных ценностей осуществляется по письмам и пропускам установленного образца согласно положения по пропускному и внутри объектовому режимам Заказчика (Приложение № 5 к ТТ).</w:t>
      </w:r>
    </w:p>
    <w:p>
      <w:pPr>
        <w:pStyle w:val="Normal"/>
        <w:tabs>
          <w:tab w:val="clear" w:pos="708"/>
          <w:tab w:val="left" w:pos="1789" w:leader="none"/>
        </w:tabs>
        <w:suppressAutoHyphens w:val="true"/>
        <w:spacing w:before="120" w:after="0"/>
        <w:jc w:val="both"/>
        <w:rPr>
          <w:sz w:val="22"/>
          <w:szCs w:val="22"/>
        </w:rPr>
      </w:pPr>
      <w:r>
        <w:rPr>
          <w:sz w:val="22"/>
          <w:szCs w:val="22"/>
        </w:rPr>
        <w:t xml:space="preserve">В соответствии с положением по пропускному и внутри объектовому режимам Заказчика (Приложение № 5 к ТТ) организация, заключившая договор подряда с Филиалом, проводящая работы на территории предприятия, в целях получения доступа на объект, за 14 рабочих дней направляет письмо директору Филиала, с указанием перечня лиц. В СБ Филиала предоставляются следующие документы кандидатов на прием на работу: </w:t>
      </w:r>
    </w:p>
    <w:p>
      <w:pPr>
        <w:pStyle w:val="Normal"/>
        <w:tabs>
          <w:tab w:val="clear" w:pos="708"/>
          <w:tab w:val="left" w:pos="1789" w:leader="none"/>
        </w:tabs>
        <w:suppressAutoHyphens w:val="true"/>
        <w:spacing w:before="120" w:after="0"/>
        <w:jc w:val="both"/>
        <w:rPr>
          <w:sz w:val="22"/>
          <w:szCs w:val="22"/>
        </w:rPr>
      </w:pPr>
      <w:r>
        <w:rPr>
          <w:sz w:val="22"/>
          <w:szCs w:val="22"/>
        </w:rPr>
        <w:t xml:space="preserve">    • </w:t>
      </w:r>
      <w:r>
        <w:rPr>
          <w:sz w:val="22"/>
          <w:szCs w:val="22"/>
        </w:rPr>
        <w:t>копии страниц паспорта;</w:t>
      </w:r>
    </w:p>
    <w:p>
      <w:pPr>
        <w:pStyle w:val="Normal"/>
        <w:tabs>
          <w:tab w:val="clear" w:pos="708"/>
          <w:tab w:val="left" w:pos="1789" w:leader="none"/>
        </w:tabs>
        <w:suppressAutoHyphens w:val="true"/>
        <w:spacing w:before="120" w:after="0"/>
        <w:jc w:val="both"/>
        <w:rPr>
          <w:sz w:val="22"/>
          <w:szCs w:val="22"/>
        </w:rPr>
      </w:pPr>
      <w:r>
        <w:rPr>
          <w:sz w:val="22"/>
          <w:szCs w:val="22"/>
        </w:rPr>
        <w:t xml:space="preserve">    • </w:t>
      </w:r>
      <w:r>
        <w:rPr>
          <w:sz w:val="22"/>
          <w:szCs w:val="22"/>
        </w:rPr>
        <w:t xml:space="preserve">справку о наличии, отсутствии судимости или факта уголовного преследования, либо о прекращении уголовного преследования, полученную на портале Госуслуг либо в МФЦ (или аналогичный документ, полученный в территориальном подразделении полиции по месту жительства); </w:t>
      </w:r>
    </w:p>
    <w:p>
      <w:pPr>
        <w:pStyle w:val="Normal"/>
        <w:tabs>
          <w:tab w:val="clear" w:pos="708"/>
          <w:tab w:val="left" w:pos="1789" w:leader="none"/>
        </w:tabs>
        <w:suppressAutoHyphens w:val="true"/>
        <w:spacing w:before="120" w:after="0"/>
        <w:jc w:val="both"/>
        <w:rPr>
          <w:sz w:val="22"/>
          <w:szCs w:val="22"/>
        </w:rPr>
      </w:pPr>
      <w:r>
        <w:rPr>
          <w:sz w:val="22"/>
          <w:szCs w:val="22"/>
        </w:rPr>
        <w:t xml:space="preserve">  • </w:t>
      </w:r>
      <w:r>
        <w:rPr>
          <w:sz w:val="22"/>
          <w:szCs w:val="22"/>
        </w:rPr>
        <w:t>сведения, подтверждающие принадлежность работника к подрядной организации (заверенные печатью и подписью руководителя подрядной или сторонней организации, копии трудовой книжки или трудового договора, копии приказа о приеме на работы);</w:t>
      </w:r>
    </w:p>
    <w:p>
      <w:pPr>
        <w:pStyle w:val="Normal"/>
        <w:tabs>
          <w:tab w:val="clear" w:pos="708"/>
          <w:tab w:val="left" w:pos="1789" w:leader="none"/>
        </w:tabs>
        <w:suppressAutoHyphens w:val="true"/>
        <w:spacing w:before="120" w:after="0"/>
        <w:jc w:val="both"/>
        <w:rPr>
          <w:sz w:val="22"/>
          <w:szCs w:val="22"/>
        </w:rPr>
      </w:pPr>
      <w:r>
        <w:rPr>
          <w:sz w:val="22"/>
          <w:szCs w:val="22"/>
        </w:rPr>
        <w:t xml:space="preserve">    • </w:t>
      </w:r>
      <w:r>
        <w:rPr>
          <w:sz w:val="22"/>
          <w:szCs w:val="22"/>
        </w:rPr>
        <w:t>заполненная анкета (Приложение № 10 к Приложению № 5);</w:t>
      </w:r>
    </w:p>
    <w:p>
      <w:pPr>
        <w:pStyle w:val="Normal"/>
        <w:tabs>
          <w:tab w:val="clear" w:pos="708"/>
          <w:tab w:val="left" w:pos="1789" w:leader="none"/>
        </w:tabs>
        <w:suppressAutoHyphens w:val="true"/>
        <w:spacing w:before="120" w:after="0"/>
        <w:jc w:val="both"/>
        <w:rPr>
          <w:sz w:val="22"/>
          <w:szCs w:val="22"/>
        </w:rPr>
      </w:pPr>
      <w:r>
        <w:rPr>
          <w:sz w:val="22"/>
          <w:szCs w:val="22"/>
        </w:rPr>
        <w:t xml:space="preserve">    • </w:t>
      </w:r>
      <w:r>
        <w:rPr>
          <w:sz w:val="22"/>
          <w:szCs w:val="22"/>
        </w:rPr>
        <w:t>согласие на обработку персональных данных (Приложение № 18 к Приложению № 5).</w:t>
      </w:r>
    </w:p>
    <w:p>
      <w:pPr>
        <w:pStyle w:val="Normal"/>
        <w:tabs>
          <w:tab w:val="clear" w:pos="708"/>
          <w:tab w:val="left" w:pos="1789" w:leader="none"/>
        </w:tabs>
        <w:suppressAutoHyphens w:val="true"/>
        <w:spacing w:before="120" w:after="0"/>
        <w:jc w:val="both"/>
        <w:rPr>
          <w:sz w:val="22"/>
          <w:szCs w:val="22"/>
        </w:rPr>
      </w:pPr>
      <w:r>
        <w:rPr>
          <w:sz w:val="22"/>
          <w:szCs w:val="22"/>
        </w:rPr>
      </w:r>
    </w:p>
    <w:p>
      <w:pPr>
        <w:pStyle w:val="Normal"/>
        <w:keepNext w:val="true"/>
        <w:numPr>
          <w:ilvl w:val="0"/>
          <w:numId w:val="0"/>
        </w:numPr>
        <w:suppressAutoHyphens w:val="true"/>
        <w:spacing w:before="120" w:after="60"/>
        <w:ind w:left="0" w:hanging="0"/>
        <w:outlineLvl w:val="3"/>
        <w:rPr>
          <w:sz w:val="22"/>
          <w:szCs w:val="22"/>
        </w:rPr>
      </w:pPr>
      <w:r>
        <w:rPr>
          <w:rFonts w:eastAsia="Calibri"/>
          <w:b/>
          <w:bCs/>
          <w:sz w:val="22"/>
          <w:szCs w:val="22"/>
          <w:lang w:val="ru-RU"/>
        </w:rPr>
        <w:t>1.</w:t>
      </w:r>
      <w:r>
        <w:rPr>
          <w:rFonts w:eastAsia="Calibri"/>
          <w:b/>
          <w:bCs/>
          <w:sz w:val="22"/>
          <w:szCs w:val="22"/>
          <w:lang w:val="ru-RU"/>
        </w:rPr>
        <w:t>6</w:t>
      </w:r>
      <w:r>
        <w:rPr>
          <w:rFonts w:eastAsia="Calibri"/>
          <w:b/>
          <w:bCs/>
          <w:sz w:val="22"/>
          <w:szCs w:val="22"/>
          <w:lang w:val="ru-RU"/>
        </w:rPr>
        <w:t xml:space="preserve">.  </w:t>
      </w:r>
      <w:r>
        <w:rPr>
          <w:rFonts w:eastAsia="Calibri"/>
          <w:b/>
          <w:bCs/>
          <w:sz w:val="22"/>
          <w:szCs w:val="22"/>
          <w:lang w:val="ru-RU"/>
        </w:rPr>
        <w:t>Иные требования и сведения общего характера</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.1. Допуск персонала Исполнителя для оказания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«РусГидро» – «Жигулевская ГЭС» , в соответствии с Приказом №82 04.02.2022 «Методика допуска персонала подрядных организаций к выполнению работ на объектах Общества» (Приложение № 4 к ТТ) и Приказом № ЖГЭС/82-146 от 13.04.2023 «Положение по пропускному и внутриобъектовому режимам Филиала ПАО «РусГидро» - «Жигулёвская ГЭС» (Приложение № 5 к ТТ).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.2. Краткое описание существующего положения:</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.2.1. Железнодорожный путь необщего пользования Филиала является продолжением железнодорожного пути необщего пользования №38 ЗАО «ППЖТ», который примыкает централизованным стрелочным переводом №9 к нечётной горловине станции Жигулёвск. За начало пикетажа (ПК 0+00,00) принят стык рамного рельса централизованного стрелочного перевода №9 станции Жигулёвск (Приложение № 1 к ТТ).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.2.2. Границей железнодорожного пути необщего пользования Филиала служит знак «Граница подъездного пути», установленный на ПК 13+00,00 железнодорожного пути необщего пользования ЗАО «ППЖТ».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.3. Характеристика железнодорожного пути необщего пользования:</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.3.1. Общая полная длина ж/д путей -  8294,5 п.м.</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 xml:space="preserve">.3.2. Количество ж/д путей в составе пути необщего пользования -  8 шт. </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.3.3. Общая полная длина стрелочных переводов -  249,2 п.м.</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.3.4. Количество стрелочных переводов -  8 шт.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.3.5. Количество железнодорожных переездов -  19 шт.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.3.6. Количество искусственных сооружений: Путепроводы – 3 шт.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.4. Основание на выполнение работ:</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.4.1. п.43 Главы 6. Правил технической эксплуатации железных дорог Российской Федерации утвержденные приказом Министерства транспорта РФ от 23 июня 2022 г. №250;</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.4.2. Федеральный закон №17-ФЗ от 10.01.2003 «О железнодорожном транспорте в Российской Федерации»;</w:t>
      </w:r>
    </w:p>
    <w:p>
      <w:pPr>
        <w:pStyle w:val="Normal"/>
        <w:tabs>
          <w:tab w:val="clear" w:pos="708"/>
          <w:tab w:val="left" w:pos="1789" w:leader="none"/>
        </w:tabs>
        <w:suppressAutoHyphens w:val="true"/>
        <w:spacing w:before="120" w:after="0"/>
        <w:jc w:val="both"/>
        <w:rPr>
          <w:sz w:val="22"/>
          <w:szCs w:val="22"/>
        </w:rPr>
      </w:pPr>
      <w:r>
        <w:rPr>
          <w:sz w:val="22"/>
          <w:szCs w:val="22"/>
          <w:lang w:val="ru-RU"/>
        </w:rPr>
        <w:t>1.</w:t>
      </w:r>
      <w:r>
        <w:rPr>
          <w:sz w:val="22"/>
          <w:szCs w:val="22"/>
          <w:lang w:val="ru-RU"/>
        </w:rPr>
        <w:t>6</w:t>
      </w:r>
      <w:r>
        <w:rPr>
          <w:sz w:val="22"/>
          <w:szCs w:val="22"/>
          <w:lang w:val="ru-RU"/>
        </w:rPr>
        <w:t>.4.3. п.2.1.18. «Инструкции по текущему содержанию железнодорожного пути» утвержденные распоряжением ОАО «РЖД» от 14.11.2016г. №2288р.</w:t>
      </w:r>
    </w:p>
    <w:p>
      <w:pPr>
        <w:pStyle w:val="Normal"/>
        <w:tabs>
          <w:tab w:val="clear" w:pos="708"/>
          <w:tab w:val="left" w:pos="1789" w:leader="none"/>
        </w:tabs>
        <w:suppressAutoHyphens w:val="true"/>
        <w:spacing w:before="120" w:after="0"/>
        <w:jc w:val="both"/>
        <w:rPr>
          <w:sz w:val="22"/>
          <w:szCs w:val="22"/>
        </w:rPr>
      </w:pPr>
      <w:r>
        <w:rPr>
          <w:sz w:val="22"/>
          <w:szCs w:val="22"/>
        </w:rPr>
      </w:r>
    </w:p>
    <w:p>
      <w:pPr>
        <w:pStyle w:val="Normal"/>
        <w:keepNext w:val="true"/>
        <w:keepLines/>
        <w:numPr>
          <w:ilvl w:val="0"/>
          <w:numId w:val="8"/>
        </w:numPr>
        <w:suppressAutoHyphens w:val="true"/>
        <w:spacing w:before="120" w:after="60"/>
        <w:ind w:left="357" w:hanging="357"/>
        <w:jc w:val="left"/>
        <w:outlineLvl w:val="0"/>
        <w:rPr>
          <w:sz w:val="22"/>
          <w:szCs w:val="22"/>
        </w:rPr>
      </w:pPr>
      <w:bookmarkStart w:id="2" w:name="_Hlk482097611"/>
      <w:bookmarkEnd w:id="2"/>
      <w:r>
        <w:rPr>
          <w:rFonts w:eastAsia="Calibri"/>
          <w:b/>
          <w:iCs/>
          <w:sz w:val="22"/>
          <w:szCs w:val="22"/>
          <w:lang w:val="ru-RU"/>
        </w:rPr>
        <w:t>Требования к продукции</w:t>
      </w:r>
    </w:p>
    <w:p>
      <w:pPr>
        <w:pStyle w:val="Normal"/>
        <w:numPr>
          <w:ilvl w:val="0"/>
          <w:numId w:val="0"/>
        </w:numPr>
        <w:suppressAutoHyphens w:val="true"/>
        <w:spacing w:before="120" w:after="60"/>
        <w:ind w:left="0" w:hanging="0"/>
        <w:jc w:val="both"/>
        <w:outlineLvl w:val="0"/>
        <w:rPr>
          <w:sz w:val="22"/>
          <w:szCs w:val="22"/>
        </w:rPr>
      </w:pPr>
      <w:r>
        <w:rPr>
          <w:rFonts w:eastAsia="Calibri"/>
          <w:b/>
          <w:iCs/>
          <w:sz w:val="22"/>
          <w:szCs w:val="22"/>
          <w:lang w:val="ru-RU"/>
        </w:rPr>
        <w:t xml:space="preserve">2.1. </w:t>
      </w:r>
      <w:r>
        <w:rPr>
          <w:rFonts w:eastAsia="Calibri"/>
          <w:b/>
          <w:sz w:val="22"/>
          <w:szCs w:val="22"/>
          <w:lang w:val="ru-RU"/>
        </w:rPr>
        <w:t xml:space="preserve">Требования к </w:t>
      </w:r>
      <w:r>
        <w:rPr>
          <w:rFonts w:eastAsia="Calibri"/>
          <w:b/>
          <w:sz w:val="22"/>
          <w:szCs w:val="22"/>
          <w:lang w:val="ru-RU"/>
        </w:rPr>
        <w:t xml:space="preserve">объемам и </w:t>
      </w:r>
      <w:r>
        <w:rPr>
          <w:rFonts w:eastAsia="Calibri"/>
          <w:b/>
          <w:sz w:val="22"/>
          <w:szCs w:val="22"/>
          <w:lang w:val="ru-RU"/>
        </w:rPr>
        <w:t>срокам оказания услуг</w:t>
      </w:r>
    </w:p>
    <w:p>
      <w:pPr>
        <w:pStyle w:val="Normal"/>
        <w:numPr>
          <w:ilvl w:val="0"/>
          <w:numId w:val="0"/>
        </w:numPr>
        <w:suppressAutoHyphens w:val="true"/>
        <w:spacing w:before="120" w:after="60"/>
        <w:ind w:left="0" w:hanging="0"/>
        <w:jc w:val="both"/>
        <w:outlineLvl w:val="0"/>
        <w:rPr>
          <w:sz w:val="22"/>
          <w:szCs w:val="22"/>
        </w:rPr>
      </w:pPr>
      <w:r>
        <w:rPr>
          <w:rFonts w:eastAsia="Calibri"/>
          <w:b/>
          <w:sz w:val="22"/>
          <w:szCs w:val="22"/>
          <w:lang w:val="ru-RU"/>
        </w:rPr>
        <w:t>2.1.1. Требования к перечню и объему услуг</w:t>
      </w:r>
    </w:p>
    <w:p>
      <w:pPr>
        <w:pStyle w:val="Normal"/>
        <w:numPr>
          <w:ilvl w:val="0"/>
          <w:numId w:val="0"/>
        </w:numPr>
        <w:suppressAutoHyphens w:val="true"/>
        <w:spacing w:before="120" w:after="60"/>
        <w:ind w:left="0" w:hanging="0"/>
        <w:jc w:val="both"/>
        <w:outlineLvl w:val="0"/>
        <w:rPr>
          <w:b w:val="false"/>
          <w:bCs w:val="false"/>
          <w:sz w:val="22"/>
          <w:szCs w:val="22"/>
        </w:rPr>
      </w:pPr>
      <w:r>
        <w:rPr>
          <w:rFonts w:eastAsia="Calibri"/>
          <w:b w:val="false"/>
          <w:bCs w:val="false"/>
          <w:sz w:val="22"/>
          <w:szCs w:val="22"/>
          <w:lang w:val="ru-RU"/>
        </w:rPr>
        <w:t xml:space="preserve">Таблица </w:t>
      </w:r>
      <w:r>
        <w:rPr>
          <w:rFonts w:eastAsia="Calibri"/>
          <w:b w:val="false"/>
          <w:bCs w:val="false"/>
          <w:sz w:val="22"/>
          <w:szCs w:val="22"/>
          <w:lang w:val="ru-RU"/>
        </w:rPr>
        <w:t>2</w:t>
      </w:r>
      <w:r>
        <w:rPr>
          <w:rFonts w:eastAsia="Calibri"/>
          <w:b w:val="false"/>
          <w:bCs w:val="false"/>
          <w:sz w:val="22"/>
          <w:szCs w:val="22"/>
          <w:lang w:val="ru-RU"/>
        </w:rPr>
        <w:t xml:space="preserve">. </w:t>
      </w:r>
      <w:bookmarkStart w:id="3" w:name="_Hlk50465284"/>
      <w:r>
        <w:rPr>
          <w:rFonts w:eastAsia="Calibri"/>
          <w:b w:val="false"/>
          <w:bCs w:val="false"/>
          <w:sz w:val="22"/>
          <w:szCs w:val="22"/>
          <w:lang w:val="ru-RU"/>
        </w:rPr>
        <w:t>П</w:t>
      </w:r>
      <w:bookmarkEnd w:id="3"/>
      <w:r>
        <w:rPr>
          <w:rFonts w:eastAsia="Calibri"/>
          <w:b w:val="false"/>
          <w:bCs w:val="false"/>
          <w:sz w:val="22"/>
          <w:szCs w:val="22"/>
          <w:lang w:val="ru-RU"/>
        </w:rPr>
        <w:t>еречень и объем оказываемых</w:t>
      </w:r>
      <w:r>
        <w:rPr>
          <w:rFonts w:eastAsia="Calibri"/>
          <w:b w:val="false"/>
          <w:bCs w:val="false"/>
          <w:sz w:val="22"/>
          <w:szCs w:val="22"/>
          <w:lang w:val="ru-RU"/>
        </w:rPr>
        <w:t xml:space="preserve"> услуг</w:t>
      </w:r>
    </w:p>
    <w:tbl>
      <w:tblPr>
        <w:tblW w:w="9697" w:type="dxa"/>
        <w:jc w:val="left"/>
        <w:tblInd w:w="334" w:type="dxa"/>
        <w:tblLayout w:type="fixed"/>
        <w:tblCellMar>
          <w:top w:w="0" w:type="dxa"/>
          <w:left w:w="108" w:type="dxa"/>
          <w:bottom w:w="0" w:type="dxa"/>
          <w:right w:w="108" w:type="dxa"/>
        </w:tblCellMar>
        <w:tblLook w:val="0000" w:noHBand="0" w:noVBand="0" w:firstColumn="0" w:lastRow="0" w:lastColumn="0" w:firstRow="0"/>
      </w:tblPr>
      <w:tblGrid>
        <w:gridCol w:w="737"/>
        <w:gridCol w:w="7116"/>
        <w:gridCol w:w="1844"/>
      </w:tblGrid>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2"/>
                <w:szCs w:val="22"/>
              </w:rPr>
            </w:pPr>
            <w:r>
              <w:rPr>
                <w:sz w:val="22"/>
                <w:szCs w:val="22"/>
              </w:rPr>
              <w:t>№</w:t>
            </w:r>
          </w:p>
          <w:p>
            <w:pPr>
              <w:pStyle w:val="Normal"/>
              <w:keepNext w:val="true"/>
              <w:widowControl w:val="false"/>
              <w:jc w:val="center"/>
              <w:rPr>
                <w:sz w:val="22"/>
                <w:szCs w:val="22"/>
              </w:rPr>
            </w:pPr>
            <w:r>
              <w:rPr>
                <w:sz w:val="22"/>
                <w:szCs w:val="22"/>
              </w:rPr>
              <w:t>п/п</w:t>
            </w:r>
          </w:p>
        </w:tc>
        <w:tc>
          <w:tcPr>
            <w:tcW w:w="711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2"/>
                <w:szCs w:val="22"/>
              </w:rPr>
            </w:pPr>
            <w:r>
              <w:rPr>
                <w:sz w:val="22"/>
                <w:szCs w:val="22"/>
              </w:rPr>
              <w:t xml:space="preserve">Наименование </w:t>
            </w:r>
            <w:r>
              <w:rPr>
                <w:sz w:val="22"/>
                <w:szCs w:val="22"/>
                <w:lang w:val="en-US"/>
              </w:rPr>
              <w:t>услуг</w:t>
            </w:r>
            <w:r>
              <w:rPr>
                <w:sz w:val="22"/>
                <w:szCs w:val="22"/>
              </w:rPr>
              <w:t xml:space="preserve">/ этапа </w:t>
            </w:r>
            <w:r>
              <w:rPr>
                <w:sz w:val="22"/>
                <w:szCs w:val="22"/>
                <w:lang w:val="en-US"/>
              </w:rPr>
              <w:t>услуг</w:t>
            </w:r>
          </w:p>
        </w:tc>
        <w:tc>
          <w:tcPr>
            <w:tcW w:w="184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jc w:val="center"/>
              <w:rPr>
                <w:sz w:val="22"/>
                <w:szCs w:val="22"/>
              </w:rPr>
            </w:pPr>
            <w:r>
              <w:rPr>
                <w:sz w:val="22"/>
                <w:szCs w:val="22"/>
              </w:rPr>
              <w:t>Количество</w:t>
            </w:r>
          </w:p>
        </w:tc>
      </w:tr>
      <w:tr>
        <w:trPr/>
        <w:tc>
          <w:tcPr>
            <w:tcW w:w="7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1</w:t>
            </w:r>
          </w:p>
        </w:tc>
        <w:tc>
          <w:tcPr>
            <w:tcW w:w="71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2</w:t>
            </w:r>
          </w:p>
        </w:tc>
        <w:tc>
          <w:tcPr>
            <w:tcW w:w="18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b/>
                <w:sz w:val="22"/>
                <w:szCs w:val="22"/>
              </w:rPr>
              <w:t>4</w:t>
            </w:r>
          </w:p>
        </w:tc>
      </w:tr>
      <w:tr>
        <w:trPr/>
        <w:tc>
          <w:tcPr>
            <w:tcW w:w="73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c>
          <w:tcPr>
            <w:tcW w:w="711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2"/>
                <w:szCs w:val="22"/>
              </w:rPr>
            </w:pPr>
            <w:r>
              <w:rPr>
                <w:i/>
                <w:iCs/>
                <w:sz w:val="22"/>
                <w:szCs w:val="22"/>
              </w:rPr>
              <w:t>«Оказание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«РусГидро» – «Жигулевская ГЭС»</w:t>
            </w:r>
          </w:p>
        </w:tc>
        <w:tc>
          <w:tcPr>
            <w:tcW w:w="184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rPr>
            </w:pPr>
            <w:r>
              <w:rPr>
                <w:sz w:val="22"/>
                <w:szCs w:val="22"/>
                <w:lang w:val="en-US"/>
              </w:rPr>
              <w:t>1</w:t>
            </w:r>
          </w:p>
        </w:tc>
      </w:tr>
    </w:tbl>
    <w:p>
      <w:pPr>
        <w:pStyle w:val="Normal"/>
        <w:numPr>
          <w:ilvl w:val="0"/>
          <w:numId w:val="0"/>
        </w:numPr>
        <w:suppressAutoHyphens w:val="true"/>
        <w:spacing w:before="120" w:after="60"/>
        <w:ind w:left="0" w:hanging="0"/>
        <w:jc w:val="both"/>
        <w:outlineLvl w:val="0"/>
        <w:rPr>
          <w:sz w:val="22"/>
          <w:szCs w:val="22"/>
        </w:rPr>
      </w:pPr>
      <w:r>
        <w:rPr>
          <w:rFonts w:eastAsia="Calibri"/>
          <w:b/>
          <w:sz w:val="22"/>
          <w:szCs w:val="22"/>
          <w:lang w:val="ru-RU"/>
        </w:rPr>
        <w:t>2.1.2. Требования к срокам оказания услуг</w:t>
      </w:r>
    </w:p>
    <w:p>
      <w:pPr>
        <w:pStyle w:val="Normal"/>
        <w:numPr>
          <w:ilvl w:val="0"/>
          <w:numId w:val="0"/>
        </w:numPr>
        <w:suppressAutoHyphens w:val="true"/>
        <w:spacing w:before="120" w:after="60"/>
        <w:ind w:left="0" w:hanging="0"/>
        <w:jc w:val="both"/>
        <w:outlineLvl w:val="0"/>
        <w:rPr>
          <w:b w:val="false"/>
          <w:bCs w:val="false"/>
          <w:sz w:val="22"/>
          <w:szCs w:val="22"/>
        </w:rPr>
      </w:pPr>
      <w:r>
        <w:rPr>
          <w:rFonts w:eastAsia="Calibri"/>
          <w:b w:val="false"/>
          <w:bCs w:val="false"/>
          <w:sz w:val="22"/>
          <w:szCs w:val="22"/>
          <w:lang w:val="ru-RU"/>
        </w:rPr>
        <w:t xml:space="preserve">Таблица </w:t>
      </w:r>
      <w:r>
        <w:rPr>
          <w:rFonts w:eastAsia="Calibri"/>
          <w:b w:val="false"/>
          <w:bCs w:val="false"/>
          <w:sz w:val="22"/>
          <w:szCs w:val="22"/>
          <w:lang w:val="ru-RU"/>
        </w:rPr>
        <w:t>3</w:t>
      </w:r>
      <w:r>
        <w:rPr>
          <w:rFonts w:eastAsia="Calibri"/>
          <w:b w:val="false"/>
          <w:bCs w:val="false"/>
          <w:sz w:val="22"/>
          <w:szCs w:val="22"/>
          <w:lang w:val="ru-RU"/>
        </w:rPr>
        <w:t xml:space="preserve">. </w:t>
      </w:r>
      <w:r>
        <w:rPr>
          <w:rFonts w:eastAsia="Calibri"/>
          <w:b w:val="false"/>
          <w:bCs w:val="false"/>
          <w:sz w:val="22"/>
          <w:szCs w:val="22"/>
          <w:lang w:val="ru-RU"/>
        </w:rPr>
        <w:t>Требования к срокам оказания</w:t>
      </w:r>
      <w:r>
        <w:rPr>
          <w:rFonts w:eastAsia="Calibri"/>
          <w:b w:val="false"/>
          <w:bCs w:val="false"/>
          <w:sz w:val="22"/>
          <w:szCs w:val="22"/>
          <w:lang w:val="ru-RU"/>
        </w:rPr>
        <w:t xml:space="preserve"> услуг</w:t>
      </w:r>
    </w:p>
    <w:tbl>
      <w:tblPr>
        <w:tblW w:w="9780" w:type="dxa"/>
        <w:jc w:val="left"/>
        <w:tblInd w:w="339" w:type="dxa"/>
        <w:tblLayout w:type="fixed"/>
        <w:tblCellMar>
          <w:top w:w="0" w:type="dxa"/>
          <w:left w:w="108" w:type="dxa"/>
          <w:bottom w:w="0" w:type="dxa"/>
          <w:right w:w="108" w:type="dxa"/>
        </w:tblCellMar>
        <w:tblLook w:val="04a0" w:noHBand="0" w:noVBand="1" w:firstColumn="1" w:lastRow="0" w:lastColumn="0" w:firstRow="1"/>
      </w:tblPr>
      <w:tblGrid>
        <w:gridCol w:w="732"/>
        <w:gridCol w:w="4640"/>
        <w:gridCol w:w="2226"/>
        <w:gridCol w:w="2182"/>
      </w:tblGrid>
      <w:tr>
        <w:trPr/>
        <w:tc>
          <w:tcPr>
            <w:tcW w:w="7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sz w:val="22"/>
                <w:szCs w:val="22"/>
              </w:rPr>
              <w:t xml:space="preserve">№ </w:t>
            </w:r>
            <w:r>
              <w:rPr>
                <w:rFonts w:ascii="Times New Roman" w:hAnsi="Times New Roman"/>
                <w:sz w:val="22"/>
                <w:szCs w:val="22"/>
              </w:rPr>
              <w:t>п/п</w:t>
            </w:r>
          </w:p>
        </w:tc>
        <w:tc>
          <w:tcPr>
            <w:tcW w:w="46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sz w:val="22"/>
                <w:szCs w:val="22"/>
              </w:rPr>
              <w:t>Наименование работ/ этапа работ</w:t>
            </w:r>
          </w:p>
        </w:tc>
        <w:tc>
          <w:tcPr>
            <w:tcW w:w="22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2"/>
                <w:szCs w:val="22"/>
              </w:rPr>
            </w:pPr>
            <w:r>
              <w:rPr>
                <w:rFonts w:ascii="Times New Roman" w:hAnsi="Times New Roman"/>
                <w:sz w:val="22"/>
                <w:szCs w:val="22"/>
              </w:rPr>
              <w:t>Требования к началу срока выполнения работ/ этапа работ</w:t>
            </w:r>
          </w:p>
        </w:tc>
        <w:tc>
          <w:tcPr>
            <w:tcW w:w="218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2"/>
                <w:szCs w:val="22"/>
              </w:rPr>
            </w:pPr>
            <w:r>
              <w:rPr>
                <w:rFonts w:ascii="Times New Roman" w:hAnsi="Times New Roman"/>
                <w:sz w:val="22"/>
                <w:szCs w:val="22"/>
              </w:rPr>
              <w:t>Требования к окончанию срока выполнения работ / этапа работ</w:t>
            </w:r>
          </w:p>
        </w:tc>
      </w:tr>
      <w:tr>
        <w:trPr/>
        <w:tc>
          <w:tcPr>
            <w:tcW w:w="73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b/>
                <w:sz w:val="22"/>
                <w:szCs w:val="22"/>
              </w:rPr>
              <w:t>1</w:t>
            </w:r>
          </w:p>
        </w:tc>
        <w:tc>
          <w:tcPr>
            <w:tcW w:w="464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b/>
                <w:sz w:val="22"/>
                <w:szCs w:val="22"/>
              </w:rPr>
              <w:t>2</w:t>
            </w:r>
          </w:p>
        </w:tc>
        <w:tc>
          <w:tcPr>
            <w:tcW w:w="2226" w:type="dxa"/>
            <w:tcBorders>
              <w:top w:val="single" w:sz="4" w:space="0" w:color="000000"/>
              <w:left w:val="single" w:sz="4" w:space="0" w:color="000000"/>
              <w:bottom w:val="single" w:sz="4" w:space="0" w:color="000000"/>
              <w:right w:val="single" w:sz="4" w:space="0" w:color="000000"/>
            </w:tcBorders>
            <w:vAlign w:val="center"/>
          </w:tcPr>
          <w:p>
            <w:pPr>
              <w:pStyle w:val="Style37"/>
              <w:keepNext w:val="false"/>
              <w:widowControl w:val="false"/>
              <w:spacing w:before="40" w:after="40"/>
              <w:jc w:val="center"/>
              <w:rPr>
                <w:rFonts w:ascii="Times New Roman" w:hAnsi="Times New Roman"/>
                <w:sz w:val="22"/>
                <w:szCs w:val="22"/>
              </w:rPr>
            </w:pPr>
            <w:r>
              <w:rPr>
                <w:rFonts w:ascii="Times New Roman" w:hAnsi="Times New Roman"/>
                <w:b/>
                <w:sz w:val="22"/>
                <w:szCs w:val="22"/>
              </w:rPr>
              <w:t>3</w:t>
            </w:r>
          </w:p>
        </w:tc>
        <w:tc>
          <w:tcPr>
            <w:tcW w:w="2182" w:type="dxa"/>
            <w:tcBorders>
              <w:top w:val="single" w:sz="4" w:space="0" w:color="000000"/>
              <w:left w:val="single" w:sz="4" w:space="0" w:color="000000"/>
              <w:bottom w:val="single" w:sz="4" w:space="0" w:color="000000"/>
              <w:right w:val="single" w:sz="4" w:space="0" w:color="000000"/>
            </w:tcBorders>
            <w:vAlign w:val="center"/>
          </w:tcPr>
          <w:p>
            <w:pPr>
              <w:pStyle w:val="Style37"/>
              <w:keepNext w:val="false"/>
              <w:widowControl w:val="false"/>
              <w:spacing w:before="40" w:after="40"/>
              <w:jc w:val="center"/>
              <w:rPr>
                <w:rFonts w:ascii="Times New Roman" w:hAnsi="Times New Roman"/>
                <w:sz w:val="22"/>
                <w:szCs w:val="22"/>
              </w:rPr>
            </w:pPr>
            <w:r>
              <w:rPr>
                <w:rFonts w:ascii="Times New Roman" w:hAnsi="Times New Roman"/>
                <w:b/>
                <w:sz w:val="22"/>
                <w:szCs w:val="22"/>
              </w:rPr>
              <w:t>4</w:t>
            </w:r>
          </w:p>
        </w:tc>
      </w:tr>
      <w:tr>
        <w:trPr/>
        <w:tc>
          <w:tcPr>
            <w:tcW w:w="732"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sz w:val="22"/>
                <w:szCs w:val="22"/>
              </w:rPr>
            </w:pPr>
            <w:r>
              <w:rPr>
                <w:rFonts w:ascii="Times New Roman" w:hAnsi="Times New Roman"/>
                <w:sz w:val="22"/>
                <w:szCs w:val="22"/>
              </w:rPr>
            </w:r>
          </w:p>
        </w:tc>
        <w:tc>
          <w:tcPr>
            <w:tcW w:w="4640" w:type="dxa"/>
            <w:tcBorders>
              <w:top w:val="single" w:sz="4" w:space="0" w:color="000000"/>
              <w:left w:val="single" w:sz="4" w:space="0" w:color="000000"/>
              <w:bottom w:val="single" w:sz="4" w:space="0" w:color="000000"/>
            </w:tcBorders>
            <w:shd w:color="auto" w:fill="auto" w:val="clear"/>
            <w:vAlign w:val="center"/>
          </w:tcPr>
          <w:p>
            <w:pPr>
              <w:pStyle w:val="Normal"/>
              <w:widowControl w:val="false"/>
              <w:rPr>
                <w:rFonts w:ascii="Times New Roman" w:hAnsi="Times New Roman"/>
                <w:sz w:val="22"/>
                <w:szCs w:val="22"/>
              </w:rPr>
            </w:pPr>
            <w:r>
              <w:rPr>
                <w:rFonts w:ascii="Times New Roman" w:hAnsi="Times New Roman"/>
                <w:sz w:val="22"/>
                <w:szCs w:val="22"/>
              </w:rPr>
              <w:t>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«РусГидро» – «Жигулевская ГЭС</w:t>
            </w:r>
          </w:p>
        </w:tc>
        <w:tc>
          <w:tcPr>
            <w:tcW w:w="2226" w:type="dxa"/>
            <w:tcBorders>
              <w:top w:val="single" w:sz="4" w:space="0" w:color="000000"/>
              <w:left w:val="single" w:sz="4" w:space="0" w:color="000000"/>
              <w:bottom w:val="single" w:sz="4" w:space="0" w:color="000000"/>
            </w:tcBorders>
            <w:shd w:color="auto" w:fill="auto" w:val="clear"/>
            <w:vAlign w:val="center"/>
          </w:tcPr>
          <w:p>
            <w:pPr>
              <w:pStyle w:val="Normal"/>
              <w:widowControl w:val="false"/>
              <w:rPr>
                <w:rFonts w:ascii="Times New Roman" w:hAnsi="Times New Roman"/>
                <w:sz w:val="22"/>
                <w:szCs w:val="22"/>
              </w:rPr>
            </w:pPr>
            <w:r>
              <w:rPr>
                <w:rFonts w:ascii="Times New Roman" w:hAnsi="Times New Roman"/>
                <w:sz w:val="22"/>
                <w:szCs w:val="22"/>
              </w:rPr>
              <w:t xml:space="preserve">С даты заключения договора </w:t>
            </w:r>
          </w:p>
        </w:tc>
        <w:tc>
          <w:tcPr>
            <w:tcW w:w="2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sz w:val="22"/>
                <w:szCs w:val="22"/>
              </w:rPr>
            </w:pPr>
            <w:r>
              <w:rPr>
                <w:rFonts w:ascii="Times New Roman" w:hAnsi="Times New Roman"/>
                <w:sz w:val="22"/>
                <w:szCs w:val="22"/>
              </w:rPr>
              <w:t>В течении 45 календарных дней с даты заключения договора</w:t>
            </w:r>
          </w:p>
        </w:tc>
      </w:tr>
      <w:tr>
        <w:trPr/>
        <w:tc>
          <w:tcPr>
            <w:tcW w:w="732" w:type="dxa"/>
            <w:tcBorders>
              <w:left w:val="single" w:sz="4" w:space="0" w:color="000000"/>
              <w:bottom w:val="single" w:sz="4" w:space="0" w:color="000000"/>
              <w:right w:val="single" w:sz="4" w:space="0" w:color="000000"/>
            </w:tcBorders>
            <w:shd w:color="auto" w:fill="auto" w:val="clear"/>
            <w:vAlign w:val="center"/>
          </w:tcPr>
          <w:p>
            <w:pPr>
              <w:pStyle w:val="Normal"/>
              <w:widowControl w:val="false"/>
              <w:rPr>
                <w:rFonts w:ascii="Times New Roman" w:hAnsi="Times New Roman"/>
                <w:sz w:val="22"/>
                <w:szCs w:val="22"/>
              </w:rPr>
            </w:pPr>
            <w:r>
              <w:rPr>
                <w:rFonts w:ascii="Times New Roman" w:hAnsi="Times New Roman"/>
                <w:sz w:val="22"/>
                <w:szCs w:val="22"/>
              </w:rPr>
              <w:t>*</w:t>
            </w:r>
          </w:p>
        </w:tc>
        <w:tc>
          <w:tcPr>
            <w:tcW w:w="9048" w:type="dxa"/>
            <w:gridSpan w:val="3"/>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jc w:val="both"/>
              <w:rPr>
                <w:rFonts w:ascii="Times New Roman" w:hAnsi="Times New Roman"/>
                <w:sz w:val="22"/>
                <w:szCs w:val="22"/>
              </w:rPr>
            </w:pPr>
            <w:r>
              <w:rPr>
                <w:rFonts w:ascii="Times New Roman" w:hAnsi="Times New Roman"/>
                <w:sz w:val="22"/>
                <w:szCs w:val="22"/>
              </w:rPr>
              <w:t xml:space="preserve">По этапам: </w:t>
            </w:r>
            <w:r>
              <w:rPr>
                <w:rFonts w:ascii="Times New Roman" w:hAnsi="Times New Roman"/>
                <w:color w:val="2C2D2E"/>
                <w:sz w:val="22"/>
                <w:szCs w:val="22"/>
              </w:rPr>
              <w:t>*п/п.1.1, 1.2, 1.3 к учету не принимаются и отражаются только для контроля сроков выполнения работ.</w:t>
            </w:r>
          </w:p>
        </w:tc>
      </w:tr>
      <w:tr>
        <w:trPr/>
        <w:tc>
          <w:tcPr>
            <w:tcW w:w="73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sz w:val="22"/>
                <w:szCs w:val="22"/>
                <w:lang w:val="en-US"/>
              </w:rPr>
              <w:t>1.1</w:t>
            </w:r>
          </w:p>
        </w:tc>
        <w:tc>
          <w:tcPr>
            <w:tcW w:w="4640"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jc w:val="both"/>
              <w:rPr>
                <w:rFonts w:ascii="Times New Roman" w:hAnsi="Times New Roman"/>
                <w:sz w:val="22"/>
                <w:szCs w:val="22"/>
              </w:rPr>
            </w:pPr>
            <w:r>
              <w:rPr>
                <w:rFonts w:ascii="Times New Roman" w:hAnsi="Times New Roman"/>
                <w:sz w:val="22"/>
                <w:szCs w:val="22"/>
              </w:rPr>
              <w:t>Разработка программы инженерно-геодезических изысканий, проекта производства работ (ППР), согласование с заинтересованными службами филиала ПАО «РусГидро»-«Жигулевская ГЭС», согласование ППР и программы обследования.</w:t>
            </w:r>
          </w:p>
        </w:tc>
        <w:tc>
          <w:tcPr>
            <w:tcW w:w="2226" w:type="dxa"/>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rFonts w:ascii="Times New Roman" w:hAnsi="Times New Roman"/>
                <w:sz w:val="22"/>
                <w:szCs w:val="22"/>
              </w:rPr>
              <w:t>С даты заключения договора</w:t>
            </w:r>
          </w:p>
        </w:tc>
        <w:tc>
          <w:tcPr>
            <w:tcW w:w="2182" w:type="dxa"/>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rFonts w:ascii="Times New Roman" w:hAnsi="Times New Roman"/>
                <w:sz w:val="22"/>
                <w:szCs w:val="22"/>
              </w:rPr>
              <w:t>В течении 15 календарных дней с даты заключения договора</w:t>
            </w:r>
          </w:p>
        </w:tc>
      </w:tr>
      <w:tr>
        <w:trPr/>
        <w:tc>
          <w:tcPr>
            <w:tcW w:w="73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sz w:val="22"/>
                <w:szCs w:val="22"/>
                <w:lang w:val="en-US"/>
              </w:rPr>
              <w:t>1.2</w:t>
            </w:r>
          </w:p>
        </w:tc>
        <w:tc>
          <w:tcPr>
            <w:tcW w:w="4640"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jc w:val="both"/>
              <w:rPr>
                <w:rFonts w:ascii="Times New Roman" w:hAnsi="Times New Roman"/>
                <w:sz w:val="22"/>
                <w:szCs w:val="22"/>
              </w:rPr>
            </w:pPr>
            <w:r>
              <w:rPr>
                <w:rFonts w:ascii="Times New Roman" w:hAnsi="Times New Roman"/>
                <w:sz w:val="22"/>
                <w:szCs w:val="22"/>
              </w:rPr>
              <w:t>Проведение инженерно-геодезических изысканий</w:t>
            </w:r>
          </w:p>
        </w:tc>
        <w:tc>
          <w:tcPr>
            <w:tcW w:w="2226" w:type="dxa"/>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rFonts w:ascii="Times New Roman" w:hAnsi="Times New Roman"/>
                <w:sz w:val="22"/>
                <w:szCs w:val="22"/>
              </w:rPr>
              <w:t>С даты окончания первого этапа</w:t>
            </w:r>
          </w:p>
        </w:tc>
        <w:tc>
          <w:tcPr>
            <w:tcW w:w="2182" w:type="dxa"/>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rFonts w:ascii="Times New Roman" w:hAnsi="Times New Roman"/>
                <w:sz w:val="22"/>
                <w:szCs w:val="22"/>
              </w:rPr>
              <w:t>В течении 15 календарных дней с даты окончания первого этапа</w:t>
            </w:r>
          </w:p>
        </w:tc>
      </w:tr>
      <w:tr>
        <w:trPr/>
        <w:tc>
          <w:tcPr>
            <w:tcW w:w="732" w:type="dxa"/>
            <w:tcBorders>
              <w:left w:val="single" w:sz="4" w:space="0" w:color="000000"/>
              <w:bottom w:val="single" w:sz="4" w:space="0" w:color="000000"/>
              <w:right w:val="single" w:sz="4" w:space="0" w:color="000000"/>
            </w:tcBorders>
            <w:shd w:color="auto" w:fill="auto" w:val="clear"/>
            <w:vAlign w:val="center"/>
          </w:tcPr>
          <w:p>
            <w:pPr>
              <w:pStyle w:val="Normal"/>
              <w:widowControl w:val="false"/>
              <w:jc w:val="center"/>
              <w:rPr>
                <w:rFonts w:ascii="Times New Roman" w:hAnsi="Times New Roman"/>
                <w:sz w:val="22"/>
                <w:szCs w:val="22"/>
              </w:rPr>
            </w:pPr>
            <w:r>
              <w:rPr>
                <w:rFonts w:ascii="Times New Roman" w:hAnsi="Times New Roman"/>
                <w:sz w:val="22"/>
                <w:szCs w:val="22"/>
                <w:lang w:val="en-US"/>
              </w:rPr>
              <w:t>1.3</w:t>
            </w:r>
          </w:p>
        </w:tc>
        <w:tc>
          <w:tcPr>
            <w:tcW w:w="4640"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60" w:after="60"/>
              <w:jc w:val="both"/>
              <w:rPr>
                <w:rFonts w:ascii="Times New Roman" w:hAnsi="Times New Roman"/>
                <w:sz w:val="22"/>
                <w:szCs w:val="22"/>
              </w:rPr>
            </w:pPr>
            <w:r>
              <w:rPr>
                <w:rFonts w:ascii="Times New Roman" w:hAnsi="Times New Roman"/>
                <w:sz w:val="22"/>
                <w:szCs w:val="22"/>
              </w:rPr>
              <w:t>Актуализация технического паспорта и инструкции о порядке обслуживания и организации движения на железнодорожном пути необщего пользования, масштабного плана путей и сводных таблиц с характеристиками элементов путей и переездов. Оформление</w:t>
            </w:r>
            <w:r>
              <w:rPr>
                <w:rFonts w:ascii="Times New Roman" w:hAnsi="Times New Roman"/>
                <w:sz w:val="22"/>
                <w:szCs w:val="22"/>
                <w:lang w:val="en-US"/>
              </w:rPr>
              <w:t xml:space="preserve"> и согласование</w:t>
            </w:r>
            <w:r>
              <w:rPr>
                <w:rFonts w:ascii="Times New Roman" w:hAnsi="Times New Roman"/>
                <w:sz w:val="22"/>
                <w:szCs w:val="22"/>
              </w:rPr>
              <w:t xml:space="preserve"> результатов инженерно-геодезических изысканий</w:t>
            </w:r>
            <w:r>
              <w:rPr>
                <w:rFonts w:ascii="Times New Roman" w:hAnsi="Times New Roman"/>
                <w:sz w:val="22"/>
                <w:szCs w:val="22"/>
                <w:lang w:val="en-US"/>
              </w:rPr>
              <w:t>.</w:t>
            </w:r>
          </w:p>
        </w:tc>
        <w:tc>
          <w:tcPr>
            <w:tcW w:w="2226" w:type="dxa"/>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rFonts w:ascii="Times New Roman" w:hAnsi="Times New Roman"/>
                <w:sz w:val="22"/>
                <w:szCs w:val="22"/>
              </w:rPr>
              <w:t>С даты окончания второго этапа</w:t>
            </w:r>
          </w:p>
        </w:tc>
        <w:tc>
          <w:tcPr>
            <w:tcW w:w="2182" w:type="dxa"/>
            <w:tcBorders>
              <w:left w:val="single" w:sz="4" w:space="0" w:color="000000"/>
              <w:bottom w:val="single" w:sz="4" w:space="0" w:color="000000"/>
              <w:right w:val="single" w:sz="4" w:space="0" w:color="000000"/>
            </w:tcBorders>
            <w:vAlign w:val="center"/>
          </w:tcPr>
          <w:p>
            <w:pPr>
              <w:pStyle w:val="Normal"/>
              <w:widowControl w:val="false"/>
              <w:rPr>
                <w:rFonts w:ascii="Times New Roman" w:hAnsi="Times New Roman"/>
                <w:sz w:val="22"/>
                <w:szCs w:val="22"/>
              </w:rPr>
            </w:pPr>
            <w:r>
              <w:rPr>
                <w:rFonts w:ascii="Times New Roman" w:hAnsi="Times New Roman"/>
                <w:sz w:val="22"/>
                <w:szCs w:val="22"/>
              </w:rPr>
              <w:t>В течении 15 календарных дней с даты окончания второго этапа</w:t>
            </w:r>
          </w:p>
        </w:tc>
      </w:tr>
    </w:tbl>
    <w:p>
      <w:pPr>
        <w:pStyle w:val="Normal"/>
        <w:keepNext w:val="true"/>
        <w:numPr>
          <w:ilvl w:val="0"/>
          <w:numId w:val="0"/>
        </w:numPr>
        <w:suppressAutoHyphens w:val="true"/>
        <w:ind w:left="432" w:hanging="0"/>
        <w:outlineLvl w:val="3"/>
        <w:rPr>
          <w:rFonts w:eastAsia="Calibri"/>
          <w:b/>
          <w:bCs/>
          <w:sz w:val="22"/>
          <w:szCs w:val="22"/>
          <w:lang w:val="ru-RU"/>
        </w:rPr>
      </w:pPr>
      <w:r>
        <w:rPr/>
      </w:r>
    </w:p>
    <w:p>
      <w:pPr>
        <w:pStyle w:val="Normal"/>
        <w:numPr>
          <w:ilvl w:val="0"/>
          <w:numId w:val="0"/>
        </w:numPr>
        <w:suppressAutoHyphens w:val="true"/>
        <w:ind w:left="432" w:hanging="0"/>
        <w:outlineLvl w:val="3"/>
        <w:rPr/>
      </w:pPr>
      <w:r>
        <w:rPr>
          <w:rFonts w:eastAsia="Calibri"/>
          <w:b/>
          <w:bCs/>
          <w:sz w:val="22"/>
          <w:szCs w:val="22"/>
          <w:lang w:val="ru-RU"/>
        </w:rPr>
        <w:t xml:space="preserve">2.2. </w:t>
      </w:r>
      <w:r>
        <w:rPr>
          <w:rFonts w:eastAsia="Calibri"/>
          <w:b/>
          <w:bCs/>
          <w:sz w:val="22"/>
          <w:szCs w:val="22"/>
          <w:lang w:val="ru-RU"/>
        </w:rPr>
        <w:t>Требования к качеству услуг</w:t>
      </w:r>
    </w:p>
    <w:p>
      <w:pPr>
        <w:pStyle w:val="Style36"/>
        <w:jc w:val="left"/>
        <w:rPr>
          <w:sz w:val="22"/>
          <w:szCs w:val="22"/>
        </w:rPr>
      </w:pPr>
      <w:r>
        <w:rPr>
          <w:rFonts w:eastAsia="Calibri"/>
          <w:b w:val="false"/>
          <w:bCs w:val="false"/>
          <w:sz w:val="22"/>
          <w:szCs w:val="22"/>
          <w:lang w:val="ru-RU"/>
        </w:rPr>
        <w:t>Таблица 4. Требования к качеству услуг</w:t>
      </w:r>
    </w:p>
    <w:p>
      <w:pPr>
        <w:pStyle w:val="Style36"/>
        <w:jc w:val="left"/>
        <w:rPr>
          <w:sz w:val="22"/>
          <w:szCs w:val="22"/>
        </w:rPr>
      </w:pPr>
      <w:r>
        <w:rPr>
          <w:rFonts w:eastAsia="Calibri"/>
          <w:sz w:val="22"/>
          <w:szCs w:val="22"/>
          <w:lang w:val="ru-RU"/>
        </w:rPr>
        <w:t>Наименование услуг/этапа услуг (позиция №1 Таблицы 2):</w:t>
      </w:r>
      <w:r>
        <w:rPr>
          <w:rFonts w:eastAsia="Calibri"/>
          <w:b w:val="false"/>
          <w:bCs w:val="false"/>
          <w:sz w:val="22"/>
          <w:szCs w:val="22"/>
          <w:lang w:val="ru-RU"/>
        </w:rPr>
        <w:t xml:space="preserve"> «Оказание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филиала ПАО «РусГидро» – «Жигулевская ГЭС»</w:t>
      </w:r>
    </w:p>
    <w:tbl>
      <w:tblPr>
        <w:tblW w:w="9923" w:type="dxa"/>
        <w:jc w:val="left"/>
        <w:tblInd w:w="108" w:type="dxa"/>
        <w:tblLayout w:type="fixed"/>
        <w:tblCellMar>
          <w:top w:w="0" w:type="dxa"/>
          <w:left w:w="108" w:type="dxa"/>
          <w:bottom w:w="0" w:type="dxa"/>
          <w:right w:w="108" w:type="dxa"/>
        </w:tblCellMar>
      </w:tblPr>
      <w:tblGrid>
        <w:gridCol w:w="851"/>
        <w:gridCol w:w="2546"/>
        <w:gridCol w:w="6526"/>
      </w:tblGrid>
      <w:tr>
        <w:trPr>
          <w:trHeight w:val="230" w:hRule="atLeast"/>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sz w:val="20"/>
                <w:szCs w:val="20"/>
              </w:rPr>
            </w:pPr>
            <w:r>
              <w:rPr>
                <w:rFonts w:ascii="Times New Roman" w:hAnsi="Times New Roman"/>
                <w:b/>
                <w:bCs/>
                <w:sz w:val="20"/>
                <w:szCs w:val="20"/>
                <w:lang w:val="ru-RU"/>
              </w:rPr>
              <w:t xml:space="preserve">№ </w:t>
            </w:r>
            <w:r>
              <w:rPr>
                <w:rFonts w:ascii="Times New Roman" w:hAnsi="Times New Roman"/>
                <w:b/>
                <w:bCs/>
                <w:sz w:val="20"/>
                <w:szCs w:val="20"/>
                <w:lang w:val="ru-RU"/>
              </w:rPr>
              <w:t>п/п</w:t>
            </w:r>
          </w:p>
        </w:tc>
        <w:tc>
          <w:tcPr>
            <w:tcW w:w="254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sz w:val="20"/>
                <w:szCs w:val="20"/>
              </w:rPr>
            </w:pPr>
            <w:r>
              <w:rPr>
                <w:rFonts w:ascii="Times New Roman" w:hAnsi="Times New Roman"/>
                <w:b/>
                <w:bCs/>
                <w:sz w:val="20"/>
                <w:szCs w:val="20"/>
                <w:lang w:val="ru-RU"/>
              </w:rPr>
              <w:t>Наименование параметра</w:t>
            </w:r>
          </w:p>
        </w:tc>
        <w:tc>
          <w:tcPr>
            <w:tcW w:w="65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sz w:val="20"/>
                <w:szCs w:val="20"/>
              </w:rPr>
            </w:pPr>
            <w:r>
              <w:rPr>
                <w:rFonts w:ascii="Times New Roman" w:hAnsi="Times New Roman"/>
                <w:b/>
                <w:bCs/>
                <w:sz w:val="20"/>
                <w:szCs w:val="20"/>
                <w:lang w:val="ru-RU"/>
              </w:rPr>
              <w:t>Требование заказчика</w:t>
            </w:r>
          </w:p>
        </w:tc>
      </w:tr>
      <w:tr>
        <w:trPr>
          <w:trHeight w:val="230" w:hRule="atLeast"/>
        </w:trPr>
        <w:tc>
          <w:tcPr>
            <w:tcW w:w="8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jc w:val="center"/>
              <w:rPr>
                <w:rFonts w:ascii="Times New Roman" w:hAnsi="Times New Roman"/>
                <w:b/>
                <w:bCs/>
                <w:sz w:val="20"/>
                <w:szCs w:val="20"/>
                <w:lang w:val="ru-RU"/>
              </w:rPr>
            </w:pPr>
            <w:r>
              <w:rPr>
                <w:rFonts w:ascii="Times New Roman" w:hAnsi="Times New Roman"/>
                <w:b/>
                <w:bCs/>
                <w:sz w:val="20"/>
                <w:szCs w:val="20"/>
                <w:lang w:val="ru-RU"/>
              </w:rPr>
            </w:r>
          </w:p>
        </w:tc>
        <w:tc>
          <w:tcPr>
            <w:tcW w:w="254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rPr>
                <w:rFonts w:ascii="Times New Roman" w:hAnsi="Times New Roman"/>
                <w:b/>
                <w:bCs/>
                <w:sz w:val="20"/>
                <w:szCs w:val="20"/>
                <w:lang w:val="ru-RU"/>
              </w:rPr>
            </w:pPr>
            <w:r>
              <w:rPr>
                <w:rFonts w:ascii="Times New Roman" w:hAnsi="Times New Roman"/>
                <w:b/>
                <w:bCs/>
                <w:sz w:val="20"/>
                <w:szCs w:val="20"/>
                <w:lang w:val="ru-RU"/>
              </w:rPr>
            </w:r>
          </w:p>
        </w:tc>
        <w:tc>
          <w:tcPr>
            <w:tcW w:w="65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rPr>
                <w:rFonts w:ascii="Times New Roman" w:hAnsi="Times New Roman"/>
                <w:b/>
                <w:bCs/>
                <w:sz w:val="20"/>
                <w:szCs w:val="20"/>
                <w:lang w:val="ru-RU"/>
              </w:rPr>
            </w:pPr>
            <w:r>
              <w:rPr>
                <w:rFonts w:ascii="Times New Roman" w:hAnsi="Times New Roman"/>
                <w:b/>
                <w:bCs/>
                <w:sz w:val="20"/>
                <w:szCs w:val="20"/>
                <w:lang w:val="ru-RU"/>
              </w:rPr>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jc w:val="center"/>
              <w:rPr>
                <w:rFonts w:ascii="Times New Roman" w:hAnsi="Times New Roman"/>
                <w:sz w:val="20"/>
                <w:szCs w:val="20"/>
              </w:rPr>
            </w:pPr>
            <w:r>
              <w:rPr>
                <w:rFonts w:ascii="Times New Roman" w:hAnsi="Times New Roman"/>
                <w:b/>
                <w:sz w:val="20"/>
                <w:szCs w:val="20"/>
                <w:lang w:val="ru-RU"/>
              </w:rPr>
              <w:t>1</w:t>
            </w:r>
          </w:p>
        </w:tc>
        <w:tc>
          <w:tcPr>
            <w:tcW w:w="25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sz w:val="20"/>
                <w:szCs w:val="20"/>
              </w:rPr>
            </w:pPr>
            <w:r>
              <w:rPr>
                <w:rFonts w:ascii="Times New Roman" w:hAnsi="Times New Roman"/>
                <w:b/>
                <w:sz w:val="20"/>
                <w:szCs w:val="20"/>
                <w:lang w:val="ru-RU"/>
              </w:rPr>
              <w:t>2</w:t>
            </w:r>
          </w:p>
        </w:tc>
        <w:tc>
          <w:tcPr>
            <w:tcW w:w="652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jc w:val="center"/>
              <w:rPr>
                <w:rFonts w:ascii="Times New Roman" w:hAnsi="Times New Roman"/>
                <w:sz w:val="20"/>
                <w:szCs w:val="20"/>
              </w:rPr>
            </w:pPr>
            <w:r>
              <w:rPr>
                <w:rFonts w:ascii="Times New Roman" w:hAnsi="Times New Roman"/>
                <w:b/>
                <w:sz w:val="20"/>
                <w:szCs w:val="20"/>
                <w:lang w:val="ru-RU"/>
              </w:rPr>
              <w:t>3</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ind w:hanging="0"/>
              <w:contextualSpacing/>
              <w:jc w:val="center"/>
              <w:rPr>
                <w:rFonts w:ascii="Times New Roman" w:hAnsi="Times New Roman"/>
                <w:sz w:val="20"/>
                <w:szCs w:val="20"/>
              </w:rPr>
            </w:pPr>
            <w:r>
              <w:rPr>
                <w:rFonts w:eastAsia="Calibri" w:ascii="Times New Roman" w:hAnsi="Times New Roman"/>
                <w:b/>
                <w:sz w:val="20"/>
                <w:szCs w:val="20"/>
                <w:lang w:val="ru-RU"/>
              </w:rPr>
              <w:t>1</w:t>
            </w:r>
          </w:p>
        </w:tc>
        <w:tc>
          <w:tcPr>
            <w:tcW w:w="907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rPr>
                <w:rFonts w:ascii="Times New Roman" w:hAnsi="Times New Roman"/>
                <w:sz w:val="20"/>
                <w:szCs w:val="20"/>
              </w:rPr>
            </w:pPr>
            <w:r>
              <w:rPr>
                <w:rFonts w:ascii="Times New Roman" w:hAnsi="Times New Roman"/>
                <w:b/>
                <w:sz w:val="20"/>
                <w:szCs w:val="20"/>
                <w:lang w:val="ru-RU"/>
              </w:rPr>
              <w:t>Требования к оказанию услуг</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ind w:left="25" w:hanging="0"/>
              <w:contextualSpacing/>
              <w:jc w:val="center"/>
              <w:rPr>
                <w:rFonts w:ascii="Times New Roman" w:hAnsi="Times New Roman"/>
                <w:sz w:val="20"/>
                <w:szCs w:val="20"/>
              </w:rPr>
            </w:pPr>
            <w:r>
              <w:rPr>
                <w:rFonts w:eastAsia="Calibri" w:ascii="Times New Roman" w:hAnsi="Times New Roman"/>
                <w:b/>
                <w:bCs/>
                <w:sz w:val="20"/>
                <w:szCs w:val="20"/>
                <w:lang w:val="ru-RU"/>
              </w:rPr>
              <w:t>1.1.</w:t>
            </w:r>
          </w:p>
        </w:tc>
        <w:tc>
          <w:tcPr>
            <w:tcW w:w="907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jc w:val="left"/>
              <w:rPr>
                <w:rFonts w:ascii="Times New Roman" w:hAnsi="Times New Roman" w:eastAsia="Times New Roman" w:cs="Times New Roman"/>
                <w:kern w:val="0"/>
                <w:sz w:val="20"/>
                <w:szCs w:val="20"/>
                <w:lang w:eastAsia="ru-RU" w:bidi="ar-SA"/>
              </w:rPr>
            </w:pPr>
            <w:r>
              <w:rPr>
                <w:rFonts w:eastAsia="Times New Roman" w:cs="Times New Roman" w:ascii="Times New Roman" w:hAnsi="Times New Roman"/>
                <w:b/>
                <w:kern w:val="0"/>
                <w:sz w:val="20"/>
                <w:szCs w:val="20"/>
                <w:lang w:val="ru-RU" w:eastAsia="ru-RU" w:bidi="ar-SA"/>
              </w:rPr>
              <w:t>Общие требования к оказанию у</w:t>
            </w:r>
            <w:r>
              <w:rPr>
                <w:rFonts w:eastAsia="Times New Roman" w:cs="Times New Roman" w:ascii="Times New Roman" w:hAnsi="Times New Roman"/>
                <w:b/>
                <w:kern w:val="0"/>
                <w:sz w:val="20"/>
                <w:szCs w:val="20"/>
                <w:lang w:val="en-US" w:eastAsia="ru-RU" w:bidi="ar-SA"/>
              </w:rPr>
              <w:t>слуг</w:t>
            </w:r>
          </w:p>
          <w:p>
            <w:pPr>
              <w:pStyle w:val="ListParagraph"/>
              <w:widowControl/>
              <w:numPr>
                <w:ilvl w:val="0"/>
                <w:numId w:val="10"/>
              </w:numPr>
              <w:suppressAutoHyphens w:val="true"/>
              <w:spacing w:before="0" w:after="0"/>
              <w:ind w:left="0" w:hanging="0"/>
              <w:contextualSpacing/>
              <w:jc w:val="both"/>
              <w:rPr>
                <w:rFonts w:ascii="Times New Roman" w:hAnsi="Times New Roman" w:cs="Times New Roman"/>
                <w:kern w:val="0"/>
                <w:sz w:val="20"/>
                <w:szCs w:val="20"/>
                <w:lang w:val="ru-RU" w:eastAsia="ru-RU" w:bidi="ar-SA"/>
              </w:rPr>
            </w:pPr>
            <w:r>
              <w:rPr>
                <w:rFonts w:cs="Times New Roman" w:ascii="Times New Roman" w:hAnsi="Times New Roman"/>
                <w:kern w:val="0"/>
                <w:sz w:val="20"/>
                <w:szCs w:val="20"/>
                <w:lang w:val="ru-RU" w:eastAsia="ru-RU" w:bidi="ar-SA"/>
              </w:rPr>
              <w:t>В объем оказания услуг входит:</w:t>
            </w:r>
          </w:p>
          <w:p>
            <w:pPr>
              <w:pStyle w:val="ListParagraph"/>
              <w:widowControl/>
              <w:suppressAutoHyphens w:val="true"/>
              <w:spacing w:before="0" w:after="0"/>
              <w:ind w:left="0" w:hanging="0"/>
              <w:contextualSpacing/>
              <w:jc w:val="both"/>
              <w:rPr>
                <w:rFonts w:ascii="Times New Roman" w:hAnsi="Times New Roman" w:cs="Times New Roman"/>
                <w:kern w:val="0"/>
                <w:sz w:val="20"/>
                <w:szCs w:val="20"/>
                <w:lang w:bidi="ar-SA"/>
              </w:rPr>
            </w:pPr>
            <w:r>
              <w:rPr>
                <w:rFonts w:cs="Times New Roman" w:ascii="Times New Roman" w:hAnsi="Times New Roman"/>
                <w:kern w:val="0"/>
                <w:sz w:val="20"/>
                <w:szCs w:val="20"/>
                <w:lang w:val="ru-RU" w:eastAsia="ru-RU" w:bidi="ar-SA"/>
              </w:rPr>
              <w:t>П</w:t>
            </w:r>
            <w:r>
              <w:rPr>
                <w:rFonts w:cs="Times New Roman" w:ascii="Times New Roman" w:hAnsi="Times New Roman"/>
                <w:kern w:val="0"/>
                <w:sz w:val="20"/>
                <w:szCs w:val="20"/>
                <w:lang w:val="x-none" w:eastAsia="x-none" w:bidi="ar-SA"/>
              </w:rPr>
              <w:t>одготовительные работы:</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Ознакомление с объектом изысканий;</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Подбор и анализ документации: Схема железнодорожных путей необщего пользования филиала ПАО «РусГидро»-«Жигулевская ГЭС» (Приложение № 1 к ТТ), Технический паспорт железнодорожного пути, Инструкции о порядке обслуживания и организации движения.</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Составление программы работ с последующим согласованием у Заказчика.</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Разработка проекта производства работ и согласование с заказчиком (Приложение № 6 к ТТ).</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Проведение организационно-технических мероприятий.</w:t>
            </w:r>
          </w:p>
          <w:p>
            <w:pPr>
              <w:pStyle w:val="ListParagraph"/>
              <w:widowControl/>
              <w:numPr>
                <w:ilvl w:val="0"/>
                <w:numId w:val="10"/>
              </w:numPr>
              <w:suppressAutoHyphens w:val="true"/>
              <w:spacing w:before="0" w:after="0"/>
              <w:ind w:left="0" w:hanging="0"/>
              <w:contextualSpacing/>
              <w:jc w:val="both"/>
              <w:rPr>
                <w:rFonts w:ascii="Times New Roman" w:hAnsi="Times New Roman" w:cs="Times New Roman"/>
                <w:kern w:val="0"/>
                <w:sz w:val="20"/>
                <w:szCs w:val="20"/>
                <w:lang w:bidi="ar-SA"/>
              </w:rPr>
            </w:pPr>
            <w:r>
              <w:rPr>
                <w:rFonts w:cs="Times New Roman" w:ascii="Times New Roman" w:hAnsi="Times New Roman"/>
                <w:kern w:val="0"/>
                <w:sz w:val="20"/>
                <w:szCs w:val="20"/>
                <w:lang w:val="x-none" w:eastAsia="x-none" w:bidi="ar-SA"/>
              </w:rPr>
              <w:t>Основные работы:</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Проведение инженерно-геодезических изысканий, включающие в себя работы по съемке продольного профиля железнодорожных путей, стрелочных переводов и масштабного плана, детальной съемки кривых;</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Проведение инженерно-технических изысканий, включающие в себя комплексный осмотр и полную опись верхнего и нижнего строения пути, с целью определения всех характеристик и показателей пути, земляного полотна и искусственных сооружений.</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Обработка результатов геодезических и инженерно-технических изысканий с составлением продольных профилей железнодорожного пути и таблиц с характеристиками элементов путей и переездов;</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Обновление технического паспорта железнодорожного пути и инструкции о порядке обслуживания и организации движения.</w:t>
            </w:r>
            <w:r>
              <w:rPr>
                <w:rFonts w:cs="Times New Roman" w:ascii="Times New Roman" w:hAnsi="Times New Roman"/>
                <w:kern w:val="0"/>
                <w:sz w:val="20"/>
                <w:szCs w:val="20"/>
                <w:lang w:val="ru-RU" w:eastAsia="x-none" w:bidi="ar-SA"/>
              </w:rPr>
              <w:t xml:space="preserve"> </w:t>
            </w:r>
            <w:r>
              <w:rPr>
                <w:rFonts w:cs="Times New Roman" w:ascii="Times New Roman" w:hAnsi="Times New Roman"/>
                <w:kern w:val="0"/>
                <w:sz w:val="20"/>
                <w:szCs w:val="20"/>
                <w:lang w:val="x-none" w:eastAsia="x-none" w:bidi="ar-SA"/>
              </w:rPr>
              <w:t>Согласование обновленного технического паспорта железнодорожного пути, инструкции о порядке обслуживания и организации движения, продольного профиля железнодорожного пути с заинтересованными службами филиала ПАО «РусГидро»-«Жигулевская ГЭС», Приволжским филиалом АО «ТК РусГидро» и ЗАО «ППЖТ».</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before="60" w:after="60"/>
              <w:ind w:hanging="0"/>
              <w:contextualSpacing/>
              <w:jc w:val="center"/>
              <w:rPr>
                <w:rFonts w:ascii="Times New Roman" w:hAnsi="Times New Roman" w:eastAsia="Calibri"/>
                <w:b/>
                <w:sz w:val="20"/>
                <w:szCs w:val="20"/>
                <w:lang w:val="ru-RU"/>
              </w:rPr>
            </w:pPr>
            <w:r>
              <w:rPr>
                <w:rFonts w:eastAsia="Calibri" w:ascii="Times New Roman" w:hAnsi="Times New Roman"/>
                <w:b/>
                <w:sz w:val="20"/>
                <w:szCs w:val="20"/>
                <w:lang w:val="ru-RU"/>
              </w:rPr>
              <w:t>1.2.</w:t>
            </w:r>
          </w:p>
        </w:tc>
        <w:tc>
          <w:tcPr>
            <w:tcW w:w="9072"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0"/>
              <w:rPr>
                <w:rFonts w:ascii="Times New Roman" w:hAnsi="Times New Roman"/>
                <w:sz w:val="20"/>
                <w:szCs w:val="20"/>
              </w:rPr>
            </w:pPr>
            <w:r>
              <w:rPr>
                <w:rFonts w:ascii="Times New Roman" w:hAnsi="Times New Roman"/>
                <w:b/>
                <w:sz w:val="20"/>
                <w:szCs w:val="20"/>
                <w:lang w:val="ru-RU"/>
              </w:rPr>
              <w:t>Требования к</w:t>
            </w:r>
            <w:r>
              <w:rPr>
                <w:rFonts w:eastAsia="Times New Roman" w:cs="Times New Roman" w:ascii="Times New Roman" w:hAnsi="Times New Roman"/>
                <w:b/>
                <w:kern w:val="0"/>
                <w:sz w:val="20"/>
                <w:szCs w:val="20"/>
                <w:lang w:val="ru-RU" w:eastAsia="ru-RU" w:bidi="ar-SA"/>
              </w:rPr>
              <w:t xml:space="preserve"> области применения</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before="60" w:after="60"/>
              <w:ind w:hanging="0"/>
              <w:contextualSpacing/>
              <w:jc w:val="center"/>
              <w:rPr>
                <w:rFonts w:ascii="Times New Roman" w:hAnsi="Times New Roman" w:eastAsia="Calibri"/>
                <w:b w:val="false"/>
                <w:bCs w:val="false"/>
                <w:sz w:val="20"/>
                <w:szCs w:val="20"/>
                <w:lang w:val="ru-RU"/>
              </w:rPr>
            </w:pPr>
            <w:r>
              <w:rPr>
                <w:rFonts w:eastAsia="Calibri" w:ascii="Times New Roman" w:hAnsi="Times New Roman"/>
                <w:b w:val="false"/>
                <w:bCs w:val="false"/>
                <w:sz w:val="20"/>
                <w:szCs w:val="20"/>
                <w:lang w:val="ru-RU"/>
              </w:rPr>
              <w:t>1.2.1.</w:t>
            </w:r>
          </w:p>
        </w:tc>
        <w:tc>
          <w:tcPr>
            <w:tcW w:w="254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rPr>
            </w:pPr>
            <w:r>
              <w:rPr>
                <w:rFonts w:eastAsia="Calibri" w:cs="Times New Roman" w:ascii="Times New Roman" w:hAnsi="Times New Roman"/>
                <w:i w:val="false"/>
                <w:iCs w:val="false"/>
                <w:kern w:val="0"/>
                <w:sz w:val="20"/>
                <w:szCs w:val="20"/>
                <w:lang w:val="ru-RU" w:eastAsia="ru-RU" w:bidi="ar-SA"/>
              </w:rPr>
              <w:t>Требования к области применения</w:t>
            </w:r>
          </w:p>
        </w:tc>
        <w:tc>
          <w:tcPr>
            <w:tcW w:w="652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Услуги оказываются в соответствии с настоящим техническим заданием и требованиями нормативных документов:</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1. Федерального закона №17-ФЗ от 10.01.2003 «О железнодорожном транспорте в Российской Федерации» (действующая редакция);</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2. Правил технической эксплуатации железных дорог Российской Федерации утвержденные приказом Министерства транспорта РФ от 23 июня 2022 г. №250 (действующая редакция);</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3. «Инструкции по текущему содержанию железнодорожного пути» утвержденные распоряжением ОАО «РЖД» от 14.11.2016г. №2288р (действующая редакция);</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4. Инструкция по обеспечению безопасности движения поездов при производстве путевых работ. (утв. Распоряжением ОАО "РЖД" от 14.12.2016 №2540р) (ред. от 09.03.2023) (действующая редакция);</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5. Методических указаний по составлению продольных профилей станционных путей и перегонов</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 xml:space="preserve">№ </w:t>
            </w:r>
            <w:r>
              <w:rPr>
                <w:rFonts w:eastAsia="Times New Roman" w:cs="Times New Roman" w:ascii="Times New Roman" w:hAnsi="Times New Roman"/>
                <w:i w:val="false"/>
                <w:iCs w:val="false"/>
                <w:kern w:val="0"/>
                <w:sz w:val="20"/>
                <w:szCs w:val="20"/>
                <w:lang w:val="ru-RU" w:eastAsia="ru-RU" w:bidi="ar-SA"/>
              </w:rPr>
              <w:t>ЦПТ-54/26 от 17.12.2008 г.;</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6. СП 238.1326000.2015. Железнодорожный путь. Утвержден приказом Министерства транспорта РФ от 06.07.2015 г. № 209). (действующая редакция);</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7. СП 126.13330.2017 «Геодезические работы в строительстве»;</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bCs/>
                <w:i w:val="false"/>
                <w:iCs w:val="false"/>
                <w:color w:val="000000"/>
                <w:kern w:val="0"/>
                <w:sz w:val="20"/>
                <w:szCs w:val="20"/>
                <w:lang w:val="ru-RU" w:eastAsia="ru-RU" w:bidi="ar-SA"/>
              </w:rPr>
              <w:t>8. СП 317.1325800.2017 «Инженерно-геодезические изыскания для строительства. Общие правила производства работ».</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before="60" w:after="60"/>
              <w:ind w:hanging="0"/>
              <w:contextualSpacing/>
              <w:jc w:val="center"/>
              <w:rPr>
                <w:rFonts w:ascii="Times New Roman" w:hAnsi="Times New Roman" w:eastAsia="Calibri"/>
                <w:b w:val="false"/>
                <w:bCs w:val="false"/>
                <w:sz w:val="20"/>
                <w:szCs w:val="20"/>
                <w:lang w:val="ru-RU"/>
              </w:rPr>
            </w:pPr>
            <w:r>
              <w:rPr>
                <w:rFonts w:eastAsia="Calibri" w:ascii="Times New Roman" w:hAnsi="Times New Roman"/>
                <w:b w:val="false"/>
                <w:bCs w:val="false"/>
                <w:sz w:val="20"/>
                <w:szCs w:val="20"/>
                <w:lang w:val="ru-RU"/>
              </w:rPr>
              <w:t>1.2.2.</w:t>
            </w:r>
          </w:p>
        </w:tc>
        <w:tc>
          <w:tcPr>
            <w:tcW w:w="254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left"/>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Требования к  учету особых условий работы оборудования и оказания услуг</w:t>
            </w:r>
          </w:p>
        </w:tc>
        <w:tc>
          <w:tcPr>
            <w:tcW w:w="6526" w:type="dxa"/>
            <w:tcBorders>
              <w:left w:val="single" w:sz="4" w:space="0" w:color="000000"/>
              <w:bottom w:val="single" w:sz="4" w:space="0" w:color="000000"/>
              <w:right w:val="single" w:sz="4" w:space="0" w:color="000000"/>
            </w:tcBorders>
          </w:tcPr>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Оказание услуг осуществляется в условиях действующего предприятия.</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Наличие в зоне оказания услуг действующих ПС и движущегося железнодорожного и автомобильного транспорта.</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При выполнении работ на территории филиала ПАО «РусГидро»-«Жигулевская ГЭС» соблюдать:</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Правила внутреннего трудового распорядка и требования пропускного и внутри объектового режима предприятия Заказчика.</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Действующие требования в области охраны труда и пожарной безопасности, в том числе:</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Правила по охране труда в строительстве.</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Правила пожарной безопасности для энергетических предприятий.</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Правила противопожарного режима в РФ.</w:t>
            </w:r>
          </w:p>
          <w:p>
            <w:pPr>
              <w:pStyle w:val="Normal"/>
              <w:widowControl w:val="false"/>
              <w:suppressAutoHyphens w:val="true"/>
              <w:spacing w:before="0" w:after="0"/>
              <w:jc w:val="both"/>
              <w:rPr>
                <w:rFonts w:ascii="Times New Roman" w:hAnsi="Times New Roman"/>
                <w:sz w:val="20"/>
                <w:szCs w:val="20"/>
              </w:rPr>
            </w:pPr>
            <w:r>
              <w:rPr>
                <w:rFonts w:eastAsia="Times New Roman" w:cs="Times New Roman" w:ascii="Times New Roman" w:hAnsi="Times New Roman"/>
                <w:i w:val="false"/>
                <w:iCs w:val="false"/>
                <w:kern w:val="0"/>
                <w:sz w:val="20"/>
                <w:szCs w:val="20"/>
                <w:lang w:val="ru-RU" w:eastAsia="ru-RU" w:bidi="ar-SA"/>
              </w:rPr>
              <w:t>Приказ Филиала об «Организации режима курения на филиале».</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before="60" w:after="60"/>
              <w:ind w:hanging="0"/>
              <w:contextualSpacing/>
              <w:jc w:val="center"/>
              <w:rPr>
                <w:rFonts w:ascii="Times New Roman" w:hAnsi="Times New Roman" w:eastAsia="Calibri"/>
                <w:b/>
                <w:sz w:val="20"/>
                <w:szCs w:val="20"/>
                <w:lang w:val="ru-RU"/>
              </w:rPr>
            </w:pPr>
            <w:r>
              <w:rPr>
                <w:rFonts w:eastAsia="Calibri" w:ascii="Times New Roman" w:hAnsi="Times New Roman"/>
                <w:b/>
                <w:sz w:val="20"/>
                <w:szCs w:val="20"/>
                <w:lang w:val="ru-RU"/>
              </w:rPr>
              <w:t>1.3.</w:t>
            </w:r>
          </w:p>
        </w:tc>
        <w:tc>
          <w:tcPr>
            <w:tcW w:w="907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rPr>
                <w:rFonts w:ascii="Times New Roman" w:hAnsi="Times New Roman"/>
                <w:sz w:val="20"/>
                <w:szCs w:val="20"/>
              </w:rPr>
            </w:pPr>
            <w:r>
              <w:rPr>
                <w:rFonts w:ascii="Times New Roman" w:hAnsi="Times New Roman"/>
                <w:b/>
                <w:sz w:val="20"/>
                <w:szCs w:val="20"/>
                <w:lang w:val="ru-RU"/>
              </w:rPr>
              <w:t>Требования к способам организации услуг</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before="60" w:after="60"/>
              <w:ind w:hanging="0"/>
              <w:contextualSpacing/>
              <w:jc w:val="center"/>
              <w:rPr>
                <w:rFonts w:ascii="Times New Roman" w:hAnsi="Times New Roman" w:eastAsia="Calibri"/>
                <w:b/>
                <w:sz w:val="20"/>
                <w:szCs w:val="20"/>
                <w:lang w:val="ru-RU"/>
              </w:rPr>
            </w:pPr>
            <w:r>
              <w:rPr>
                <w:rFonts w:eastAsia="Calibri" w:ascii="Times New Roman" w:hAnsi="Times New Roman"/>
                <w:b/>
                <w:sz w:val="20"/>
                <w:szCs w:val="20"/>
                <w:lang w:val="ru-RU"/>
              </w:rPr>
              <w:t>1.3.1.</w:t>
            </w:r>
          </w:p>
        </w:tc>
        <w:tc>
          <w:tcPr>
            <w:tcW w:w="254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60" w:after="0"/>
              <w:rPr>
                <w:rFonts w:ascii="Times New Roman" w:hAnsi="Times New Roman"/>
                <w:sz w:val="20"/>
                <w:szCs w:val="20"/>
              </w:rPr>
            </w:pPr>
            <w:r>
              <w:rPr>
                <w:rFonts w:ascii="Times New Roman" w:hAnsi="Times New Roman"/>
                <w:sz w:val="20"/>
                <w:szCs w:val="20"/>
              </w:rPr>
              <w:t>Организационно-технические мероприятия по допуску персонала исполнителя</w:t>
            </w:r>
          </w:p>
        </w:tc>
        <w:tc>
          <w:tcPr>
            <w:tcW w:w="6526" w:type="dxa"/>
            <w:tcBorders>
              <w:top w:val="single" w:sz="4" w:space="0" w:color="000000"/>
              <w:left w:val="single" w:sz="4" w:space="0" w:color="000000"/>
              <w:bottom w:val="single" w:sz="4" w:space="0" w:color="000000"/>
              <w:right w:val="single" w:sz="4" w:space="0" w:color="000000"/>
            </w:tcBorders>
          </w:tcPr>
          <w:p>
            <w:pPr>
              <w:pStyle w:val="Normal"/>
              <w:rPr>
                <w:rFonts w:ascii="Times New Roman" w:hAnsi="Times New Roman"/>
                <w:sz w:val="20"/>
                <w:szCs w:val="20"/>
              </w:rPr>
            </w:pPr>
            <w:r>
              <w:rPr>
                <w:rFonts w:ascii="Times New Roman" w:hAnsi="Times New Roman"/>
                <w:sz w:val="20"/>
                <w:szCs w:val="20"/>
              </w:rPr>
              <w:t>- Организационно-технические мероприятия по допуску персонала Исполнителя к оказанию услуг осуществляются на основании Регламента в соответствии с Приказом № 300 28.04.2023 «Методика допуска персонала подрядных организаций к выполнению работ на объектах Общества» (Приложение № 4 к ТТ).</w:t>
            </w:r>
          </w:p>
          <w:p>
            <w:pPr>
              <w:pStyle w:val="Normal"/>
              <w:rPr>
                <w:rFonts w:ascii="Times New Roman" w:hAnsi="Times New Roman"/>
                <w:sz w:val="20"/>
                <w:szCs w:val="20"/>
              </w:rPr>
            </w:pPr>
            <w:r>
              <w:rPr>
                <w:rFonts w:ascii="Times New Roman" w:hAnsi="Times New Roman"/>
                <w:sz w:val="20"/>
                <w:szCs w:val="20"/>
              </w:rPr>
              <w:t>- Допуск к оказанию услуг выполняет персонал Заказчика.</w:t>
            </w:r>
          </w:p>
          <w:p>
            <w:pPr>
              <w:pStyle w:val="Normal"/>
              <w:rPr>
                <w:rFonts w:ascii="Times New Roman" w:hAnsi="Times New Roman"/>
                <w:sz w:val="20"/>
                <w:szCs w:val="20"/>
              </w:rPr>
            </w:pPr>
            <w:r>
              <w:rPr>
                <w:rFonts w:ascii="Times New Roman" w:hAnsi="Times New Roman"/>
                <w:sz w:val="20"/>
                <w:szCs w:val="20"/>
              </w:rPr>
              <w:t>- Исполнитель должен обеспечить спецодеждой и средствами индивидуальной защиты свой персонал на время оказания услуги.</w:t>
            </w:r>
          </w:p>
          <w:p>
            <w:pPr>
              <w:pStyle w:val="Normal"/>
              <w:rPr>
                <w:rFonts w:ascii="Times New Roman" w:hAnsi="Times New Roman"/>
                <w:sz w:val="20"/>
                <w:szCs w:val="20"/>
              </w:rPr>
            </w:pPr>
            <w:r>
              <w:rPr>
                <w:rFonts w:ascii="Times New Roman" w:hAnsi="Times New Roman"/>
                <w:sz w:val="20"/>
                <w:szCs w:val="20"/>
              </w:rPr>
              <w:t>При выполнении работ исполнитель должен руководствоваться следующими национальными, отраслевыми и корпоративными (ПАО «РусГидро») НТД:</w:t>
            </w:r>
          </w:p>
          <w:p>
            <w:pPr>
              <w:pStyle w:val="Normal"/>
              <w:rPr>
                <w:rFonts w:ascii="Times New Roman" w:hAnsi="Times New Roman"/>
                <w:sz w:val="20"/>
                <w:szCs w:val="20"/>
              </w:rPr>
            </w:pPr>
            <w:r>
              <w:rPr>
                <w:rFonts w:ascii="Times New Roman" w:hAnsi="Times New Roman"/>
                <w:sz w:val="20"/>
                <w:szCs w:val="20"/>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 Приказом Ростехнадзора 26.11.2020 №461);</w:t>
            </w:r>
          </w:p>
          <w:p>
            <w:pPr>
              <w:pStyle w:val="Normal"/>
              <w:rPr>
                <w:rFonts w:ascii="Times New Roman" w:hAnsi="Times New Roman"/>
                <w:sz w:val="20"/>
                <w:szCs w:val="20"/>
              </w:rPr>
            </w:pPr>
            <w:r>
              <w:rPr>
                <w:rFonts w:ascii="Times New Roman" w:hAnsi="Times New Roman"/>
                <w:sz w:val="20"/>
                <w:szCs w:val="20"/>
              </w:rPr>
              <w:t>Действующих требований в области охраны труда и пожарной безопасности.</w:t>
            </w:r>
          </w:p>
          <w:p>
            <w:pPr>
              <w:pStyle w:val="Normal"/>
              <w:rPr>
                <w:rFonts w:ascii="Times New Roman" w:hAnsi="Times New Roman"/>
                <w:sz w:val="20"/>
                <w:szCs w:val="20"/>
              </w:rPr>
            </w:pPr>
            <w:r>
              <w:rPr>
                <w:rFonts w:ascii="Times New Roman" w:hAnsi="Times New Roman"/>
                <w:sz w:val="20"/>
                <w:szCs w:val="20"/>
              </w:rPr>
              <w:t>Приказ Минтруда России от 16.11.2020 №782н «Правила по охране труда при работе на высоте» (действующая редакция);</w:t>
            </w:r>
          </w:p>
          <w:p>
            <w:pPr>
              <w:pStyle w:val="Normal"/>
              <w:rPr>
                <w:rFonts w:ascii="Times New Roman" w:hAnsi="Times New Roman"/>
                <w:sz w:val="20"/>
                <w:szCs w:val="20"/>
              </w:rPr>
            </w:pPr>
            <w:r>
              <w:rPr>
                <w:rFonts w:ascii="Times New Roman" w:hAnsi="Times New Roman"/>
                <w:sz w:val="20"/>
                <w:szCs w:val="20"/>
              </w:rPr>
              <w:t>Приказ Минтруда России от 27.11.2020 №61411 “Об утверждении Правил по охране труда при работе с инструментами и приспособлениями”(действующая редакция).</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suppressAutoHyphens w:val="true"/>
              <w:snapToGrid w:val="false"/>
              <w:spacing w:before="60" w:after="60"/>
              <w:ind w:hanging="0"/>
              <w:contextualSpacing/>
              <w:jc w:val="center"/>
              <w:rPr>
                <w:rFonts w:ascii="Times New Roman" w:hAnsi="Times New Roman" w:eastAsia="Calibri"/>
                <w:b/>
                <w:sz w:val="20"/>
                <w:szCs w:val="20"/>
                <w:lang w:val="ru-RU"/>
              </w:rPr>
            </w:pPr>
            <w:r>
              <w:rPr>
                <w:rFonts w:eastAsia="Calibri" w:ascii="Times New Roman" w:hAnsi="Times New Roman"/>
                <w:b/>
                <w:sz w:val="20"/>
                <w:szCs w:val="20"/>
                <w:lang w:val="ru-RU"/>
              </w:rPr>
              <w:t>1.3.2</w:t>
            </w:r>
          </w:p>
        </w:tc>
        <w:tc>
          <w:tcPr>
            <w:tcW w:w="2546" w:type="dxa"/>
            <w:tcBorders>
              <w:left w:val="single" w:sz="4" w:space="0" w:color="000000"/>
              <w:bottom w:val="single" w:sz="4" w:space="0" w:color="000000"/>
              <w:right w:val="single" w:sz="4" w:space="0" w:color="000000"/>
            </w:tcBorders>
          </w:tcPr>
          <w:p>
            <w:pPr>
              <w:pStyle w:val="Normal"/>
              <w:rPr>
                <w:rFonts w:ascii="Times New Roman" w:hAnsi="Times New Roman"/>
                <w:sz w:val="20"/>
                <w:szCs w:val="20"/>
              </w:rPr>
            </w:pPr>
            <w:r>
              <w:rPr>
                <w:rFonts w:ascii="Times New Roman" w:hAnsi="Times New Roman"/>
                <w:sz w:val="20"/>
                <w:szCs w:val="20"/>
              </w:rPr>
              <w:t>Требование к способам оказания услуг охраны</w:t>
            </w:r>
          </w:p>
        </w:tc>
        <w:tc>
          <w:tcPr>
            <w:tcW w:w="6526" w:type="dxa"/>
            <w:tcBorders>
              <w:left w:val="single" w:sz="4" w:space="0" w:color="000000"/>
              <w:bottom w:val="single" w:sz="4" w:space="0" w:color="000000"/>
              <w:right w:val="single" w:sz="4" w:space="0" w:color="000000"/>
            </w:tcBorders>
          </w:tcPr>
          <w:p>
            <w:pPr>
              <w:pStyle w:val="Normal"/>
              <w:rPr>
                <w:rFonts w:ascii="Times New Roman" w:hAnsi="Times New Roman"/>
                <w:sz w:val="20"/>
                <w:szCs w:val="20"/>
              </w:rPr>
            </w:pPr>
            <w:r>
              <w:rPr>
                <w:rFonts w:ascii="Times New Roman" w:hAnsi="Times New Roman"/>
                <w:sz w:val="20"/>
                <w:szCs w:val="20"/>
              </w:rPr>
              <w:t>Применять досмотровые технические средства охраны (переносные и стационарные), имеющиеся на охраняемом Объекте, с целью недопущения проноса (провоза) на охраняемый Объект вооружения, взрывчатых веществ и самодельных взрывных устройств, и их элементов, а также других запрещенных предметов.</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numPr>
                <w:ilvl w:val="0"/>
                <w:numId w:val="0"/>
              </w:numPr>
              <w:suppressAutoHyphens w:val="true"/>
              <w:snapToGrid w:val="false"/>
              <w:spacing w:before="60" w:after="60"/>
              <w:ind w:left="25" w:hanging="0"/>
              <w:contextualSpacing/>
              <w:jc w:val="center"/>
              <w:rPr>
                <w:rFonts w:ascii="Times New Roman" w:hAnsi="Times New Roman" w:eastAsia="Calibri"/>
                <w:b/>
                <w:sz w:val="20"/>
                <w:szCs w:val="20"/>
                <w:lang w:val="ru-RU"/>
              </w:rPr>
            </w:pPr>
            <w:r>
              <w:rPr>
                <w:rFonts w:eastAsia="Calibri" w:ascii="Times New Roman" w:hAnsi="Times New Roman"/>
                <w:b/>
                <w:sz w:val="20"/>
                <w:szCs w:val="20"/>
                <w:lang w:val="ru-RU"/>
              </w:rPr>
              <w:t>1.3.3.</w:t>
            </w:r>
          </w:p>
        </w:tc>
        <w:tc>
          <w:tcPr>
            <w:tcW w:w="2546" w:type="dxa"/>
            <w:tcBorders>
              <w:left w:val="single" w:sz="4" w:space="0" w:color="000000"/>
              <w:bottom w:val="single" w:sz="4" w:space="0" w:color="000000"/>
              <w:right w:val="single" w:sz="4" w:space="0" w:color="000000"/>
            </w:tcBorders>
          </w:tcPr>
          <w:p>
            <w:pPr>
              <w:pStyle w:val="Normal"/>
              <w:rPr>
                <w:rFonts w:ascii="Times New Roman" w:hAnsi="Times New Roman"/>
                <w:sz w:val="20"/>
                <w:szCs w:val="20"/>
              </w:rPr>
            </w:pPr>
            <w:r>
              <w:rPr>
                <w:rFonts w:ascii="Times New Roman" w:hAnsi="Times New Roman"/>
                <w:sz w:val="20"/>
                <w:szCs w:val="20"/>
              </w:rPr>
              <w:t>Требования к собственному или          арендуемому оборудованию</w:t>
            </w:r>
          </w:p>
        </w:tc>
        <w:tc>
          <w:tcPr>
            <w:tcW w:w="6526" w:type="dxa"/>
            <w:tcBorders>
              <w:left w:val="single" w:sz="4" w:space="0" w:color="000000"/>
              <w:bottom w:val="single" w:sz="4" w:space="0" w:color="000000"/>
              <w:right w:val="single" w:sz="4" w:space="0" w:color="000000"/>
            </w:tcBorders>
          </w:tcPr>
          <w:p>
            <w:pPr>
              <w:pStyle w:val="Normal"/>
              <w:rPr>
                <w:rFonts w:ascii="Times New Roman" w:hAnsi="Times New Roman"/>
                <w:sz w:val="20"/>
                <w:szCs w:val="20"/>
              </w:rPr>
            </w:pPr>
            <w:r>
              <w:rPr>
                <w:rFonts w:ascii="Times New Roman" w:hAnsi="Times New Roman"/>
                <w:sz w:val="20"/>
                <w:szCs w:val="20"/>
              </w:rPr>
              <w:t>Необходимо предоставить аттестаты на применяемое оборудование (ГОСТ Р 8.568-2017), а также действующую документацию о проведении поверок измерительного инструмента. (Приложение № 7)</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sz w:val="20"/>
                <w:szCs w:val="20"/>
              </w:rPr>
            </w:pPr>
            <w:r>
              <w:rPr>
                <w:rFonts w:eastAsia="Calibri" w:ascii="Times New Roman" w:hAnsi="Times New Roman"/>
                <w:b/>
                <w:sz w:val="20"/>
                <w:szCs w:val="20"/>
                <w:lang w:val="en-US"/>
              </w:rPr>
              <w:t>1.4.</w:t>
            </w:r>
          </w:p>
        </w:tc>
        <w:tc>
          <w:tcPr>
            <w:tcW w:w="9072" w:type="dxa"/>
            <w:gridSpan w:val="2"/>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before="0" w:after="0"/>
              <w:jc w:val="left"/>
              <w:rPr>
                <w:rFonts w:ascii="Times New Roman" w:hAnsi="Times New Roman" w:eastAsia="Times New Roman" w:cs="Times New Roman"/>
                <w:kern w:val="0"/>
                <w:sz w:val="20"/>
                <w:szCs w:val="20"/>
                <w:lang w:val="ru-RU" w:eastAsia="ru-RU" w:bidi="ar-SA"/>
              </w:rPr>
            </w:pPr>
            <w:r>
              <w:rPr>
                <w:rFonts w:eastAsia="Times New Roman" w:cs="Times New Roman" w:ascii="Times New Roman" w:hAnsi="Times New Roman"/>
                <w:b/>
                <w:kern w:val="0"/>
                <w:sz w:val="20"/>
                <w:szCs w:val="20"/>
                <w:lang w:val="ru-RU" w:eastAsia="ru-RU" w:bidi="ar-SA"/>
              </w:rPr>
              <w:t>Требования к результату работы и форме его предоставления</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sz w:val="20"/>
                <w:szCs w:val="20"/>
              </w:rPr>
            </w:pPr>
            <w:r>
              <w:rPr>
                <w:rFonts w:eastAsia="Calibri" w:ascii="Times New Roman" w:hAnsi="Times New Roman"/>
                <w:sz w:val="20"/>
                <w:szCs w:val="20"/>
                <w:lang w:val="en-US"/>
              </w:rPr>
              <w:t>1.4.1.</w:t>
            </w:r>
          </w:p>
        </w:tc>
        <w:tc>
          <w:tcPr>
            <w:tcW w:w="254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60" w:after="0"/>
              <w:rPr>
                <w:rFonts w:ascii="Times New Roman" w:hAnsi="Times New Roman"/>
                <w:sz w:val="20"/>
                <w:szCs w:val="20"/>
              </w:rPr>
            </w:pPr>
            <w:r>
              <w:rPr>
                <w:rFonts w:ascii="Times New Roman" w:hAnsi="Times New Roman"/>
                <w:bCs/>
                <w:sz w:val="20"/>
                <w:szCs w:val="20"/>
                <w:lang w:val="ru-RU"/>
              </w:rPr>
              <w:t>Требования к форме предоставления результата</w:t>
            </w:r>
          </w:p>
        </w:tc>
        <w:tc>
          <w:tcPr>
            <w:tcW w:w="6526"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i w:val="false"/>
                <w:iCs w:val="false"/>
                <w:kern w:val="0"/>
                <w:sz w:val="20"/>
                <w:szCs w:val="20"/>
                <w:lang w:val="ru-RU" w:eastAsia="ru-RU" w:bidi="ar-SA"/>
              </w:rPr>
              <w:t xml:space="preserve">Приемка </w:t>
            </w:r>
            <w:r>
              <w:rPr>
                <w:rFonts w:eastAsia="Times New Roman" w:cs="Times New Roman"/>
                <w:i w:val="false"/>
                <w:iCs w:val="false"/>
                <w:kern w:val="0"/>
                <w:sz w:val="20"/>
                <w:szCs w:val="20"/>
                <w:lang w:val="ru-RU" w:eastAsia="ru-RU" w:bidi="ar-SA"/>
              </w:rPr>
              <w:t>оказанных услуг</w:t>
            </w:r>
            <w:r>
              <w:rPr>
                <w:rFonts w:eastAsia="Times New Roman" w:cs="Times New Roman"/>
                <w:i w:val="false"/>
                <w:iCs w:val="false"/>
                <w:kern w:val="0"/>
                <w:sz w:val="20"/>
                <w:szCs w:val="20"/>
                <w:lang w:val="ru-RU" w:eastAsia="ru-RU" w:bidi="ar-SA"/>
              </w:rPr>
              <w:t xml:space="preserve"> производится по факту передачи согласованного обновленного технического паспорта железнодорожного пути, инструкции о порядке обслуживания и организации движения и актуализированного продольного профиля железнодорожного пути Заказчику.</w:t>
            </w:r>
          </w:p>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i w:val="false"/>
                <w:iCs w:val="false"/>
                <w:kern w:val="0"/>
                <w:sz w:val="20"/>
                <w:szCs w:val="20"/>
                <w:lang w:val="ru-RU" w:eastAsia="ru-RU" w:bidi="ar-SA"/>
              </w:rPr>
              <w:t>Услуги</w:t>
            </w:r>
            <w:r>
              <w:rPr>
                <w:rFonts w:eastAsia="Times New Roman" w:cs="Times New Roman"/>
                <w:i w:val="false"/>
                <w:iCs w:val="false"/>
                <w:kern w:val="0"/>
                <w:sz w:val="20"/>
                <w:szCs w:val="20"/>
                <w:lang w:val="ru-RU" w:eastAsia="ru-RU" w:bidi="ar-SA"/>
              </w:rPr>
              <w:t xml:space="preserve">, </w:t>
            </w:r>
            <w:r>
              <w:rPr>
                <w:rFonts w:eastAsia="Times New Roman" w:cs="Times New Roman"/>
                <w:i w:val="false"/>
                <w:iCs w:val="false"/>
                <w:kern w:val="0"/>
                <w:sz w:val="20"/>
                <w:szCs w:val="20"/>
                <w:lang w:val="ru-RU" w:eastAsia="ru-RU" w:bidi="ar-SA"/>
              </w:rPr>
              <w:t>оказыва</w:t>
            </w:r>
            <w:r>
              <w:rPr>
                <w:rFonts w:eastAsia="Times New Roman" w:cs="Times New Roman"/>
                <w:i w:val="false"/>
                <w:iCs w:val="false"/>
                <w:kern w:val="0"/>
                <w:sz w:val="20"/>
                <w:szCs w:val="20"/>
                <w:lang w:val="ru-RU" w:eastAsia="ru-RU" w:bidi="ar-SA"/>
              </w:rPr>
              <w:t>емые в рамках настоящих технических требований, считаются выполненными после подписания Акта приемки.</w:t>
            </w:r>
          </w:p>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eastAsia="ru-RU" w:bidi="ar-SA"/>
              </w:rPr>
            </w:pPr>
            <w:r>
              <w:rPr>
                <w:rFonts w:eastAsia="Times New Roman" w:cs="Times New Roman"/>
                <w:i w:val="false"/>
                <w:iCs w:val="false"/>
                <w:kern w:val="0"/>
                <w:sz w:val="20"/>
                <w:szCs w:val="20"/>
                <w:lang w:val="ru-RU" w:eastAsia="ru-RU" w:bidi="ar-SA"/>
              </w:rPr>
              <w:t xml:space="preserve">Документы представить </w:t>
            </w:r>
            <w:r>
              <w:rPr>
                <w:rFonts w:eastAsia="Times New Roman" w:cs="Times New Roman"/>
                <w:i w:val="false"/>
                <w:iCs w:val="false"/>
                <w:color w:val="000000"/>
                <w:kern w:val="0"/>
                <w:sz w:val="20"/>
                <w:szCs w:val="20"/>
                <w:lang w:val="ru-RU" w:eastAsia="ru-RU" w:bidi="ar-SA"/>
              </w:rPr>
              <w:t>на бумажном носителе в 2-х экземплярах и</w:t>
            </w:r>
            <w:r>
              <w:rPr>
                <w:rFonts w:eastAsia="Times New Roman" w:cs="Times New Roman"/>
                <w:i w:val="false"/>
                <w:iCs w:val="false"/>
                <w:kern w:val="0"/>
                <w:sz w:val="20"/>
                <w:szCs w:val="20"/>
                <w:lang w:val="ru-RU" w:eastAsia="ru-RU" w:bidi="ar-SA"/>
              </w:rPr>
              <w:t xml:space="preserve"> на электронном носителе в форматах *.</w:t>
            </w:r>
            <w:r>
              <w:rPr>
                <w:rFonts w:eastAsia="Times New Roman" w:cs="Times New Roman"/>
                <w:i w:val="false"/>
                <w:iCs w:val="false"/>
                <w:kern w:val="0"/>
                <w:sz w:val="20"/>
                <w:szCs w:val="20"/>
                <w:lang w:val="en-US" w:eastAsia="ru-RU" w:bidi="ar-SA"/>
              </w:rPr>
              <w:t>doc</w:t>
            </w:r>
            <w:r>
              <w:rPr>
                <w:rFonts w:eastAsia="Times New Roman" w:cs="Times New Roman"/>
                <w:i w:val="false"/>
                <w:iCs w:val="false"/>
                <w:kern w:val="0"/>
                <w:sz w:val="20"/>
                <w:szCs w:val="20"/>
                <w:lang w:val="ru-RU" w:eastAsia="ru-RU" w:bidi="ar-SA"/>
              </w:rPr>
              <w:t>, *.</w:t>
            </w:r>
            <w:r>
              <w:rPr>
                <w:rFonts w:eastAsia="Times New Roman" w:cs="Times New Roman"/>
                <w:i w:val="false"/>
                <w:iCs w:val="false"/>
                <w:kern w:val="0"/>
                <w:sz w:val="20"/>
                <w:szCs w:val="20"/>
                <w:lang w:val="en-US" w:eastAsia="ru-RU" w:bidi="ar-SA"/>
              </w:rPr>
              <w:t>xls</w:t>
            </w:r>
            <w:r>
              <w:rPr>
                <w:rFonts w:eastAsia="Times New Roman" w:cs="Times New Roman"/>
                <w:i w:val="false"/>
                <w:iCs w:val="false"/>
                <w:kern w:val="0"/>
                <w:sz w:val="20"/>
                <w:szCs w:val="20"/>
                <w:lang w:val="ru-RU" w:eastAsia="ru-RU" w:bidi="ar-SA"/>
              </w:rPr>
              <w:t>, *.</w:t>
            </w:r>
            <w:r>
              <w:rPr>
                <w:rFonts w:eastAsia="Times New Roman" w:cs="Times New Roman"/>
                <w:i w:val="false"/>
                <w:iCs w:val="false"/>
                <w:kern w:val="0"/>
                <w:sz w:val="20"/>
                <w:szCs w:val="20"/>
                <w:lang w:val="en-US" w:eastAsia="ru-RU" w:bidi="ar-SA"/>
              </w:rPr>
              <w:t>pdf</w:t>
            </w:r>
            <w:r>
              <w:rPr>
                <w:rFonts w:eastAsia="Times New Roman" w:cs="Times New Roman"/>
                <w:i w:val="false"/>
                <w:iCs w:val="false"/>
                <w:kern w:val="0"/>
                <w:sz w:val="20"/>
                <w:szCs w:val="20"/>
                <w:lang w:val="ru-RU" w:eastAsia="ru-RU" w:bidi="ar-SA"/>
              </w:rPr>
              <w:t>, *.</w:t>
            </w:r>
            <w:r>
              <w:rPr>
                <w:rFonts w:eastAsia="Times New Roman" w:cs="Times New Roman"/>
                <w:i w:val="false"/>
                <w:iCs w:val="false"/>
                <w:kern w:val="0"/>
                <w:sz w:val="20"/>
                <w:szCs w:val="20"/>
                <w:lang w:val="en-US" w:eastAsia="ru-RU" w:bidi="ar-SA"/>
              </w:rPr>
              <w:t>dwg</w:t>
            </w:r>
            <w:r>
              <w:rPr>
                <w:rFonts w:eastAsia="Times New Roman" w:cs="Times New Roman"/>
                <w:i w:val="false"/>
                <w:iCs w:val="false"/>
                <w:kern w:val="0"/>
                <w:sz w:val="20"/>
                <w:szCs w:val="20"/>
                <w:lang w:val="ru-RU" w:eastAsia="ru-RU" w:bidi="ar-SA"/>
              </w:rPr>
              <w:t>. Необходимо предоставить материалы в электронном виде в формате бесконфликтно работающих в операционных системах «</w:t>
            </w:r>
            <w:r>
              <w:rPr>
                <w:rFonts w:eastAsia="Times New Roman" w:cs="Times New Roman"/>
                <w:i w:val="false"/>
                <w:iCs w:val="false"/>
                <w:kern w:val="0"/>
                <w:sz w:val="20"/>
                <w:szCs w:val="20"/>
                <w:lang w:val="en-US" w:eastAsia="ru-RU" w:bidi="ar-SA"/>
              </w:rPr>
              <w:t>Windows</w:t>
            </w:r>
            <w:r>
              <w:rPr>
                <w:rFonts w:eastAsia="Times New Roman" w:cs="Times New Roman"/>
                <w:i w:val="false"/>
                <w:iCs w:val="false"/>
                <w:kern w:val="0"/>
                <w:sz w:val="20"/>
                <w:szCs w:val="20"/>
                <w:lang w:val="ru-RU" w:eastAsia="ru-RU" w:bidi="ar-SA"/>
              </w:rPr>
              <w:t>», «</w:t>
            </w:r>
            <w:r>
              <w:rPr>
                <w:rFonts w:eastAsia="Times New Roman" w:cs="Times New Roman"/>
                <w:i w:val="false"/>
                <w:iCs w:val="false"/>
                <w:kern w:val="0"/>
                <w:sz w:val="20"/>
                <w:szCs w:val="20"/>
                <w:lang w:val="en-US" w:eastAsia="ru-RU" w:bidi="ar-SA"/>
              </w:rPr>
              <w:t>AlterOS</w:t>
            </w:r>
            <w:r>
              <w:rPr>
                <w:rFonts w:eastAsia="Times New Roman" w:cs="Times New Roman"/>
                <w:i w:val="false"/>
                <w:iCs w:val="false"/>
                <w:kern w:val="0"/>
                <w:sz w:val="20"/>
                <w:szCs w:val="20"/>
                <w:lang w:val="ru-RU" w:eastAsia="ru-RU" w:bidi="ar-SA"/>
              </w:rPr>
              <w:t>».</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sz w:val="20"/>
                <w:szCs w:val="20"/>
              </w:rPr>
            </w:pPr>
            <w:r>
              <w:rPr>
                <w:rFonts w:ascii="Times New Roman" w:hAnsi="Times New Roman"/>
                <w:sz w:val="20"/>
                <w:szCs w:val="20"/>
              </w:rPr>
              <w:t>1.4.2.</w:t>
            </w:r>
          </w:p>
        </w:tc>
        <w:tc>
          <w:tcPr>
            <w:tcW w:w="2546"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60" w:after="0"/>
              <w:rPr>
                <w:rFonts w:ascii="Times New Roman" w:hAnsi="Times New Roman"/>
                <w:sz w:val="20"/>
                <w:szCs w:val="20"/>
              </w:rPr>
            </w:pPr>
            <w:r>
              <w:rPr>
                <w:rFonts w:ascii="Times New Roman" w:hAnsi="Times New Roman"/>
                <w:sz w:val="20"/>
                <w:szCs w:val="20"/>
              </w:rPr>
              <w:t>Документы, передаваемые заказчику по результатам оказанных услуг</w:t>
            </w:r>
          </w:p>
        </w:tc>
        <w:tc>
          <w:tcPr>
            <w:tcW w:w="6526" w:type="dxa"/>
            <w:tcBorders>
              <w:left w:val="single" w:sz="4" w:space="0" w:color="000000"/>
              <w:bottom w:val="single" w:sz="4" w:space="0" w:color="000000"/>
              <w:right w:val="single" w:sz="4" w:space="0" w:color="000000"/>
            </w:tcBorders>
          </w:tcPr>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1. Технический паспорт железнодорожного пути необщего пользования филиала ПАО «РусГидро»-«Жигулевская ГЭС».</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2. Инструкция о порядке обслуживания и организации движения на железнодорожном пути необщего пользования филиала ПАО «РусГидро»-«Жигулевская ГЭС», примыкающего к железнодорожному пути необщего пользования ЗАО «ППЖТ», с приложениями:</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Схема железнодорожного пути необщего пользования;</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Ведомость железнодорожных путей;</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Ведомость стрелочных переводов;</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Порядок и нормы закрепления вагонов тормозными башмаками;</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Ведомость негабаритных мест;</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Продольный профиль путей;</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 Расчет норм закрепления вагонов.</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3. Акт приема-сдачи оказанных услуг в двух экземплярах.</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sz w:val="20"/>
                <w:szCs w:val="20"/>
              </w:rPr>
            </w:pPr>
            <w:r>
              <w:rPr>
                <w:rFonts w:ascii="Times New Roman" w:hAnsi="Times New Roman"/>
                <w:sz w:val="20"/>
                <w:szCs w:val="20"/>
              </w:rPr>
              <w:t>1.4.3.</w:t>
            </w:r>
          </w:p>
        </w:tc>
        <w:tc>
          <w:tcPr>
            <w:tcW w:w="2546" w:type="dxa"/>
            <w:tcBorders>
              <w:left w:val="single" w:sz="4" w:space="0" w:color="000000"/>
              <w:bottom w:val="single" w:sz="4" w:space="0" w:color="000000"/>
              <w:right w:val="single" w:sz="4" w:space="0" w:color="000000"/>
            </w:tcBorders>
          </w:tcPr>
          <w:p>
            <w:pPr>
              <w:pStyle w:val="Normal"/>
              <w:widowControl w:val="false"/>
              <w:tabs>
                <w:tab w:val="clear" w:pos="708"/>
                <w:tab w:val="left" w:pos="426" w:leader="none"/>
              </w:tabs>
              <w:suppressAutoHyphens w:val="true"/>
              <w:spacing w:before="60" w:after="0"/>
              <w:rPr>
                <w:rFonts w:ascii="Times New Roman" w:hAnsi="Times New Roman"/>
                <w:sz w:val="20"/>
                <w:szCs w:val="20"/>
              </w:rPr>
            </w:pPr>
            <w:r>
              <w:rPr>
                <w:rFonts w:ascii="Times New Roman" w:hAnsi="Times New Roman"/>
                <w:sz w:val="20"/>
                <w:szCs w:val="20"/>
              </w:rPr>
              <w:t>Требование к информационной безопасности</w:t>
            </w:r>
          </w:p>
        </w:tc>
        <w:tc>
          <w:tcPr>
            <w:tcW w:w="6526" w:type="dxa"/>
            <w:tcBorders>
              <w:left w:val="single" w:sz="4" w:space="0" w:color="000000"/>
              <w:bottom w:val="single" w:sz="4" w:space="0" w:color="000000"/>
              <w:right w:val="single" w:sz="4" w:space="0" w:color="000000"/>
            </w:tcBorders>
          </w:tcPr>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При пересылке файлов не допускается использование открытых файлообменных сервисов.</w:t>
            </w:r>
          </w:p>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sz w:val="20"/>
                <w:szCs w:val="20"/>
              </w:rPr>
              <w:t>Требования информационной безопасности должны обеспечиваться на всех стадиях оказания услуг с учетом всех сторон, вовлеченных в процессы жизненного цикла (разработчиков, заказчиков, поставщиков продуктов и услуг, эксплуатирующих и надзорных подразделений Общества) в соответствии с Федеральными законами №152 от 27.07.2006 «О персональных данных» и № 98 от 29.07.2004 «О коммерческой тайне».</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sz w:val="20"/>
                <w:szCs w:val="20"/>
              </w:rPr>
            </w:pPr>
            <w:r>
              <w:rPr>
                <w:rFonts w:eastAsia="Calibri" w:ascii="Times New Roman" w:hAnsi="Times New Roman"/>
                <w:b/>
                <w:sz w:val="20"/>
                <w:szCs w:val="20"/>
                <w:lang w:val="en-US"/>
              </w:rPr>
              <w:t>1.5.</w:t>
            </w:r>
          </w:p>
        </w:tc>
        <w:tc>
          <w:tcPr>
            <w:tcW w:w="9072"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1276" w:leader="none"/>
                <w:tab w:val="left" w:pos="1418" w:leader="none"/>
              </w:tabs>
              <w:suppressAutoHyphens w:val="true"/>
              <w:jc w:val="both"/>
              <w:rPr>
                <w:rFonts w:ascii="Times New Roman" w:hAnsi="Times New Roman"/>
                <w:sz w:val="20"/>
                <w:szCs w:val="20"/>
              </w:rPr>
            </w:pPr>
            <w:r>
              <w:rPr>
                <w:rFonts w:ascii="Times New Roman" w:hAnsi="Times New Roman"/>
                <w:b/>
                <w:sz w:val="20"/>
                <w:szCs w:val="20"/>
                <w:lang w:val="ru-RU"/>
              </w:rPr>
              <w:t>Требования к персоналу Исполнителя</w:t>
            </w:r>
          </w:p>
        </w:tc>
      </w:tr>
      <w:tr>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i w:val="false"/>
                <w:i w:val="false"/>
                <w:iCs w:val="false"/>
                <w:sz w:val="20"/>
                <w:szCs w:val="20"/>
              </w:rPr>
            </w:pPr>
            <w:r>
              <w:rPr>
                <w:rFonts w:eastAsia="Calibri" w:ascii="Times New Roman" w:hAnsi="Times New Roman"/>
                <w:i w:val="false"/>
                <w:iCs w:val="false"/>
                <w:sz w:val="20"/>
                <w:szCs w:val="20"/>
                <w:lang w:val="en-US"/>
              </w:rPr>
              <w:t>1.5.1.</w:t>
            </w:r>
          </w:p>
        </w:tc>
        <w:tc>
          <w:tcPr>
            <w:tcW w:w="2546"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before="0" w:after="0"/>
              <w:jc w:val="left"/>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Наличие квалифицированного персонала</w:t>
            </w:r>
          </w:p>
          <w:p>
            <w:pPr>
              <w:pStyle w:val="Normal"/>
              <w:widowControl/>
              <w:suppressAutoHyphens w:val="true"/>
              <w:spacing w:before="0" w:after="0"/>
              <w:jc w:val="left"/>
              <w:rPr>
                <w:rFonts w:ascii="Times New Roman" w:hAnsi="Times New Roman" w:eastAsia="Times New Roman" w:cs="Times New Roman"/>
                <w:b/>
                <w:i w:val="false"/>
                <w:i w:val="false"/>
                <w:iCs w:val="false"/>
                <w:kern w:val="0"/>
                <w:sz w:val="20"/>
                <w:szCs w:val="20"/>
                <w:highlight w:val="yellow"/>
                <w:lang w:val="ru-RU" w:eastAsia="ru-RU" w:bidi="ar-SA"/>
              </w:rPr>
            </w:pPr>
            <w:r>
              <w:rPr>
                <w:rFonts w:eastAsia="Times New Roman" w:cs="Times New Roman" w:ascii="Times New Roman" w:hAnsi="Times New Roman"/>
                <w:b/>
                <w:i w:val="false"/>
                <w:iCs w:val="false"/>
                <w:kern w:val="0"/>
                <w:sz w:val="20"/>
                <w:szCs w:val="20"/>
                <w:highlight w:val="yellow"/>
                <w:lang w:val="ru-RU" w:eastAsia="ru-RU" w:bidi="ar-SA"/>
              </w:rPr>
            </w:r>
          </w:p>
        </w:tc>
        <w:tc>
          <w:tcPr>
            <w:tcW w:w="6526" w:type="dxa"/>
            <w:tcBorders>
              <w:top w:val="single" w:sz="4" w:space="0" w:color="000000"/>
              <w:left w:val="single" w:sz="4" w:space="0" w:color="000000"/>
              <w:bottom w:val="single" w:sz="4" w:space="0" w:color="000000"/>
              <w:right w:val="single" w:sz="4" w:space="0" w:color="000000"/>
            </w:tcBorders>
          </w:tcPr>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Требования к привлекаемым специалистам указан в Приложение № 3 к ТТ. Подтверждение указанных требований на этапе конкурса осуществляется предоставлением «Справки о кадровых ресурсах» с указанием сведений о квалификации персонала с приложением копий удостоверений на производство специальных видов работ.</w:t>
            </w:r>
          </w:p>
        </w:tc>
      </w:tr>
      <w:tr>
        <w:trPr/>
        <w:tc>
          <w:tcPr>
            <w:tcW w:w="851" w:type="dxa"/>
            <w:tcBorders>
              <w:left w:val="single" w:sz="4" w:space="0" w:color="000000"/>
              <w:bottom w:val="single" w:sz="4" w:space="0" w:color="000000"/>
              <w:right w:val="single" w:sz="4" w:space="0" w:color="000000"/>
            </w:tcBorders>
            <w:vAlign w:val="center"/>
          </w:tcPr>
          <w:p>
            <w:pPr>
              <w:pStyle w:val="Normal"/>
              <w:widowControl w:val="false"/>
              <w:suppressAutoHyphens w:val="true"/>
              <w:spacing w:before="60" w:after="60"/>
              <w:contextualSpacing/>
              <w:jc w:val="center"/>
              <w:rPr>
                <w:rFonts w:ascii="Times New Roman" w:hAnsi="Times New Roman"/>
                <w:i w:val="false"/>
                <w:i w:val="false"/>
                <w:iCs w:val="false"/>
                <w:sz w:val="20"/>
                <w:szCs w:val="20"/>
              </w:rPr>
            </w:pPr>
            <w:r>
              <w:rPr>
                <w:rFonts w:ascii="Times New Roman" w:hAnsi="Times New Roman"/>
                <w:i w:val="false"/>
                <w:iCs w:val="false"/>
                <w:sz w:val="20"/>
                <w:szCs w:val="20"/>
              </w:rPr>
              <w:t>1.5.2.</w:t>
            </w:r>
          </w:p>
        </w:tc>
        <w:tc>
          <w:tcPr>
            <w:tcW w:w="2546" w:type="dxa"/>
            <w:tcBorders>
              <w:left w:val="single" w:sz="4" w:space="0" w:color="000000"/>
              <w:bottom w:val="single" w:sz="4" w:space="0" w:color="000000"/>
              <w:right w:val="single" w:sz="4" w:space="0" w:color="000000"/>
            </w:tcBorders>
          </w:tcPr>
          <w:p>
            <w:pPr>
              <w:pStyle w:val="Normal"/>
              <w:widowControl/>
              <w:suppressAutoHyphens w:val="true"/>
              <w:spacing w:before="0" w:after="0"/>
              <w:jc w:val="left"/>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Требования к опыту</w:t>
            </w:r>
          </w:p>
        </w:tc>
        <w:tc>
          <w:tcPr>
            <w:tcW w:w="6526" w:type="dxa"/>
            <w:tcBorders>
              <w:left w:val="single" w:sz="4" w:space="0" w:color="000000"/>
              <w:bottom w:val="single" w:sz="4" w:space="0" w:color="000000"/>
              <w:right w:val="single" w:sz="4" w:space="0" w:color="000000"/>
            </w:tcBorders>
          </w:tcPr>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Наличие опыта по проведению инженерно-геодезических изысканий за последние 3 года предшествующие дате окончания срока подачи заявок на участие в конкурентной закупке и в общем объеме не менее 50% от начальной максимальной цены договора, указанной в Извещении.</w:t>
            </w:r>
          </w:p>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«Справка о перечне и годовых объемах выполнения аналогичных договоров», приведенной в Документации о закупке.</w:t>
            </w:r>
          </w:p>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При этом Заказчику представить подтверждающие документы (копии договоров и актов выполненных работ, подписанных с обеих сторон).</w:t>
            </w:r>
          </w:p>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На момент подписания договора Заказчик вправе запросить оригиналы подтверждающих документов.</w:t>
            </w:r>
          </w:p>
          <w:p>
            <w:pPr>
              <w:pStyle w:val="Normal"/>
              <w:widowControl/>
              <w:suppressAutoHyphens w:val="true"/>
              <w:spacing w:before="0" w:after="0"/>
              <w:jc w:val="both"/>
              <w:rPr>
                <w:rFonts w:ascii="Times New Roman" w:hAnsi="Times New Roman" w:eastAsia="Times New Roman" w:cs="Times New Roman"/>
                <w:i w:val="false"/>
                <w:i w:val="false"/>
                <w:iCs w:val="false"/>
                <w:kern w:val="0"/>
                <w:sz w:val="20"/>
                <w:szCs w:val="20"/>
                <w:lang w:val="ru-RU" w:eastAsia="ru-RU" w:bidi="ar-SA"/>
              </w:rPr>
            </w:pPr>
            <w:r>
              <w:rPr>
                <w:rFonts w:eastAsia="Times New Roman" w:cs="Times New Roman" w:ascii="Times New Roman" w:hAnsi="Times New Roman"/>
                <w:i w:val="false"/>
                <w:iCs w:val="false"/>
                <w:kern w:val="0"/>
                <w:sz w:val="20"/>
                <w:szCs w:val="20"/>
                <w:lang w:val="ru-RU" w:eastAsia="ru-RU" w:bidi="ar-SA"/>
              </w:rPr>
              <w:t>Сведения, не позволяющие явно/однозначно определить наличие требуемого опыта у Участника, не оцениваются.</w:t>
            </w:r>
          </w:p>
        </w:tc>
      </w:tr>
    </w:tbl>
    <w:p>
      <w:pPr>
        <w:pStyle w:val="Normal"/>
        <w:jc w:val="both"/>
        <w:rPr>
          <w:rFonts w:eastAsia="Calibri"/>
          <w:b/>
          <w:bCs/>
          <w:sz w:val="22"/>
          <w:szCs w:val="22"/>
          <w:lang w:val="ru-RU"/>
        </w:rPr>
      </w:pPr>
      <w:r>
        <w:rPr>
          <w:rFonts w:eastAsia="Calibri"/>
          <w:b/>
          <w:bCs/>
          <w:sz w:val="22"/>
          <w:szCs w:val="22"/>
          <w:lang w:val="ru-RU"/>
        </w:rPr>
      </w:r>
    </w:p>
    <w:p>
      <w:pPr>
        <w:pStyle w:val="Normal"/>
        <w:jc w:val="both"/>
        <w:rPr>
          <w:rFonts w:ascii="Times New Roman" w:hAnsi="Times New Roman" w:eastAsia="Calibri"/>
          <w:b/>
          <w:bCs/>
          <w:sz w:val="22"/>
          <w:szCs w:val="22"/>
          <w:lang w:val="ru-RU"/>
        </w:rPr>
      </w:pPr>
      <w:r>
        <w:rPr>
          <w:rFonts w:eastAsia="Calibri" w:ascii="Times New Roman" w:hAnsi="Times New Roman"/>
          <w:b/>
          <w:bCs/>
          <w:sz w:val="22"/>
          <w:szCs w:val="22"/>
          <w:lang w:val="ru-RU"/>
        </w:rPr>
        <w:t>3. Требования к документации по ценообразованию на этапе закупки</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3.1. В обоснование стоимости своей заявки Участник предоставляет Коммерческое предложение, а также приложение к нему «Перечень работ с единичными расценками» по установленным в Документации о закупке формам (с учетом прилагаемых к ним инструкций по заполнению), с указанием в приложении в отношении каждого наименования работ коэффициента снижения стоимости за единицу продукции Ki (%) (определяется по установленной в инструкции формуле).</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3.2. Коэффициенты снижения служат только для оценки и сопоставления предложений Участников по соответствующим ценовым (стоимостным) критериям оценки второго уровня в соответствии с Приложением №6 к Документации о закупке «Порядок и критерии оценки и сопоставления заявок»</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(в договоре закрепляются единичные расценки работ, предложенные в заявке Победителем).</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3.3. Стоимость за единицу продукции (работы) должна включать в себя налоги, сборы, пошлины и другие обязательные платежи, расходы на содержание, эксплуатацию, перебазировку автотранспорта, спецтехники и механизмов, заправка горюче-смазочными материалами, и прочие расходы, связанные с выполнением работ, предусмотренные Проектом договора (Приложение № 2 к Документации о закупке)».</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3.4. Дополнительные документы по ценообразованию (сметная документация) в состав заявки Участника не включается.»</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r>
    </w:p>
    <w:p>
      <w:pPr>
        <w:pStyle w:val="Normal"/>
        <w:jc w:val="both"/>
        <w:rPr>
          <w:rFonts w:ascii="Times New Roman" w:hAnsi="Times New Roman" w:eastAsia="Calibri"/>
          <w:b/>
          <w:bCs/>
          <w:sz w:val="22"/>
          <w:szCs w:val="22"/>
          <w:lang w:val="ru-RU"/>
        </w:rPr>
      </w:pPr>
      <w:r>
        <w:rPr>
          <w:rFonts w:eastAsia="Calibri" w:ascii="Times New Roman" w:hAnsi="Times New Roman"/>
          <w:b/>
          <w:bCs/>
          <w:sz w:val="22"/>
          <w:szCs w:val="22"/>
          <w:lang w:val="ru-RU"/>
        </w:rPr>
        <w:t>4. Требования к документации по ценообразованию на этапе заключения (исполнения) договора</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4.1 По результатам настоящей закупки заключается договор с предельной ценой, равной начальной (максимальной) цене договора, установленной в Документации о закупке, а также с единичными расценками (ценой за единицу продукции по каждому наименованию работ), предложенными в заявке Победителем.</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t>4.2 Порядок формирования на этапе исполнения договора стоимости выполняемых работ по заданию заказчика установлен в Проекте договора (Приложение № 2 к Документации о закупке)».</w:t>
      </w:r>
    </w:p>
    <w:p>
      <w:pPr>
        <w:pStyle w:val="Normal"/>
        <w:jc w:val="both"/>
        <w:rPr>
          <w:rFonts w:ascii="Times New Roman" w:hAnsi="Times New Roman" w:eastAsia="Calibri"/>
          <w:b w:val="false"/>
          <w:bCs w:val="false"/>
          <w:sz w:val="22"/>
          <w:szCs w:val="22"/>
          <w:lang w:val="ru-RU"/>
        </w:rPr>
      </w:pPr>
      <w:r>
        <w:rPr>
          <w:rFonts w:eastAsia="Calibri" w:ascii="Times New Roman" w:hAnsi="Times New Roman"/>
          <w:b w:val="false"/>
          <w:bCs w:val="false"/>
          <w:sz w:val="22"/>
          <w:szCs w:val="22"/>
          <w:lang w:val="ru-RU"/>
        </w:rPr>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b/>
          <w:bCs/>
          <w:sz w:val="22"/>
          <w:szCs w:val="22"/>
          <w:lang w:val="ru-RU"/>
        </w:rPr>
        <w:t xml:space="preserve">5. </w:t>
      </w:r>
      <w:r>
        <w:rPr>
          <w:b/>
          <w:bCs/>
          <w:sz w:val="22"/>
          <w:szCs w:val="22"/>
          <w:lang w:val="ru-RU"/>
        </w:rPr>
        <w:t>Приложения:</w:t>
      </w:r>
    </w:p>
    <w:p>
      <w:pPr>
        <w:pStyle w:val="Normal"/>
        <w:jc w:val="both"/>
        <w:rPr>
          <w:rFonts w:eastAsia="Calibri"/>
          <w:b/>
          <w:bCs/>
          <w:sz w:val="22"/>
          <w:szCs w:val="22"/>
          <w:lang w:val="ru-RU"/>
        </w:rPr>
      </w:pPr>
      <w:r>
        <w:rPr>
          <w:bCs/>
          <w:sz w:val="20"/>
          <w:szCs w:val="20"/>
          <w:lang w:val="ru-RU"/>
        </w:rPr>
        <w:t>Приложение № 1 – Схема железнодорожных путей необщего пользования Филиала.</w:t>
      </w:r>
    </w:p>
    <w:p>
      <w:pPr>
        <w:pStyle w:val="Normal"/>
        <w:jc w:val="both"/>
        <w:rPr>
          <w:rFonts w:eastAsia="Calibri"/>
          <w:b/>
          <w:bCs/>
          <w:sz w:val="22"/>
          <w:szCs w:val="22"/>
          <w:lang w:val="ru-RU"/>
        </w:rPr>
      </w:pPr>
      <w:r>
        <w:rPr>
          <w:bCs/>
          <w:sz w:val="20"/>
          <w:szCs w:val="20"/>
          <w:lang w:val="ru-RU"/>
        </w:rPr>
        <w:t>Приложение № 2 – Требования в области охраны окружающей среды к подрядным организациям, выполняющим работы (строительные, монтажные, ремонтные и др.) на территории Филиала.</w:t>
      </w:r>
    </w:p>
    <w:p>
      <w:pPr>
        <w:pStyle w:val="Normal"/>
        <w:jc w:val="both"/>
        <w:rPr>
          <w:rFonts w:eastAsia="Calibri"/>
          <w:b/>
          <w:bCs/>
          <w:sz w:val="22"/>
          <w:szCs w:val="22"/>
          <w:lang w:val="ru-RU"/>
        </w:rPr>
      </w:pPr>
      <w:r>
        <w:rPr>
          <w:bCs/>
          <w:sz w:val="20"/>
          <w:szCs w:val="20"/>
          <w:lang w:val="ru-RU"/>
        </w:rPr>
        <w:t>Приложение № 3 – Требования к наличию квалифицированного персонала на выполнение работ по комплексному обследованию железнодорожных путей.</w:t>
      </w:r>
    </w:p>
    <w:p>
      <w:pPr>
        <w:pStyle w:val="Normal"/>
        <w:jc w:val="both"/>
        <w:rPr>
          <w:rFonts w:eastAsia="Calibri"/>
          <w:b/>
          <w:bCs/>
          <w:sz w:val="22"/>
          <w:szCs w:val="22"/>
          <w:lang w:val="ru-RU"/>
        </w:rPr>
      </w:pPr>
      <w:r>
        <w:rPr>
          <w:bCs/>
          <w:sz w:val="20"/>
          <w:szCs w:val="20"/>
          <w:lang w:val="ru-RU"/>
        </w:rPr>
        <w:t>Приложение № 4 – Методика допуска персонала подрядных организаций к выполнению работ на объектах Общества.</w:t>
      </w:r>
    </w:p>
    <w:p>
      <w:pPr>
        <w:pStyle w:val="Normal"/>
        <w:jc w:val="both"/>
        <w:rPr>
          <w:rFonts w:eastAsia="Calibri"/>
          <w:b/>
          <w:bCs/>
          <w:sz w:val="22"/>
          <w:szCs w:val="22"/>
          <w:lang w:val="ru-RU"/>
        </w:rPr>
      </w:pPr>
      <w:r>
        <w:rPr>
          <w:bCs/>
          <w:sz w:val="20"/>
          <w:szCs w:val="20"/>
          <w:lang w:val="ru-RU"/>
        </w:rPr>
        <w:t>Приложение № 5 – Положение по пропускному и внутри объектовому режимам Филиала.</w:t>
      </w:r>
    </w:p>
    <w:p>
      <w:pPr>
        <w:pStyle w:val="Normal"/>
        <w:jc w:val="both"/>
        <w:rPr>
          <w:rFonts w:eastAsia="Calibri"/>
          <w:b/>
          <w:bCs/>
          <w:sz w:val="22"/>
          <w:szCs w:val="22"/>
          <w:lang w:val="ru-RU"/>
        </w:rPr>
      </w:pPr>
      <w:r>
        <w:rPr>
          <w:bCs/>
          <w:sz w:val="20"/>
          <w:szCs w:val="20"/>
          <w:lang w:val="ru-RU"/>
        </w:rPr>
        <w:t>Приложение № 6 - Порядок разработки и согласования проектов производства работ.</w:t>
      </w:r>
    </w:p>
    <w:p>
      <w:pPr>
        <w:pStyle w:val="Normal"/>
        <w:jc w:val="both"/>
        <w:rPr>
          <w:rFonts w:eastAsia="Calibri"/>
          <w:b/>
          <w:bCs/>
          <w:sz w:val="22"/>
          <w:szCs w:val="22"/>
          <w:lang w:val="ru-RU"/>
        </w:rPr>
      </w:pPr>
      <w:r>
        <w:rPr>
          <w:bCs/>
          <w:sz w:val="20"/>
          <w:szCs w:val="20"/>
          <w:lang w:val="ru-RU"/>
        </w:rPr>
        <w:t>Приложение № 7 - Требования к материально - техническому оснащению.</w:t>
      </w:r>
    </w:p>
    <w:p>
      <w:pPr>
        <w:pStyle w:val="Normal"/>
        <w:jc w:val="both"/>
        <w:rPr>
          <w:rFonts w:eastAsia="Calibri"/>
          <w:b/>
          <w:bCs/>
          <w:sz w:val="22"/>
          <w:szCs w:val="22"/>
          <w:lang w:val="ru-RU"/>
        </w:rPr>
      </w:pPr>
      <w:r>
        <w:rPr/>
      </w:r>
    </w:p>
    <w:p>
      <w:pPr>
        <w:pStyle w:val="Normal"/>
        <w:jc w:val="right"/>
        <w:rPr>
          <w:rFonts w:eastAsia="Calibri"/>
          <w:b/>
          <w:bCs/>
          <w:sz w:val="22"/>
          <w:szCs w:val="22"/>
          <w:lang w:val="ru-RU"/>
        </w:rPr>
      </w:pPr>
      <w:r>
        <w:rPr>
          <w:rFonts w:eastAsia="Calibri"/>
          <w:b/>
          <w:bCs/>
          <w:sz w:val="22"/>
          <w:szCs w:val="22"/>
          <w:lang w:val="ru-RU"/>
        </w:rPr>
      </w:r>
    </w:p>
    <w:tbl>
      <w:tblPr>
        <w:tblW w:w="9571" w:type="dxa"/>
        <w:jc w:val="left"/>
        <w:tblInd w:w="468" w:type="dxa"/>
        <w:tblLayout w:type="fixed"/>
        <w:tblCellMar>
          <w:top w:w="0" w:type="dxa"/>
          <w:left w:w="108" w:type="dxa"/>
          <w:bottom w:w="0" w:type="dxa"/>
          <w:right w:w="108" w:type="dxa"/>
        </w:tblCellMar>
      </w:tblPr>
      <w:tblGrid>
        <w:gridCol w:w="4785"/>
        <w:gridCol w:w="4785"/>
      </w:tblGrid>
      <w:tr>
        <w:trPr/>
        <w:tc>
          <w:tcPr>
            <w:tcW w:w="9570" w:type="dxa"/>
            <w:gridSpan w:val="2"/>
            <w:tcBorders/>
          </w:tcPr>
          <w:p>
            <w:pPr>
              <w:pStyle w:val="2"/>
              <w:widowControl w:val="false"/>
              <w:spacing w:lineRule="auto" w:line="240" w:before="0" w:after="0"/>
              <w:jc w:val="center"/>
              <w:rPr>
                <w:rFonts w:ascii="Times New Roman" w:hAnsi="Times New Roman" w:cs="Times New Roman"/>
                <w:b/>
                <w:szCs w:val="22"/>
                <w:lang w:val="ru-RU"/>
              </w:rPr>
            </w:pPr>
            <w:r>
              <w:rPr>
                <w:rFonts w:cs="Times New Roman" w:ascii="Times New Roman" w:hAnsi="Times New Roman"/>
                <w:b/>
                <w:szCs w:val="22"/>
                <w:lang w:val="ru-RU"/>
              </w:rPr>
              <w:t>ПОДПИСИ СТОРОН:</w:t>
            </w:r>
          </w:p>
        </w:tc>
      </w:tr>
      <w:tr>
        <w:trPr/>
        <w:tc>
          <w:tcPr>
            <w:tcW w:w="4785" w:type="dxa"/>
            <w:tcBorders/>
          </w:tcPr>
          <w:p>
            <w:pPr>
              <w:pStyle w:val="Normal"/>
              <w:widowControl w:val="false"/>
              <w:jc w:val="center"/>
              <w:rPr>
                <w:b/>
                <w:bCs/>
                <w:sz w:val="22"/>
                <w:szCs w:val="22"/>
                <w:u w:val="single"/>
                <w:lang w:val="ru-RU"/>
              </w:rPr>
            </w:pPr>
            <w:r>
              <w:rPr>
                <w:b/>
                <w:bCs/>
                <w:sz w:val="22"/>
                <w:szCs w:val="22"/>
                <w:u w:val="single"/>
                <w:lang w:val="ru-RU"/>
              </w:rPr>
              <w:t>От Заказчика:</w:t>
            </w:r>
          </w:p>
        </w:tc>
        <w:tc>
          <w:tcPr>
            <w:tcW w:w="4785" w:type="dxa"/>
            <w:tcBorders/>
          </w:tcPr>
          <w:p>
            <w:pPr>
              <w:pStyle w:val="Normal"/>
              <w:widowControl w:val="false"/>
              <w:jc w:val="center"/>
              <w:rPr>
                <w:b/>
                <w:bCs/>
                <w:sz w:val="22"/>
                <w:szCs w:val="22"/>
                <w:u w:val="single"/>
                <w:lang w:val="ru-RU"/>
              </w:rPr>
            </w:pPr>
            <w:r>
              <w:rPr>
                <w:b/>
                <w:bCs/>
                <w:sz w:val="22"/>
                <w:szCs w:val="22"/>
                <w:u w:val="single"/>
                <w:lang w:val="ru-RU"/>
              </w:rPr>
              <w:t>От Исполнителя:</w:t>
            </w:r>
          </w:p>
        </w:tc>
      </w:tr>
      <w:tr>
        <w:trPr/>
        <w:tc>
          <w:tcPr>
            <w:tcW w:w="4785" w:type="dxa"/>
            <w:tcBorders/>
          </w:tcPr>
          <w:p>
            <w:pPr>
              <w:pStyle w:val="Normal"/>
              <w:widowControl w:val="false"/>
              <w:snapToGrid w:val="false"/>
              <w:jc w:val="center"/>
              <w:rPr>
                <w:b/>
                <w:bCs/>
                <w:sz w:val="22"/>
                <w:szCs w:val="22"/>
                <w:u w:val="single"/>
                <w:lang w:val="ru-RU"/>
              </w:rPr>
            </w:pPr>
            <w:r>
              <w:rPr>
                <w:b/>
                <w:bCs/>
                <w:sz w:val="22"/>
                <w:szCs w:val="22"/>
                <w:u w:val="single"/>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_______________ / Шепелев В.В. /</w:t>
            </w:r>
          </w:p>
          <w:p>
            <w:pPr>
              <w:pStyle w:val="Normal"/>
              <w:widowControl w:val="false"/>
              <w:jc w:val="center"/>
              <w:rPr>
                <w:sz w:val="22"/>
                <w:szCs w:val="22"/>
                <w:lang w:val="ru-RU"/>
              </w:rPr>
            </w:pPr>
            <w:r>
              <w:rPr>
                <w:sz w:val="22"/>
                <w:szCs w:val="22"/>
                <w:lang w:val="ru-RU"/>
              </w:rPr>
              <w:t>м.п.</w:t>
            </w:r>
          </w:p>
        </w:tc>
        <w:tc>
          <w:tcPr>
            <w:tcW w:w="4785" w:type="dxa"/>
            <w:tcBorders/>
          </w:tcPr>
          <w:p>
            <w:pPr>
              <w:pStyle w:val="Normal"/>
              <w:widowControl w:val="false"/>
              <w:snapToGrid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 xml:space="preserve">_______________ / </w:t>
            </w:r>
            <w:r>
              <w:rPr>
                <w:sz w:val="22"/>
                <w:szCs w:val="22"/>
                <w:lang w:val="ru-RU"/>
              </w:rPr>
              <w:t>_____________</w:t>
            </w:r>
            <w:r>
              <w:rPr>
                <w:sz w:val="22"/>
                <w:szCs w:val="22"/>
                <w:lang w:val="ru-RU"/>
              </w:rPr>
              <w:t xml:space="preserve"> /</w:t>
            </w:r>
          </w:p>
          <w:p>
            <w:pPr>
              <w:pStyle w:val="Normal"/>
              <w:widowControl w:val="false"/>
              <w:jc w:val="center"/>
              <w:rPr>
                <w:sz w:val="22"/>
                <w:szCs w:val="22"/>
                <w:lang w:val="ru-RU"/>
              </w:rPr>
            </w:pPr>
            <w:r>
              <w:rPr>
                <w:sz w:val="22"/>
                <w:szCs w:val="22"/>
                <w:lang w:val="ru-RU"/>
              </w:rPr>
              <w:t>м.п.</w:t>
            </w:r>
          </w:p>
        </w:tc>
      </w:tr>
    </w:tbl>
    <w:p>
      <w:pPr>
        <w:pStyle w:val="Normal"/>
        <w:jc w:val="right"/>
        <w:rPr>
          <w:rFonts w:eastAsia="Calibri"/>
          <w:b/>
          <w:bCs/>
          <w:sz w:val="22"/>
          <w:szCs w:val="22"/>
          <w:lang w:val="ru-RU"/>
        </w:rPr>
      </w:pPr>
      <w:r>
        <w:br w:type="page"/>
      </w:r>
      <w:r>
        <w:rPr>
          <w:lang w:val="ru-RU"/>
        </w:rPr>
        <w:t>Приложение № 2</w:t>
      </w:r>
    </w:p>
    <w:p>
      <w:pPr>
        <w:pStyle w:val="Normal"/>
        <w:jc w:val="right"/>
        <w:rPr>
          <w:rFonts w:eastAsia="Calibri"/>
          <w:b/>
          <w:bCs/>
          <w:sz w:val="22"/>
          <w:szCs w:val="22"/>
          <w:lang w:val="ru-RU"/>
        </w:rPr>
      </w:pPr>
      <w:r>
        <w:rPr>
          <w:lang w:val="ru-RU"/>
        </w:rPr>
        <w:t>к договору возмездного оказания услуг</w:t>
      </w:r>
    </w:p>
    <w:p>
      <w:pPr>
        <w:pStyle w:val="Normal"/>
        <w:jc w:val="right"/>
        <w:rPr>
          <w:rFonts w:eastAsia="Calibri"/>
          <w:b/>
          <w:bCs/>
          <w:sz w:val="22"/>
          <w:szCs w:val="22"/>
          <w:lang w:val="ru-RU"/>
        </w:rPr>
      </w:pPr>
      <w:r>
        <w:rPr>
          <w:lang w:val="ru-RU"/>
        </w:rPr>
        <w:t xml:space="preserve">№ </w:t>
      </w:r>
      <w:r>
        <w:rPr>
          <w:lang w:val="ru-RU"/>
        </w:rPr>
        <w:t>_____________ от «____» __________ 202</w:t>
      </w:r>
      <w:r>
        <w:rPr>
          <w:lang w:val="en-US"/>
        </w:rPr>
        <w:t>6</w:t>
      </w:r>
      <w:r>
        <w:rPr>
          <w:lang w:val="ru-RU"/>
        </w:rPr>
        <w:t xml:space="preserve"> г.</w:t>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b/>
          <w:lang w:val="ru-RU"/>
        </w:rPr>
        <w:t>Расчет стоимости оказания Услуг</w:t>
      </w:r>
    </w:p>
    <w:p>
      <w:pPr>
        <w:pStyle w:val="Normal"/>
        <w:jc w:val="center"/>
        <w:rPr>
          <w:rFonts w:eastAsia="Calibri"/>
          <w:b/>
          <w:bCs/>
          <w:sz w:val="22"/>
          <w:szCs w:val="22"/>
          <w:lang w:val="ru-RU"/>
        </w:rPr>
      </w:pPr>
      <w:r>
        <w:rPr>
          <w:rFonts w:eastAsia="Calibri"/>
          <w:b/>
          <w:bCs/>
          <w:sz w:val="22"/>
          <w:szCs w:val="22"/>
          <w:lang w:val="ru-RU"/>
        </w:rPr>
      </w:r>
    </w:p>
    <w:tbl>
      <w:tblPr>
        <w:tblW w:w="9921" w:type="dxa"/>
        <w:jc w:val="left"/>
        <w:tblInd w:w="0" w:type="dxa"/>
        <w:tblLayout w:type="fixed"/>
        <w:tblCellMar>
          <w:top w:w="0" w:type="dxa"/>
          <w:left w:w="108" w:type="dxa"/>
          <w:bottom w:w="0" w:type="dxa"/>
          <w:right w:w="108" w:type="dxa"/>
        </w:tblCellMar>
      </w:tblPr>
      <w:tblGrid>
        <w:gridCol w:w="646"/>
        <w:gridCol w:w="3573"/>
        <w:gridCol w:w="1170"/>
        <w:gridCol w:w="1026"/>
        <w:gridCol w:w="1914"/>
        <w:gridCol w:w="1591"/>
      </w:tblGrid>
      <w:tr>
        <w:trPr/>
        <w:tc>
          <w:tcPr>
            <w:tcW w:w="6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t xml:space="preserve">№ </w:t>
            </w:r>
            <w:r>
              <w:rPr>
                <w:sz w:val="22"/>
                <w:szCs w:val="22"/>
                <w:lang w:val="ru-RU"/>
              </w:rPr>
              <w:t>п/п</w:t>
            </w:r>
          </w:p>
        </w:tc>
        <w:tc>
          <w:tcPr>
            <w:tcW w:w="357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en-US"/>
              </w:rPr>
            </w:pPr>
            <w:r>
              <w:rPr>
                <w:sz w:val="22"/>
                <w:szCs w:val="22"/>
                <w:lang w:val="en-US"/>
              </w:rPr>
              <w:t>Наименование услуг</w:t>
            </w:r>
          </w:p>
        </w:tc>
        <w:tc>
          <w:tcPr>
            <w:tcW w:w="11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t>Ед.изм.</w:t>
            </w:r>
          </w:p>
        </w:tc>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t>Кол-во</w:t>
            </w:r>
          </w:p>
        </w:tc>
        <w:tc>
          <w:tcPr>
            <w:tcW w:w="19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t>Цена за ед. изм., руб. без НДС</w:t>
            </w:r>
          </w:p>
        </w:tc>
        <w:tc>
          <w:tcPr>
            <w:tcW w:w="15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t>Сумма, руб. без НДС</w:t>
            </w:r>
          </w:p>
        </w:tc>
      </w:tr>
      <w:tr>
        <w:trPr/>
        <w:tc>
          <w:tcPr>
            <w:tcW w:w="6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t>1</w:t>
            </w:r>
          </w:p>
        </w:tc>
        <w:tc>
          <w:tcPr>
            <w:tcW w:w="3573" w:type="dxa"/>
            <w:tcBorders>
              <w:top w:val="single" w:sz="4" w:space="0" w:color="000000"/>
              <w:left w:val="single" w:sz="4" w:space="0" w:color="000000"/>
              <w:bottom w:val="single" w:sz="4" w:space="0" w:color="000000"/>
              <w:right w:val="single" w:sz="4" w:space="0" w:color="000000"/>
            </w:tcBorders>
          </w:tcPr>
          <w:p>
            <w:pPr>
              <w:pStyle w:val="1"/>
              <w:widowControl w:val="false"/>
              <w:numPr>
                <w:ilvl w:val="0"/>
              </w:numPr>
              <w:tabs>
                <w:tab w:val="clear" w:pos="708"/>
                <w:tab w:val="left" w:pos="709" w:leader="none"/>
              </w:tabs>
              <w:jc w:val="both"/>
              <w:rPr>
                <w:sz w:val="22"/>
                <w:szCs w:val="22"/>
              </w:rPr>
            </w:pPr>
            <w:r>
              <w:rPr>
                <w:sz w:val="22"/>
                <w:szCs w:val="22"/>
                <w:lang w:val="ru-RU"/>
              </w:rPr>
              <w:t xml:space="preserve">71.12.19.100 Оказание услуг по актуализации технического паспорта и инструкции о порядке обслуживания и организации движения на железнодорожном пути необщего пользования </w:t>
            </w:r>
          </w:p>
          <w:p>
            <w:pPr>
              <w:pStyle w:val="1"/>
              <w:widowControl w:val="false"/>
              <w:tabs>
                <w:tab w:val="clear" w:pos="708"/>
                <w:tab w:val="left" w:pos="709" w:leader="none"/>
              </w:tabs>
              <w:jc w:val="both"/>
              <w:rPr>
                <w:sz w:val="22"/>
                <w:szCs w:val="22"/>
              </w:rPr>
            </w:pPr>
            <w:r>
              <w:rPr>
                <w:sz w:val="22"/>
                <w:szCs w:val="22"/>
                <w:lang w:val="ru-RU"/>
              </w:rPr>
              <w:t xml:space="preserve">филиала ПАО «РусГидро» – «Жигулевская ГЭС» </w:t>
            </w:r>
          </w:p>
        </w:tc>
        <w:tc>
          <w:tcPr>
            <w:tcW w:w="117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t>км</w:t>
            </w:r>
          </w:p>
        </w:tc>
        <w:tc>
          <w:tcPr>
            <w:tcW w:w="102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en-US"/>
              </w:rPr>
            </w:pPr>
            <w:r>
              <w:rPr>
                <w:sz w:val="22"/>
                <w:szCs w:val="22"/>
                <w:lang w:val="en-US"/>
              </w:rPr>
            </w:r>
          </w:p>
          <w:p>
            <w:pPr>
              <w:pStyle w:val="Normal"/>
              <w:widowControl w:val="false"/>
              <w:jc w:val="center"/>
              <w:rPr>
                <w:sz w:val="22"/>
                <w:szCs w:val="22"/>
                <w:lang w:val="en-US"/>
              </w:rPr>
            </w:pPr>
            <w:r>
              <w:rPr>
                <w:sz w:val="22"/>
                <w:szCs w:val="22"/>
                <w:lang w:val="en-US"/>
              </w:rPr>
            </w:r>
          </w:p>
          <w:p>
            <w:pPr>
              <w:pStyle w:val="Normal"/>
              <w:widowControl w:val="false"/>
              <w:jc w:val="center"/>
              <w:rPr>
                <w:sz w:val="22"/>
                <w:szCs w:val="22"/>
                <w:lang w:val="en-US"/>
              </w:rPr>
            </w:pPr>
            <w:r>
              <w:rPr>
                <w:sz w:val="22"/>
                <w:szCs w:val="22"/>
                <w:lang w:val="en-US"/>
              </w:rPr>
            </w:r>
          </w:p>
          <w:p>
            <w:pPr>
              <w:pStyle w:val="Normal"/>
              <w:widowControl w:val="false"/>
              <w:jc w:val="center"/>
              <w:rPr>
                <w:sz w:val="22"/>
                <w:szCs w:val="22"/>
                <w:lang w:val="en-US"/>
              </w:rPr>
            </w:pPr>
            <w:r>
              <w:rPr>
                <w:sz w:val="22"/>
                <w:szCs w:val="22"/>
                <w:lang w:val="en-US"/>
              </w:rPr>
              <w:t>8,3</w:t>
            </w:r>
          </w:p>
        </w:tc>
        <w:tc>
          <w:tcPr>
            <w:tcW w:w="19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ru-RU"/>
              </w:rPr>
            </w:pPr>
            <w:r>
              <w:rPr/>
            </w:r>
          </w:p>
        </w:tc>
        <w:tc>
          <w:tcPr>
            <w:tcW w:w="15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22"/>
                <w:szCs w:val="22"/>
                <w:lang w:val="en-US"/>
              </w:rPr>
            </w:pPr>
            <w:r>
              <w:rPr/>
            </w:r>
          </w:p>
        </w:tc>
      </w:tr>
      <w:tr>
        <w:trPr/>
        <w:tc>
          <w:tcPr>
            <w:tcW w:w="646" w:type="dxa"/>
            <w:tcBorders>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r>
          </w:p>
        </w:tc>
        <w:tc>
          <w:tcPr>
            <w:tcW w:w="7683" w:type="dxa"/>
            <w:gridSpan w:val="4"/>
            <w:tcBorders>
              <w:left w:val="single" w:sz="4" w:space="0" w:color="000000"/>
              <w:bottom w:val="single" w:sz="4" w:space="0" w:color="000000"/>
              <w:right w:val="single" w:sz="4" w:space="0" w:color="000000"/>
            </w:tcBorders>
          </w:tcPr>
          <w:p>
            <w:pPr>
              <w:pStyle w:val="Normal"/>
              <w:widowControl w:val="false"/>
              <w:shd w:val="clear" w:fill="FFFFFF"/>
              <w:spacing w:lineRule="auto" w:line="240" w:before="0" w:after="0"/>
              <w:jc w:val="right"/>
              <w:rPr>
                <w:sz w:val="22"/>
                <w:szCs w:val="22"/>
              </w:rPr>
            </w:pPr>
            <w:r>
              <w:rPr>
                <w:rFonts w:cs="Times New Roman"/>
                <w:sz w:val="22"/>
                <w:szCs w:val="22"/>
              </w:rPr>
              <w:t>ВСЕГО, руб. без НДС:</w:t>
            </w:r>
          </w:p>
        </w:tc>
        <w:tc>
          <w:tcPr>
            <w:tcW w:w="1591" w:type="dxa"/>
            <w:tcBorders>
              <w:left w:val="single" w:sz="4" w:space="0" w:color="000000"/>
              <w:bottom w:val="single" w:sz="4" w:space="0" w:color="000000"/>
              <w:right w:val="single" w:sz="4" w:space="0" w:color="000000"/>
            </w:tcBorders>
          </w:tcPr>
          <w:p>
            <w:pPr>
              <w:pStyle w:val="Normal"/>
              <w:widowControl w:val="false"/>
              <w:jc w:val="center"/>
              <w:rPr>
                <w:sz w:val="22"/>
                <w:szCs w:val="22"/>
                <w:lang w:val="en-US"/>
              </w:rPr>
            </w:pPr>
            <w:r>
              <w:rPr/>
            </w:r>
          </w:p>
        </w:tc>
      </w:tr>
      <w:tr>
        <w:trPr/>
        <w:tc>
          <w:tcPr>
            <w:tcW w:w="646" w:type="dxa"/>
            <w:tcBorders>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r>
          </w:p>
        </w:tc>
        <w:tc>
          <w:tcPr>
            <w:tcW w:w="7683" w:type="dxa"/>
            <w:gridSpan w:val="4"/>
            <w:tcBorders>
              <w:left w:val="single" w:sz="4" w:space="0" w:color="000000"/>
              <w:bottom w:val="single" w:sz="4" w:space="0" w:color="000000"/>
              <w:right w:val="single" w:sz="4" w:space="0" w:color="000000"/>
            </w:tcBorders>
          </w:tcPr>
          <w:p>
            <w:pPr>
              <w:pStyle w:val="Normal"/>
              <w:widowControl w:val="false"/>
              <w:shd w:val="clear" w:fill="FFFFFF"/>
              <w:spacing w:lineRule="auto" w:line="240" w:before="0" w:after="0"/>
              <w:jc w:val="right"/>
              <w:rPr>
                <w:sz w:val="22"/>
                <w:szCs w:val="22"/>
              </w:rPr>
            </w:pPr>
            <w:r>
              <w:rPr>
                <w:rFonts w:cs="Times New Roman"/>
                <w:sz w:val="22"/>
                <w:szCs w:val="22"/>
              </w:rPr>
              <w:t>НДС 22% (сумма НДС является справочной и рассчитана исходя из ставки налога по этапам выполнения работ по договору в соответствии с действующим законодательством):</w:t>
            </w:r>
          </w:p>
        </w:tc>
        <w:tc>
          <w:tcPr>
            <w:tcW w:w="1591" w:type="dxa"/>
            <w:tcBorders>
              <w:left w:val="single" w:sz="4" w:space="0" w:color="000000"/>
              <w:bottom w:val="single" w:sz="4" w:space="0" w:color="000000"/>
              <w:right w:val="single" w:sz="4" w:space="0" w:color="000000"/>
            </w:tcBorders>
          </w:tcPr>
          <w:p>
            <w:pPr>
              <w:pStyle w:val="Normal"/>
              <w:widowControl w:val="false"/>
              <w:jc w:val="center"/>
              <w:rPr>
                <w:sz w:val="22"/>
                <w:szCs w:val="22"/>
                <w:lang w:val="en-US"/>
              </w:rPr>
            </w:pPr>
            <w:r>
              <w:rPr/>
            </w:r>
          </w:p>
        </w:tc>
      </w:tr>
      <w:tr>
        <w:trPr/>
        <w:tc>
          <w:tcPr>
            <w:tcW w:w="646" w:type="dxa"/>
            <w:tcBorders>
              <w:left w:val="single" w:sz="4" w:space="0" w:color="000000"/>
              <w:bottom w:val="single" w:sz="4" w:space="0" w:color="000000"/>
              <w:right w:val="single" w:sz="4" w:space="0" w:color="000000"/>
            </w:tcBorders>
          </w:tcPr>
          <w:p>
            <w:pPr>
              <w:pStyle w:val="Normal"/>
              <w:widowControl w:val="false"/>
              <w:jc w:val="center"/>
              <w:rPr>
                <w:sz w:val="22"/>
                <w:szCs w:val="22"/>
                <w:lang w:val="ru-RU"/>
              </w:rPr>
            </w:pPr>
            <w:r>
              <w:rPr>
                <w:sz w:val="22"/>
                <w:szCs w:val="22"/>
                <w:lang w:val="ru-RU"/>
              </w:rPr>
            </w:r>
          </w:p>
        </w:tc>
        <w:tc>
          <w:tcPr>
            <w:tcW w:w="7683" w:type="dxa"/>
            <w:gridSpan w:val="4"/>
            <w:tcBorders>
              <w:left w:val="single" w:sz="4" w:space="0" w:color="000000"/>
              <w:bottom w:val="single" w:sz="4" w:space="0" w:color="000000"/>
              <w:right w:val="single" w:sz="4" w:space="0" w:color="000000"/>
            </w:tcBorders>
          </w:tcPr>
          <w:p>
            <w:pPr>
              <w:pStyle w:val="Normal"/>
              <w:widowControl w:val="false"/>
              <w:shd w:val="clear" w:fill="FFFFFF"/>
              <w:spacing w:lineRule="auto" w:line="240" w:before="0" w:after="0"/>
              <w:jc w:val="right"/>
              <w:rPr>
                <w:sz w:val="22"/>
                <w:szCs w:val="22"/>
              </w:rPr>
            </w:pPr>
            <w:r>
              <w:rPr>
                <w:rFonts w:cs="Times New Roman"/>
                <w:sz w:val="22"/>
                <w:szCs w:val="22"/>
              </w:rPr>
              <w:t>ВСЕГО, руб. с НДС:</w:t>
            </w:r>
          </w:p>
        </w:tc>
        <w:tc>
          <w:tcPr>
            <w:tcW w:w="1591" w:type="dxa"/>
            <w:tcBorders>
              <w:left w:val="single" w:sz="4" w:space="0" w:color="000000"/>
              <w:bottom w:val="single" w:sz="4" w:space="0" w:color="000000"/>
              <w:right w:val="single" w:sz="4" w:space="0" w:color="000000"/>
            </w:tcBorders>
          </w:tcPr>
          <w:p>
            <w:pPr>
              <w:pStyle w:val="Normal"/>
              <w:widowControl w:val="false"/>
              <w:jc w:val="center"/>
              <w:rPr>
                <w:sz w:val="22"/>
                <w:szCs w:val="22"/>
                <w:lang w:val="en-US"/>
              </w:rPr>
            </w:pPr>
            <w:r>
              <w:rPr/>
            </w:r>
          </w:p>
        </w:tc>
      </w:tr>
    </w:tbl>
    <w:p>
      <w:pPr>
        <w:pStyle w:val="Normal"/>
        <w:jc w:val="center"/>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val="false"/>
          <w:bCs w:val="false"/>
          <w:sz w:val="22"/>
          <w:szCs w:val="22"/>
          <w:lang w:val="ru-RU"/>
        </w:rPr>
        <w:t xml:space="preserve">Итого по расчету: </w:t>
      </w:r>
      <w:r>
        <w:rPr>
          <w:rFonts w:eastAsia="Calibri"/>
          <w:b/>
          <w:bCs/>
          <w:sz w:val="22"/>
          <w:szCs w:val="22"/>
          <w:lang w:val="ru-RU"/>
        </w:rPr>
        <w:t>_________________________________________________</w:t>
      </w:r>
      <w:r>
        <w:rPr>
          <w:rFonts w:eastAsia="Calibri"/>
          <w:b/>
          <w:bCs/>
          <w:sz w:val="22"/>
          <w:szCs w:val="22"/>
          <w:lang w:val="ru-RU"/>
        </w:rPr>
        <w:t xml:space="preserve"> рублей </w:t>
      </w:r>
      <w:r>
        <w:rPr>
          <w:rFonts w:eastAsia="Calibri"/>
          <w:b/>
          <w:bCs/>
          <w:sz w:val="22"/>
          <w:szCs w:val="22"/>
          <w:lang w:val="ru-RU"/>
        </w:rPr>
        <w:t>___</w:t>
      </w:r>
      <w:r>
        <w:rPr>
          <w:rFonts w:eastAsia="Calibri"/>
          <w:b/>
          <w:bCs/>
          <w:sz w:val="22"/>
          <w:szCs w:val="22"/>
          <w:lang w:val="ru-RU"/>
        </w:rPr>
        <w:t xml:space="preserve"> копеек</w:t>
      </w:r>
    </w:p>
    <w:p>
      <w:pPr>
        <w:pStyle w:val="Normal"/>
        <w:rPr>
          <w:rFonts w:eastAsia="Calibri"/>
          <w:b/>
          <w:bCs/>
          <w:sz w:val="22"/>
          <w:szCs w:val="22"/>
          <w:lang w:val="ru-RU"/>
        </w:rPr>
      </w:pPr>
      <w:r>
        <w:rPr>
          <w:sz w:val="22"/>
          <w:szCs w:val="22"/>
          <w:lang w:val="ru-RU"/>
        </w:rPr>
        <w:t>Цена включает все затраты, издержки, иные расходы и другие обязательные платежи.</w:t>
      </w:r>
    </w:p>
    <w:p>
      <w:pPr>
        <w:pStyle w:val="Normal"/>
        <w:jc w:val="right"/>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tbl>
      <w:tblPr>
        <w:tblW w:w="9571" w:type="dxa"/>
        <w:jc w:val="left"/>
        <w:tblInd w:w="468" w:type="dxa"/>
        <w:tblLayout w:type="fixed"/>
        <w:tblCellMar>
          <w:top w:w="0" w:type="dxa"/>
          <w:left w:w="108" w:type="dxa"/>
          <w:bottom w:w="0" w:type="dxa"/>
          <w:right w:w="108" w:type="dxa"/>
        </w:tblCellMar>
      </w:tblPr>
      <w:tblGrid>
        <w:gridCol w:w="4785"/>
        <w:gridCol w:w="4785"/>
      </w:tblGrid>
      <w:tr>
        <w:trPr/>
        <w:tc>
          <w:tcPr>
            <w:tcW w:w="9570" w:type="dxa"/>
            <w:gridSpan w:val="2"/>
            <w:tcBorders/>
          </w:tcPr>
          <w:p>
            <w:pPr>
              <w:pStyle w:val="2"/>
              <w:widowControl w:val="false"/>
              <w:spacing w:lineRule="auto" w:line="240" w:before="0" w:after="0"/>
              <w:jc w:val="center"/>
              <w:rPr>
                <w:rFonts w:ascii="Times New Roman" w:hAnsi="Times New Roman" w:cs="Times New Roman"/>
                <w:b/>
                <w:szCs w:val="22"/>
                <w:lang w:val="ru-RU"/>
              </w:rPr>
            </w:pPr>
            <w:r>
              <w:rPr>
                <w:rFonts w:cs="Times New Roman" w:ascii="Times New Roman" w:hAnsi="Times New Roman"/>
                <w:b/>
                <w:szCs w:val="22"/>
                <w:lang w:val="ru-RU"/>
              </w:rPr>
              <w:t>ПОДПИСИ СТОРОН:</w:t>
            </w:r>
          </w:p>
        </w:tc>
      </w:tr>
      <w:tr>
        <w:trPr/>
        <w:tc>
          <w:tcPr>
            <w:tcW w:w="4785" w:type="dxa"/>
            <w:tcBorders/>
          </w:tcPr>
          <w:p>
            <w:pPr>
              <w:pStyle w:val="Normal"/>
              <w:widowControl w:val="false"/>
              <w:jc w:val="center"/>
              <w:rPr>
                <w:b/>
                <w:bCs/>
                <w:sz w:val="22"/>
                <w:szCs w:val="22"/>
                <w:u w:val="single"/>
                <w:lang w:val="ru-RU"/>
              </w:rPr>
            </w:pPr>
            <w:r>
              <w:rPr>
                <w:b/>
                <w:bCs/>
                <w:sz w:val="22"/>
                <w:szCs w:val="22"/>
                <w:u w:val="single"/>
                <w:lang w:val="ru-RU"/>
              </w:rPr>
              <w:t>От Заказчика:</w:t>
            </w:r>
          </w:p>
        </w:tc>
        <w:tc>
          <w:tcPr>
            <w:tcW w:w="4785" w:type="dxa"/>
            <w:tcBorders/>
          </w:tcPr>
          <w:p>
            <w:pPr>
              <w:pStyle w:val="Normal"/>
              <w:widowControl w:val="false"/>
              <w:jc w:val="center"/>
              <w:rPr>
                <w:b/>
                <w:bCs/>
                <w:sz w:val="22"/>
                <w:szCs w:val="22"/>
                <w:u w:val="single"/>
                <w:lang w:val="ru-RU"/>
              </w:rPr>
            </w:pPr>
            <w:r>
              <w:rPr>
                <w:b/>
                <w:bCs/>
                <w:sz w:val="22"/>
                <w:szCs w:val="22"/>
                <w:u w:val="single"/>
                <w:lang w:val="ru-RU"/>
              </w:rPr>
              <w:t>От Исполнителя:</w:t>
            </w:r>
          </w:p>
        </w:tc>
      </w:tr>
      <w:tr>
        <w:trPr/>
        <w:tc>
          <w:tcPr>
            <w:tcW w:w="4785" w:type="dxa"/>
            <w:tcBorders/>
          </w:tcPr>
          <w:p>
            <w:pPr>
              <w:pStyle w:val="Normal"/>
              <w:widowControl w:val="false"/>
              <w:snapToGrid w:val="false"/>
              <w:jc w:val="center"/>
              <w:rPr>
                <w:b/>
                <w:bCs/>
                <w:sz w:val="22"/>
                <w:szCs w:val="22"/>
                <w:u w:val="single"/>
                <w:lang w:val="ru-RU"/>
              </w:rPr>
            </w:pPr>
            <w:r>
              <w:rPr>
                <w:b/>
                <w:bCs/>
                <w:sz w:val="22"/>
                <w:szCs w:val="22"/>
                <w:u w:val="single"/>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_______________ / Шепелев В.В. /</w:t>
            </w:r>
          </w:p>
          <w:p>
            <w:pPr>
              <w:pStyle w:val="Normal"/>
              <w:widowControl w:val="false"/>
              <w:jc w:val="center"/>
              <w:rPr>
                <w:sz w:val="22"/>
                <w:szCs w:val="22"/>
                <w:lang w:val="ru-RU"/>
              </w:rPr>
            </w:pPr>
            <w:r>
              <w:rPr>
                <w:sz w:val="22"/>
                <w:szCs w:val="22"/>
                <w:lang w:val="ru-RU"/>
              </w:rPr>
              <w:t>м.п.</w:t>
            </w:r>
          </w:p>
        </w:tc>
        <w:tc>
          <w:tcPr>
            <w:tcW w:w="4785" w:type="dxa"/>
            <w:tcBorders/>
          </w:tcPr>
          <w:p>
            <w:pPr>
              <w:pStyle w:val="Normal"/>
              <w:widowControl w:val="false"/>
              <w:snapToGrid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 xml:space="preserve">_______________ / </w:t>
            </w:r>
            <w:r>
              <w:rPr>
                <w:sz w:val="22"/>
                <w:szCs w:val="22"/>
                <w:lang w:val="ru-RU"/>
              </w:rPr>
              <w:t>___________</w:t>
            </w:r>
            <w:r>
              <w:rPr>
                <w:sz w:val="22"/>
                <w:szCs w:val="22"/>
                <w:lang w:val="ru-RU"/>
              </w:rPr>
              <w:t xml:space="preserve"> /</w:t>
            </w:r>
          </w:p>
          <w:p>
            <w:pPr>
              <w:pStyle w:val="Normal"/>
              <w:widowControl w:val="false"/>
              <w:jc w:val="center"/>
              <w:rPr>
                <w:sz w:val="22"/>
                <w:szCs w:val="22"/>
                <w:lang w:val="ru-RU"/>
              </w:rPr>
            </w:pPr>
            <w:r>
              <w:rPr>
                <w:sz w:val="22"/>
                <w:szCs w:val="22"/>
                <w:lang w:val="ru-RU"/>
              </w:rPr>
              <w:t>м.п.</w:t>
            </w:r>
          </w:p>
        </w:tc>
      </w:tr>
    </w:tbl>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r>
        <w:br w:type="page"/>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sz w:val="22"/>
          <w:szCs w:val="22"/>
          <w:lang w:val="ru-RU"/>
        </w:rPr>
        <w:t>Приложение № 3</w:t>
      </w:r>
    </w:p>
    <w:p>
      <w:pPr>
        <w:pStyle w:val="Normal"/>
        <w:jc w:val="right"/>
        <w:rPr>
          <w:rFonts w:eastAsia="Calibri"/>
          <w:b/>
          <w:bCs/>
          <w:sz w:val="22"/>
          <w:szCs w:val="22"/>
          <w:lang w:val="ru-RU"/>
        </w:rPr>
      </w:pPr>
      <w:r>
        <w:rPr>
          <w:sz w:val="22"/>
          <w:szCs w:val="22"/>
          <w:lang w:val="ru-RU"/>
        </w:rPr>
        <w:t>к договору возмездного оказания услуг</w:t>
      </w:r>
    </w:p>
    <w:p>
      <w:pPr>
        <w:pStyle w:val="Normal"/>
        <w:jc w:val="right"/>
        <w:rPr>
          <w:rFonts w:eastAsia="Calibri"/>
          <w:b/>
          <w:bCs/>
          <w:sz w:val="22"/>
          <w:szCs w:val="22"/>
          <w:lang w:val="ru-RU"/>
        </w:rPr>
      </w:pPr>
      <w:r>
        <w:rPr>
          <w:sz w:val="22"/>
          <w:szCs w:val="22"/>
          <w:lang w:val="ru-RU"/>
        </w:rPr>
        <w:t xml:space="preserve">№ </w:t>
      </w:r>
      <w:r>
        <w:rPr>
          <w:sz w:val="22"/>
          <w:szCs w:val="22"/>
          <w:lang w:val="ru-RU"/>
        </w:rPr>
        <w:t>_____________ от «____» __________ 202</w:t>
      </w:r>
      <w:r>
        <w:rPr>
          <w:sz w:val="22"/>
          <w:szCs w:val="22"/>
          <w:lang w:val="en-US"/>
        </w:rPr>
        <w:t>6</w:t>
      </w:r>
      <w:r>
        <w:rPr>
          <w:sz w:val="22"/>
          <w:szCs w:val="22"/>
          <w:lang w:val="ru-RU"/>
        </w:rPr>
        <w:t xml:space="preserve"> г.</w:t>
      </w:r>
    </w:p>
    <w:p>
      <w:pPr>
        <w:pStyle w:val="Normal"/>
        <w:jc w:val="center"/>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color w:val="808080"/>
          <w:lang w:val="ru-RU"/>
        </w:rPr>
        <w:t xml:space="preserve">Исполнитель: </w:t>
      </w:r>
      <w:r>
        <w:rPr>
          <w:rFonts w:eastAsia="Calibri"/>
          <w:b/>
          <w:bCs/>
          <w:color w:val="7F7F7F"/>
          <w:sz w:val="22"/>
          <w:szCs w:val="22"/>
          <w:lang w:val="ru-RU"/>
        </w:rPr>
        <w:t>____________</w:t>
      </w:r>
    </w:p>
    <w:p>
      <w:pPr>
        <w:pStyle w:val="Normal"/>
        <w:rPr>
          <w:rFonts w:eastAsia="Calibri"/>
          <w:b/>
          <w:bCs/>
          <w:sz w:val="22"/>
          <w:szCs w:val="22"/>
          <w:lang w:val="ru-RU"/>
        </w:rPr>
      </w:pPr>
      <w:r>
        <w:rPr>
          <w:color w:val="7F7F7F"/>
          <w:lang w:val="ru-RU"/>
        </w:rPr>
        <w:t>Заказчик: ПАО «РусГидро»</w:t>
      </w:r>
    </w:p>
    <w:p>
      <w:pPr>
        <w:pStyle w:val="Normal"/>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color w:val="7F7F7F"/>
          <w:lang w:val="ru-RU"/>
        </w:rPr>
        <w:t>АКТ № (ФОРМА)</w:t>
      </w:r>
    </w:p>
    <w:p>
      <w:pPr>
        <w:pStyle w:val="Normal"/>
        <w:jc w:val="center"/>
        <w:rPr>
          <w:rFonts w:eastAsia="Calibri"/>
          <w:b/>
          <w:bCs/>
          <w:sz w:val="22"/>
          <w:szCs w:val="22"/>
          <w:lang w:val="ru-RU"/>
        </w:rPr>
      </w:pPr>
      <w:r>
        <w:rPr>
          <w:color w:val="7F7F7F"/>
          <w:lang w:val="ru-RU"/>
        </w:rPr>
        <w:t>сдачи-приемки Услуг</w:t>
      </w:r>
    </w:p>
    <w:p>
      <w:pPr>
        <w:pStyle w:val="Normal"/>
        <w:jc w:val="center"/>
        <w:rPr>
          <w:rFonts w:eastAsia="Calibri"/>
          <w:b/>
          <w:bCs/>
          <w:sz w:val="22"/>
          <w:szCs w:val="22"/>
          <w:lang w:val="ru-RU"/>
        </w:rPr>
      </w:pPr>
      <w:r>
        <w:rPr>
          <w:color w:val="7F7F7F"/>
          <w:lang w:val="ru-RU"/>
        </w:rPr>
        <w:t>(договор №……………… от «…» ……………… 20…г.)</w:t>
      </w:r>
    </w:p>
    <w:p>
      <w:pPr>
        <w:pStyle w:val="Normal"/>
        <w:jc w:val="center"/>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color w:val="7F7F7F"/>
          <w:lang w:val="ru-RU"/>
        </w:rPr>
        <w:t>г. Жигулевск</w:t>
        <w:tab/>
        <w:tab/>
        <w:tab/>
        <w:tab/>
        <w:tab/>
        <w:tab/>
        <w:tab/>
        <w:t>«…..» ………….. 20___г.</w:t>
      </w:r>
    </w:p>
    <w:p>
      <w:pPr>
        <w:pStyle w:val="Normal"/>
        <w:jc w:val="right"/>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color w:val="7F7F7F"/>
          <w:lang w:val="ru-RU"/>
        </w:rPr>
        <w:t>……</w:t>
      </w:r>
      <w:r>
        <w:rPr>
          <w:color w:val="7F7F7F"/>
          <w:lang w:val="ru-RU"/>
        </w:rPr>
        <w:t xml:space="preserve">. «……………..», именуемое далее «Исполнитель», в лице ………….. ……………………., действующего на основании …………………, с одной стороны, и ПАО «РусГидро», именуемое в дальнейшем </w:t>
      </w:r>
      <w:r>
        <w:rPr>
          <w:bCs/>
          <w:color w:val="7F7F7F"/>
          <w:lang w:val="ru-RU"/>
        </w:rPr>
        <w:t>«Заказчик»</w:t>
      </w:r>
      <w:r>
        <w:rPr>
          <w:color w:val="7F7F7F"/>
          <w:lang w:val="ru-RU"/>
        </w:rPr>
        <w:t xml:space="preserve"> в лице директора филиала ПАО «РусГидро» - «Жигулевская ГЭС» Шепелев В.В., действующего на основании доверенности № 9459 от 25.12.2024г.</w:t>
      </w:r>
      <w:r>
        <w:rPr>
          <w:bCs/>
          <w:color w:val="7F7F7F"/>
          <w:lang w:val="ru-RU"/>
        </w:rPr>
        <w:t>,</w:t>
      </w:r>
      <w:r>
        <w:rPr>
          <w:b/>
          <w:bCs/>
          <w:color w:val="7F7F7F"/>
          <w:lang w:val="ru-RU"/>
        </w:rPr>
        <w:t xml:space="preserve"> </w:t>
      </w:r>
      <w:r>
        <w:rPr>
          <w:color w:val="7F7F7F"/>
          <w:lang w:val="ru-RU"/>
        </w:rPr>
        <w:t>с другой стороны, подписали настоящий акт о том, что Исполнителем оказаны Заказчику услуги по …………………………… полностью и надлежащим образом.</w:t>
      </w:r>
    </w:p>
    <w:p>
      <w:pPr>
        <w:pStyle w:val="Normal"/>
        <w:jc w:val="both"/>
        <w:rPr>
          <w:rFonts w:eastAsia="Calibri"/>
          <w:b/>
          <w:bCs/>
          <w:sz w:val="22"/>
          <w:szCs w:val="22"/>
          <w:lang w:val="ru-RU"/>
        </w:rPr>
      </w:pPr>
      <w:r>
        <w:rPr>
          <w:color w:val="7F7F7F"/>
          <w:lang w:val="ru-RU"/>
        </w:rPr>
        <w:t>Претензии со стороны Заказчика к Исполнителю _______________________.</w:t>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color w:val="7F7F7F"/>
          <w:lang w:val="ru-RU"/>
        </w:rPr>
        <w:t>Стоимость оказанных услуг составила  …………… (…………………….) рублей ………. копеек, НДС не предусмотрен.</w:t>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rFonts w:eastAsia="Calibri"/>
          <w:b/>
          <w:bCs/>
          <w:sz w:val="22"/>
          <w:szCs w:val="22"/>
          <w:lang w:val="ru-RU"/>
        </w:rPr>
      </w:r>
    </w:p>
    <w:p>
      <w:pPr>
        <w:pStyle w:val="Normal"/>
        <w:ind w:firstLine="708"/>
        <w:jc w:val="both"/>
        <w:rPr>
          <w:rFonts w:eastAsia="Calibri"/>
          <w:b/>
          <w:bCs/>
          <w:sz w:val="22"/>
          <w:szCs w:val="22"/>
          <w:lang w:val="ru-RU"/>
        </w:rPr>
      </w:pPr>
      <w:r>
        <w:rPr>
          <w:color w:val="7F7F7F"/>
          <w:lang w:val="ru-RU"/>
        </w:rPr>
        <w:t>Исполнитель:</w:t>
        <w:tab/>
        <w:tab/>
        <w:tab/>
        <w:tab/>
        <w:tab/>
        <w:tab/>
        <w:tab/>
        <w:tab/>
        <w:t>Заказчик:</w:t>
      </w:r>
    </w:p>
    <w:p>
      <w:pPr>
        <w:pStyle w:val="Normal"/>
        <w:ind w:firstLine="708"/>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color w:val="7F7F7F"/>
          <w:lang w:val="ru-RU"/>
        </w:rPr>
        <w:t>___________ (………………….)</w:t>
        <w:tab/>
        <w:tab/>
        <w:tab/>
        <w:tab/>
        <w:tab/>
        <w:t>____________(В.В. Шепелев)</w:t>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color w:val="7F7F7F"/>
          <w:lang w:val="ru-RU"/>
        </w:rPr>
        <w:tab/>
        <w:t>м.п.</w:t>
        <w:tab/>
        <w:tab/>
        <w:tab/>
        <w:tab/>
        <w:tab/>
        <w:tab/>
        <w:tab/>
        <w:tab/>
        <w:tab/>
        <w:t>м.п.</w:t>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tbl>
      <w:tblPr>
        <w:tblW w:w="9571" w:type="dxa"/>
        <w:jc w:val="left"/>
        <w:tblInd w:w="468" w:type="dxa"/>
        <w:tblLayout w:type="fixed"/>
        <w:tblCellMar>
          <w:top w:w="0" w:type="dxa"/>
          <w:left w:w="108" w:type="dxa"/>
          <w:bottom w:w="0" w:type="dxa"/>
          <w:right w:w="108" w:type="dxa"/>
        </w:tblCellMar>
      </w:tblPr>
      <w:tblGrid>
        <w:gridCol w:w="4785"/>
        <w:gridCol w:w="4785"/>
      </w:tblGrid>
      <w:tr>
        <w:trPr/>
        <w:tc>
          <w:tcPr>
            <w:tcW w:w="9570" w:type="dxa"/>
            <w:gridSpan w:val="2"/>
            <w:tcBorders/>
          </w:tcPr>
          <w:p>
            <w:pPr>
              <w:pStyle w:val="2"/>
              <w:widowControl w:val="false"/>
              <w:spacing w:lineRule="auto" w:line="240" w:before="0" w:after="0"/>
              <w:jc w:val="center"/>
              <w:rPr>
                <w:rFonts w:ascii="Times New Roman" w:hAnsi="Times New Roman" w:cs="Times New Roman"/>
                <w:b/>
                <w:szCs w:val="22"/>
                <w:lang w:val="ru-RU"/>
              </w:rPr>
            </w:pPr>
            <w:r>
              <w:rPr>
                <w:rFonts w:cs="Times New Roman" w:ascii="Times New Roman" w:hAnsi="Times New Roman"/>
                <w:b/>
                <w:szCs w:val="22"/>
                <w:lang w:val="ru-RU"/>
              </w:rPr>
              <w:t>ПОДПИСИ СТОРОН:</w:t>
            </w:r>
          </w:p>
        </w:tc>
      </w:tr>
      <w:tr>
        <w:trPr/>
        <w:tc>
          <w:tcPr>
            <w:tcW w:w="4785" w:type="dxa"/>
            <w:tcBorders/>
          </w:tcPr>
          <w:p>
            <w:pPr>
              <w:pStyle w:val="Normal"/>
              <w:widowControl w:val="false"/>
              <w:jc w:val="center"/>
              <w:rPr>
                <w:b/>
                <w:bCs/>
                <w:sz w:val="22"/>
                <w:szCs w:val="22"/>
                <w:u w:val="single"/>
                <w:lang w:val="ru-RU"/>
              </w:rPr>
            </w:pPr>
            <w:r>
              <w:rPr>
                <w:b/>
                <w:bCs/>
                <w:sz w:val="22"/>
                <w:szCs w:val="22"/>
                <w:u w:val="single"/>
                <w:lang w:val="ru-RU"/>
              </w:rPr>
              <w:t>От Заказчика:</w:t>
            </w:r>
          </w:p>
        </w:tc>
        <w:tc>
          <w:tcPr>
            <w:tcW w:w="4785" w:type="dxa"/>
            <w:tcBorders/>
          </w:tcPr>
          <w:p>
            <w:pPr>
              <w:pStyle w:val="Normal"/>
              <w:widowControl w:val="false"/>
              <w:jc w:val="center"/>
              <w:rPr>
                <w:b/>
                <w:bCs/>
                <w:sz w:val="22"/>
                <w:szCs w:val="22"/>
                <w:u w:val="single"/>
                <w:lang w:val="ru-RU"/>
              </w:rPr>
            </w:pPr>
            <w:r>
              <w:rPr>
                <w:b/>
                <w:bCs/>
                <w:sz w:val="22"/>
                <w:szCs w:val="22"/>
                <w:u w:val="single"/>
                <w:lang w:val="ru-RU"/>
              </w:rPr>
              <w:t>От Исполнителя:</w:t>
            </w:r>
          </w:p>
        </w:tc>
      </w:tr>
      <w:tr>
        <w:trPr/>
        <w:tc>
          <w:tcPr>
            <w:tcW w:w="4785" w:type="dxa"/>
            <w:tcBorders/>
          </w:tcPr>
          <w:p>
            <w:pPr>
              <w:pStyle w:val="Normal"/>
              <w:widowControl w:val="false"/>
              <w:snapToGrid w:val="false"/>
              <w:jc w:val="center"/>
              <w:rPr>
                <w:b/>
                <w:bCs/>
                <w:sz w:val="22"/>
                <w:szCs w:val="22"/>
                <w:u w:val="single"/>
                <w:lang w:val="ru-RU"/>
              </w:rPr>
            </w:pPr>
            <w:r>
              <w:rPr>
                <w:b/>
                <w:bCs/>
                <w:sz w:val="22"/>
                <w:szCs w:val="22"/>
                <w:u w:val="single"/>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_______________ / Шепелев В.В. /</w:t>
            </w:r>
          </w:p>
          <w:p>
            <w:pPr>
              <w:pStyle w:val="Normal"/>
              <w:widowControl w:val="false"/>
              <w:jc w:val="center"/>
              <w:rPr>
                <w:sz w:val="22"/>
                <w:szCs w:val="22"/>
                <w:lang w:val="ru-RU"/>
              </w:rPr>
            </w:pPr>
            <w:r>
              <w:rPr>
                <w:sz w:val="22"/>
                <w:szCs w:val="22"/>
                <w:lang w:val="ru-RU"/>
              </w:rPr>
              <w:t>м.п.</w:t>
            </w:r>
          </w:p>
        </w:tc>
        <w:tc>
          <w:tcPr>
            <w:tcW w:w="4785" w:type="dxa"/>
            <w:tcBorders/>
          </w:tcPr>
          <w:p>
            <w:pPr>
              <w:pStyle w:val="Normal"/>
              <w:widowControl w:val="false"/>
              <w:snapToGrid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 xml:space="preserve">_______________ / </w:t>
            </w:r>
            <w:r>
              <w:rPr>
                <w:sz w:val="22"/>
                <w:szCs w:val="22"/>
                <w:lang w:val="ru-RU"/>
              </w:rPr>
              <w:t>_____________</w:t>
            </w:r>
            <w:r>
              <w:rPr>
                <w:sz w:val="22"/>
                <w:szCs w:val="22"/>
                <w:lang w:val="ru-RU"/>
              </w:rPr>
              <w:t>/</w:t>
            </w:r>
          </w:p>
          <w:p>
            <w:pPr>
              <w:pStyle w:val="Normal"/>
              <w:widowControl w:val="false"/>
              <w:jc w:val="center"/>
              <w:rPr>
                <w:sz w:val="22"/>
                <w:szCs w:val="22"/>
                <w:lang w:val="ru-RU"/>
              </w:rPr>
            </w:pPr>
            <w:r>
              <w:rPr>
                <w:sz w:val="22"/>
                <w:szCs w:val="22"/>
                <w:lang w:val="ru-RU"/>
              </w:rPr>
              <w:t>м.п.</w:t>
            </w:r>
          </w:p>
        </w:tc>
      </w:tr>
    </w:tbl>
    <w:p>
      <w:pPr>
        <w:pStyle w:val="Normal"/>
        <w:jc w:val="right"/>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rFonts w:eastAsia="Calibri"/>
          <w:b/>
          <w:bCs/>
          <w:sz w:val="22"/>
          <w:szCs w:val="22"/>
          <w:lang w:val="ru-RU"/>
        </w:rPr>
      </w:r>
    </w:p>
    <w:p>
      <w:pPr>
        <w:pStyle w:val="Normal"/>
        <w:jc w:val="both"/>
        <w:rPr>
          <w:rFonts w:eastAsia="Calibri"/>
          <w:b/>
          <w:bCs/>
          <w:sz w:val="22"/>
          <w:szCs w:val="22"/>
          <w:lang w:val="ru-RU"/>
        </w:rPr>
      </w:pPr>
      <w:r>
        <w:rPr>
          <w:rFonts w:eastAsia="Calibri"/>
          <w:b/>
          <w:bCs/>
          <w:sz w:val="22"/>
          <w:szCs w:val="22"/>
          <w:lang w:val="ru-RU"/>
        </w:rPr>
      </w:r>
      <w:r>
        <w:br w:type="page"/>
      </w:r>
    </w:p>
    <w:p>
      <w:pPr>
        <w:pStyle w:val="Normal"/>
        <w:jc w:val="right"/>
        <w:rPr>
          <w:rFonts w:eastAsia="Calibri"/>
          <w:b/>
          <w:bCs/>
          <w:sz w:val="22"/>
          <w:szCs w:val="22"/>
          <w:lang w:val="ru-RU"/>
        </w:rPr>
      </w:pPr>
      <w:r>
        <w:rPr>
          <w:sz w:val="22"/>
          <w:szCs w:val="22"/>
          <w:lang w:val="ru-RU"/>
        </w:rPr>
        <w:t xml:space="preserve"> </w:t>
      </w:r>
      <w:r>
        <w:rPr>
          <w:sz w:val="22"/>
          <w:szCs w:val="22"/>
          <w:lang w:val="ru-RU"/>
        </w:rPr>
        <w:t>Приложение № 4</w:t>
      </w:r>
    </w:p>
    <w:p>
      <w:pPr>
        <w:pStyle w:val="Normal"/>
        <w:jc w:val="right"/>
        <w:rPr>
          <w:rFonts w:eastAsia="Calibri"/>
          <w:b/>
          <w:bCs/>
          <w:sz w:val="22"/>
          <w:szCs w:val="22"/>
          <w:lang w:val="ru-RU"/>
        </w:rPr>
      </w:pPr>
      <w:r>
        <w:rPr>
          <w:sz w:val="22"/>
          <w:szCs w:val="22"/>
          <w:lang w:val="ru-RU"/>
        </w:rPr>
        <w:t>к договору возмездного оказания услуг</w:t>
      </w:r>
    </w:p>
    <w:p>
      <w:pPr>
        <w:pStyle w:val="Normal"/>
        <w:jc w:val="right"/>
        <w:rPr>
          <w:rFonts w:eastAsia="Calibri"/>
          <w:b/>
          <w:bCs/>
          <w:sz w:val="22"/>
          <w:szCs w:val="22"/>
          <w:lang w:val="ru-RU"/>
        </w:rPr>
      </w:pPr>
      <w:r>
        <w:rPr>
          <w:sz w:val="22"/>
          <w:szCs w:val="22"/>
          <w:lang w:val="ru-RU"/>
        </w:rPr>
        <w:t xml:space="preserve">№ </w:t>
      </w:r>
      <w:r>
        <w:rPr>
          <w:sz w:val="22"/>
          <w:szCs w:val="22"/>
          <w:lang w:val="ru-RU"/>
        </w:rPr>
        <w:t>__________ от «____» __________ 202</w:t>
      </w:r>
      <w:r>
        <w:rPr>
          <w:sz w:val="22"/>
          <w:szCs w:val="22"/>
          <w:lang w:val="en-US"/>
        </w:rPr>
        <w:t>6</w:t>
      </w:r>
      <w:r>
        <w:rPr>
          <w:sz w:val="22"/>
          <w:szCs w:val="22"/>
          <w:lang w:val="ru-RU"/>
        </w:rPr>
        <w:t xml:space="preserve"> г.</w:t>
      </w:r>
    </w:p>
    <w:p>
      <w:pPr>
        <w:pStyle w:val="Normal"/>
        <w:jc w:val="right"/>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b/>
          <w:sz w:val="22"/>
          <w:szCs w:val="22"/>
          <w:lang w:val="ru-RU"/>
        </w:rPr>
        <w:t>Размер ответственности Исполнителя</w:t>
      </w:r>
    </w:p>
    <w:p>
      <w:pPr>
        <w:pStyle w:val="Normal"/>
        <w:jc w:val="center"/>
        <w:rPr>
          <w:rFonts w:eastAsia="Calibri"/>
          <w:b/>
          <w:bCs/>
          <w:sz w:val="22"/>
          <w:szCs w:val="22"/>
          <w:lang w:val="ru-RU"/>
        </w:rPr>
      </w:pPr>
      <w:r>
        <w:rPr>
          <w:b/>
          <w:sz w:val="22"/>
          <w:szCs w:val="22"/>
          <w:lang w:val="ru-RU"/>
        </w:rPr>
        <w:t xml:space="preserve">за нарушения пропускного и внутриобъектового режима, </w:t>
      </w:r>
      <w:r>
        <w:rPr>
          <w:b/>
          <w:color w:val="000000"/>
          <w:sz w:val="22"/>
          <w:szCs w:val="22"/>
          <w:lang w:val="ru-RU"/>
        </w:rPr>
        <w:t>требований охраны труда, промышленной безопасности, пожарной безопасности, охраны окружающей среды, санитарно-эпидемиологических правил и норм</w:t>
      </w:r>
    </w:p>
    <w:p>
      <w:pPr>
        <w:pStyle w:val="Normal"/>
        <w:jc w:val="center"/>
        <w:rPr>
          <w:rFonts w:eastAsia="Calibri"/>
          <w:b/>
          <w:bCs/>
          <w:sz w:val="22"/>
          <w:szCs w:val="22"/>
          <w:lang w:val="ru-RU"/>
        </w:rPr>
      </w:pPr>
      <w:r>
        <w:rPr>
          <w:rFonts w:eastAsia="Calibri"/>
          <w:b/>
          <w:bCs/>
          <w:sz w:val="22"/>
          <w:szCs w:val="22"/>
          <w:lang w:val="ru-RU"/>
        </w:rPr>
      </w:r>
    </w:p>
    <w:tbl>
      <w:tblPr>
        <w:tblW w:w="9571" w:type="dxa"/>
        <w:jc w:val="left"/>
        <w:tblInd w:w="0" w:type="dxa"/>
        <w:tblLayout w:type="fixed"/>
        <w:tblCellMar>
          <w:top w:w="0" w:type="dxa"/>
          <w:left w:w="108" w:type="dxa"/>
          <w:bottom w:w="0" w:type="dxa"/>
          <w:right w:w="108" w:type="dxa"/>
        </w:tblCellMar>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2"/>
                <w:szCs w:val="22"/>
              </w:rPr>
            </w:pPr>
            <w:r>
              <w:rPr>
                <w:b/>
                <w:sz w:val="22"/>
                <w:szCs w:val="22"/>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val="ru-RU"/>
              </w:rPr>
            </w:pPr>
            <w:r>
              <w:rPr>
                <w:b/>
                <w:sz w:val="22"/>
                <w:szCs w:val="22"/>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rPr>
                <w:sz w:val="22"/>
                <w:szCs w:val="22"/>
                <w:lang w:val="ru-RU"/>
              </w:rPr>
            </w:pPr>
            <w:r>
              <w:rPr>
                <w:sz w:val="22"/>
                <w:szCs w:val="22"/>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rPr>
            </w:pPr>
            <w:r>
              <w:rPr>
                <w:sz w:val="22"/>
                <w:szCs w:val="22"/>
              </w:rPr>
              <w:t>1.1.Нарушение ППБ без возникновения пожара</w:t>
            </w:r>
          </w:p>
          <w:p>
            <w:pPr>
              <w:pStyle w:val="Normal"/>
              <w:widowControl w:val="false"/>
              <w:rPr>
                <w:b/>
                <w:sz w:val="22"/>
                <w:szCs w:val="22"/>
              </w:rPr>
            </w:pPr>
            <w:r>
              <w:rPr>
                <w:b/>
                <w:sz w:val="22"/>
                <w:szCs w:val="22"/>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2"/>
                <w:szCs w:val="22"/>
                <w:lang w:val="ru-RU"/>
              </w:rPr>
              <w:t>- 25</w:t>
            </w:r>
            <w:r>
              <w:rPr>
                <w:sz w:val="22"/>
                <w:szCs w:val="22"/>
              </w:rPr>
              <w:t> </w:t>
            </w:r>
            <w:r>
              <w:rPr>
                <w:sz w:val="22"/>
                <w:szCs w:val="22"/>
                <w:lang w:val="ru-RU"/>
              </w:rPr>
              <w:t>000 (двадцать пять тысяч) рублей за каждый случай нарушения;</w:t>
            </w:r>
          </w:p>
          <w:p>
            <w:pPr>
              <w:pStyle w:val="Normal"/>
              <w:widowControl w:val="false"/>
              <w:rPr/>
            </w:pPr>
            <w:r>
              <w:rPr>
                <w:sz w:val="22"/>
                <w:szCs w:val="22"/>
                <w:lang w:val="ru-RU"/>
              </w:rPr>
              <w:t xml:space="preserve">- сумма штрафа, установленная настоящим пунктом, увеличивается на 50% по отношению к предыдущему случаю </w:t>
            </w:r>
            <w:r>
              <w:rPr>
                <w:sz w:val="22"/>
                <w:szCs w:val="22"/>
              </w:rPr>
              <w:t>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val="ru-RU"/>
              </w:rPr>
            </w:pPr>
            <w:r>
              <w:rPr>
                <w:sz w:val="22"/>
                <w:szCs w:val="22"/>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2"/>
                <w:szCs w:val="22"/>
                <w:lang w:val="ru-RU"/>
              </w:rPr>
              <w:t>- 50</w:t>
            </w:r>
            <w:r>
              <w:rPr>
                <w:sz w:val="22"/>
                <w:szCs w:val="22"/>
              </w:rPr>
              <w:t> </w:t>
            </w:r>
            <w:r>
              <w:rPr>
                <w:sz w:val="22"/>
                <w:szCs w:val="22"/>
                <w:lang w:val="ru-RU"/>
              </w:rPr>
              <w:t>000 (пятьдесят тысяч) рублей за каждый случай нарушения;</w:t>
            </w:r>
          </w:p>
          <w:p>
            <w:pPr>
              <w:pStyle w:val="Normal"/>
              <w:widowControl w:val="false"/>
              <w:rPr>
                <w:sz w:val="22"/>
                <w:szCs w:val="22"/>
                <w:lang w:val="ru-RU"/>
              </w:rPr>
            </w:pPr>
            <w:r>
              <w:rPr>
                <w:sz w:val="22"/>
                <w:szCs w:val="22"/>
                <w:lang w:val="ru-RU"/>
              </w:rPr>
              <w:t>- сумма штрафа, установленная настоящим пунктом, увеличивается на 100%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val="ru-RU"/>
              </w:rPr>
            </w:pPr>
            <w:r>
              <w:rPr>
                <w:sz w:val="22"/>
                <w:szCs w:val="22"/>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2"/>
                <w:szCs w:val="22"/>
                <w:lang w:val="ru-RU"/>
              </w:rPr>
              <w:t>-</w:t>
            </w:r>
            <w:r>
              <w:rPr>
                <w:sz w:val="22"/>
                <w:szCs w:val="22"/>
              </w:rPr>
              <w:t> </w:t>
            </w:r>
            <w:r>
              <w:rPr>
                <w:sz w:val="22"/>
                <w:szCs w:val="22"/>
                <w:lang w:val="ru-RU"/>
              </w:rPr>
              <w:t xml:space="preserve"> штраф в размере 250 000 (двухсот пятидесяти тысяч) рублей.</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sz w:val="22"/>
                <w:szCs w:val="22"/>
                <w:lang w:val="ru-RU"/>
              </w:rPr>
            </w:pPr>
            <w:r>
              <w:rPr>
                <w:b/>
                <w:sz w:val="22"/>
                <w:szCs w:val="22"/>
                <w:lang w:val="ru-RU"/>
              </w:rPr>
              <w:t xml:space="preserve">2. Нарушение пропускного и внутриобъектового режима, </w:t>
            </w:r>
            <w:r>
              <w:rPr>
                <w:b/>
                <w:color w:val="000000"/>
                <w:sz w:val="22"/>
                <w:szCs w:val="22"/>
                <w:lang w:val="ru-RU"/>
              </w:rPr>
              <w:t>требований охраны труда, промышленной безопасности, охраны окружающей среды, санитарно-эпидемиологических правил и норм</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2"/>
                <w:szCs w:val="22"/>
                <w:lang w:val="ru-RU"/>
              </w:rPr>
              <w:t>- 50</w:t>
            </w:r>
            <w:r>
              <w:rPr>
                <w:sz w:val="22"/>
                <w:szCs w:val="22"/>
              </w:rPr>
              <w:t> </w:t>
            </w:r>
            <w:r>
              <w:rPr>
                <w:sz w:val="22"/>
                <w:szCs w:val="22"/>
                <w:lang w:val="ru-RU"/>
              </w:rPr>
              <w:t>000 (пятьдесят тысяч) рублей за каждый случай нарушения;</w:t>
            </w:r>
          </w:p>
          <w:p>
            <w:pPr>
              <w:pStyle w:val="Normal"/>
              <w:widowControl w:val="false"/>
              <w:rPr>
                <w:sz w:val="22"/>
                <w:szCs w:val="22"/>
                <w:lang w:val="ru-RU"/>
              </w:rPr>
            </w:pPr>
            <w:r>
              <w:rPr>
                <w:sz w:val="22"/>
                <w:szCs w:val="22"/>
                <w:lang w:val="ru-RU"/>
              </w:rPr>
              <w:t>- 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rPr>
          <w:rFonts w:eastAsia="Calibri"/>
          <w:b/>
          <w:bCs/>
          <w:sz w:val="22"/>
          <w:szCs w:val="22"/>
          <w:lang w:val="ru-RU"/>
        </w:rPr>
      </w:pPr>
      <w:r>
        <w:rPr>
          <w:rFonts w:eastAsia="Calibri"/>
          <w:b/>
          <w:bCs/>
          <w:sz w:val="22"/>
          <w:szCs w:val="22"/>
          <w:lang w:val="ru-RU"/>
        </w:rPr>
      </w:r>
    </w:p>
    <w:p>
      <w:pPr>
        <w:pStyle w:val="Normal"/>
        <w:jc w:val="center"/>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tbl>
      <w:tblPr>
        <w:tblW w:w="9571" w:type="dxa"/>
        <w:jc w:val="left"/>
        <w:tblInd w:w="468" w:type="dxa"/>
        <w:tblLayout w:type="fixed"/>
        <w:tblCellMar>
          <w:top w:w="0" w:type="dxa"/>
          <w:left w:w="108" w:type="dxa"/>
          <w:bottom w:w="0" w:type="dxa"/>
          <w:right w:w="108" w:type="dxa"/>
        </w:tblCellMar>
      </w:tblPr>
      <w:tblGrid>
        <w:gridCol w:w="4785"/>
        <w:gridCol w:w="4785"/>
      </w:tblGrid>
      <w:tr>
        <w:trPr/>
        <w:tc>
          <w:tcPr>
            <w:tcW w:w="9570" w:type="dxa"/>
            <w:gridSpan w:val="2"/>
            <w:tcBorders/>
          </w:tcPr>
          <w:p>
            <w:pPr>
              <w:pStyle w:val="2"/>
              <w:widowControl w:val="false"/>
              <w:spacing w:lineRule="auto" w:line="240" w:before="0" w:after="0"/>
              <w:jc w:val="center"/>
              <w:rPr>
                <w:rFonts w:ascii="Times New Roman" w:hAnsi="Times New Roman" w:cs="Times New Roman"/>
                <w:b/>
                <w:szCs w:val="22"/>
                <w:lang w:val="ru-RU"/>
              </w:rPr>
            </w:pPr>
            <w:r>
              <w:rPr>
                <w:rFonts w:cs="Times New Roman" w:ascii="Times New Roman" w:hAnsi="Times New Roman"/>
                <w:b/>
                <w:szCs w:val="22"/>
                <w:lang w:val="ru-RU"/>
              </w:rPr>
              <w:t>ПОДПИСИ СТОРОН:</w:t>
            </w:r>
          </w:p>
        </w:tc>
      </w:tr>
      <w:tr>
        <w:trPr/>
        <w:tc>
          <w:tcPr>
            <w:tcW w:w="4785" w:type="dxa"/>
            <w:tcBorders/>
          </w:tcPr>
          <w:p>
            <w:pPr>
              <w:pStyle w:val="Normal"/>
              <w:widowControl w:val="false"/>
              <w:jc w:val="center"/>
              <w:rPr>
                <w:b/>
                <w:bCs/>
                <w:sz w:val="22"/>
                <w:szCs w:val="22"/>
                <w:u w:val="single"/>
                <w:lang w:val="ru-RU"/>
              </w:rPr>
            </w:pPr>
            <w:r>
              <w:rPr>
                <w:b/>
                <w:bCs/>
                <w:sz w:val="22"/>
                <w:szCs w:val="22"/>
                <w:u w:val="single"/>
                <w:lang w:val="ru-RU"/>
              </w:rPr>
              <w:t>От Заказчика:</w:t>
            </w:r>
          </w:p>
        </w:tc>
        <w:tc>
          <w:tcPr>
            <w:tcW w:w="4785" w:type="dxa"/>
            <w:tcBorders/>
          </w:tcPr>
          <w:p>
            <w:pPr>
              <w:pStyle w:val="Normal"/>
              <w:widowControl w:val="false"/>
              <w:jc w:val="center"/>
              <w:rPr>
                <w:b/>
                <w:bCs/>
                <w:sz w:val="22"/>
                <w:szCs w:val="22"/>
                <w:u w:val="single"/>
                <w:lang w:val="ru-RU"/>
              </w:rPr>
            </w:pPr>
            <w:r>
              <w:rPr>
                <w:b/>
                <w:bCs/>
                <w:sz w:val="22"/>
                <w:szCs w:val="22"/>
                <w:u w:val="single"/>
                <w:lang w:val="ru-RU"/>
              </w:rPr>
              <w:t>От Исполнителя:</w:t>
            </w:r>
          </w:p>
        </w:tc>
      </w:tr>
      <w:tr>
        <w:trPr/>
        <w:tc>
          <w:tcPr>
            <w:tcW w:w="4785" w:type="dxa"/>
            <w:tcBorders/>
          </w:tcPr>
          <w:p>
            <w:pPr>
              <w:pStyle w:val="Normal"/>
              <w:widowControl w:val="false"/>
              <w:snapToGrid w:val="false"/>
              <w:jc w:val="center"/>
              <w:rPr>
                <w:b/>
                <w:bCs/>
                <w:sz w:val="22"/>
                <w:szCs w:val="22"/>
                <w:u w:val="single"/>
                <w:lang w:val="ru-RU"/>
              </w:rPr>
            </w:pPr>
            <w:r>
              <w:rPr>
                <w:b/>
                <w:bCs/>
                <w:sz w:val="22"/>
                <w:szCs w:val="22"/>
                <w:u w:val="single"/>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_______________ / Шепелев В.В. /</w:t>
            </w:r>
          </w:p>
          <w:p>
            <w:pPr>
              <w:pStyle w:val="Normal"/>
              <w:widowControl w:val="false"/>
              <w:jc w:val="center"/>
              <w:rPr>
                <w:sz w:val="22"/>
                <w:szCs w:val="22"/>
                <w:lang w:val="ru-RU"/>
              </w:rPr>
            </w:pPr>
            <w:r>
              <w:rPr>
                <w:sz w:val="22"/>
                <w:szCs w:val="22"/>
                <w:lang w:val="ru-RU"/>
              </w:rPr>
              <w:t>м.п.</w:t>
            </w:r>
          </w:p>
        </w:tc>
        <w:tc>
          <w:tcPr>
            <w:tcW w:w="4785" w:type="dxa"/>
            <w:tcBorders/>
          </w:tcPr>
          <w:p>
            <w:pPr>
              <w:pStyle w:val="Normal"/>
              <w:widowControl w:val="false"/>
              <w:snapToGrid w:val="false"/>
              <w:jc w:val="center"/>
              <w:rPr>
                <w:sz w:val="22"/>
                <w:szCs w:val="22"/>
                <w:lang w:val="ru-RU"/>
              </w:rPr>
            </w:pPr>
            <w:r>
              <w:rPr>
                <w:sz w:val="22"/>
                <w:szCs w:val="22"/>
                <w:lang w:val="ru-RU"/>
              </w:rPr>
            </w:r>
          </w:p>
          <w:p>
            <w:pPr>
              <w:pStyle w:val="Normal"/>
              <w:widowControl w:val="false"/>
              <w:jc w:val="center"/>
              <w:rPr>
                <w:sz w:val="22"/>
                <w:szCs w:val="22"/>
                <w:lang w:val="ru-RU"/>
              </w:rPr>
            </w:pPr>
            <w:r>
              <w:rPr>
                <w:sz w:val="22"/>
                <w:szCs w:val="22"/>
                <w:lang w:val="ru-RU"/>
              </w:rPr>
            </w:r>
          </w:p>
          <w:p>
            <w:pPr>
              <w:pStyle w:val="Normal"/>
              <w:widowControl w:val="false"/>
              <w:jc w:val="center"/>
              <w:rPr/>
            </w:pPr>
            <w:r>
              <w:rPr>
                <w:sz w:val="22"/>
                <w:szCs w:val="22"/>
                <w:lang w:val="ru-RU"/>
              </w:rPr>
              <w:t xml:space="preserve">_______________ / </w:t>
            </w:r>
            <w:r>
              <w:rPr>
                <w:sz w:val="22"/>
                <w:szCs w:val="22"/>
                <w:lang w:val="ru-RU"/>
              </w:rPr>
              <w:t>_______________</w:t>
            </w:r>
            <w:r>
              <w:rPr>
                <w:sz w:val="22"/>
                <w:szCs w:val="22"/>
                <w:lang w:val="ru-RU"/>
              </w:rPr>
              <w:t>/</w:t>
            </w:r>
          </w:p>
          <w:p>
            <w:pPr>
              <w:pStyle w:val="Normal"/>
              <w:widowControl w:val="false"/>
              <w:jc w:val="center"/>
              <w:rPr>
                <w:sz w:val="22"/>
                <w:szCs w:val="22"/>
                <w:lang w:val="ru-RU"/>
              </w:rPr>
            </w:pPr>
            <w:r>
              <w:rPr>
                <w:sz w:val="22"/>
                <w:szCs w:val="22"/>
                <w:lang w:val="ru-RU"/>
              </w:rPr>
              <w:t>м.п.</w:t>
            </w:r>
          </w:p>
        </w:tc>
      </w:tr>
    </w:tbl>
    <w:p>
      <w:pPr>
        <w:pStyle w:val="Normal"/>
        <w:jc w:val="right"/>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rFonts w:eastAsia="Calibri"/>
          <w:b/>
          <w:bCs/>
          <w:sz w:val="22"/>
          <w:szCs w:val="22"/>
          <w:lang w:val="ru-RU"/>
        </w:rPr>
      </w:r>
    </w:p>
    <w:p>
      <w:pPr>
        <w:pStyle w:val="Normal"/>
        <w:jc w:val="right"/>
        <w:rPr>
          <w:rFonts w:eastAsia="Calibri"/>
          <w:b/>
          <w:bCs/>
          <w:sz w:val="22"/>
          <w:szCs w:val="22"/>
          <w:lang w:val="ru-RU"/>
        </w:rPr>
      </w:pPr>
      <w:r>
        <w:rPr>
          <w:lang w:val="ru-RU"/>
        </w:rPr>
        <w:t xml:space="preserve"> </w:t>
      </w:r>
    </w:p>
    <w:p>
      <w:pPr>
        <w:pStyle w:val="Normal"/>
        <w:jc w:val="right"/>
        <w:rPr>
          <w:rFonts w:eastAsia="Calibri"/>
          <w:b/>
          <w:bCs/>
          <w:sz w:val="22"/>
          <w:szCs w:val="22"/>
          <w:lang w:val="ru-RU"/>
        </w:rPr>
      </w:pPr>
      <w:r>
        <w:rPr>
          <w:lang w:val="ru-RU"/>
        </w:rPr>
        <w:t xml:space="preserve"> </w:t>
      </w:r>
    </w:p>
    <w:sectPr>
      <w:type w:val="nextPage"/>
      <w:pgSz w:w="11906" w:h="16838"/>
      <w:pgMar w:left="1134" w:right="851" w:gutter="0" w:header="0" w:top="851" w:footer="0"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alibri">
    <w:charset w:val="01"/>
    <w:family w:val="roman"/>
    <w:pitch w:val="variable"/>
  </w:font>
  <w:font w:name="Symbol">
    <w:charset w:val="01"/>
    <w:family w:val="roman"/>
    <w:pitch w:val="variable"/>
  </w:font>
  <w:font w:name="Courier New">
    <w:charset w:val="01"/>
    <w:family w:val="roman"/>
    <w:pitch w:val="variable"/>
  </w:font>
  <w:font w:name="Wingdings">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decimal"/>
      <w:lvlText w:val="%1."/>
      <w:lvlJc w:val="left"/>
      <w:pPr>
        <w:tabs>
          <w:tab w:val="num" w:pos="567"/>
        </w:tabs>
        <w:ind w:left="567" w:hanging="567"/>
      </w:pPr>
      <w:rPr>
        <w:smallCaps w:val="false"/>
        <w:caps w:val="false"/>
        <w:dstrike w:val="false"/>
        <w:strike w:val="false"/>
        <w:vertAlign w:val="baseline"/>
        <w:position w:val="0"/>
        <w:sz w:val="24"/>
        <w:sz w:val="24"/>
        <w:spacing w:val="0"/>
        <w:i w:val="false"/>
        <w:u w:val="none"/>
        <w:b w:val="false"/>
        <w:kern w:val="0"/>
        <w:iCs w:val="false"/>
        <w:bCs w:val="false"/>
        <w:em w:val="none"/>
        <w:vanish w:val="false"/>
        <w:rFonts w:ascii="Times New Roman" w:hAnsi="Times New Roman" w:cs="Times New Roman"/>
        <w:color w:val="000000"/>
      </w:rPr>
    </w:lvl>
    <w:lvl w:ilvl="1">
      <w:start w:val="1"/>
      <w:pStyle w:val="Heading2"/>
      <w:numFmt w:val="decimal"/>
      <w:lvlText w:val="%1.%2"/>
      <w:lvlJc w:val="left"/>
      <w:pPr>
        <w:tabs>
          <w:tab w:val="num" w:pos="1134"/>
        </w:tabs>
        <w:ind w:left="1134"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000000"/>
      </w:rPr>
    </w:lvl>
    <w:lvl w:ilvl="2">
      <w:start w:val="1"/>
      <w:numFmt w:val="decimal"/>
      <w:lvlText w:val="%1.%2.%3"/>
      <w:lvlJc w:val="left"/>
      <w:pPr>
        <w:tabs>
          <w:tab w:val="num" w:pos="1134"/>
        </w:tabs>
        <w:ind w:left="1134" w:hanging="1134"/>
      </w:pPr>
      <w:rPr>
        <w:i w:val="false"/>
        <w:b w:val="false"/>
        <w:iCs w:val="false"/>
        <w:bCs w:val="false"/>
      </w:rPr>
    </w:lvl>
    <w:lvl w:ilvl="3">
      <w:start w:val="1"/>
      <w:numFmt w:val="decimal"/>
      <w:lvlText w:val="%1.%2.%3.%4"/>
      <w:lvlJc w:val="left"/>
      <w:pPr>
        <w:tabs>
          <w:tab w:val="num" w:pos="6354"/>
        </w:tabs>
        <w:ind w:left="6354" w:hanging="1134"/>
      </w:pPr>
      <w:rPr>
        <w:smallCaps w:val="false"/>
        <w:caps w:val="false"/>
        <w:dstrike w:val="false"/>
        <w:strike w:val="false"/>
        <w:vertAlign w:val="baseline"/>
        <w:position w:val="0"/>
        <w:sz w:val="24"/>
        <w:sz w:val="24"/>
        <w:spacing w:val="0"/>
        <w:i w:val="false"/>
        <w:u w:val="none"/>
        <w:b w:val="false"/>
        <w:kern w:val="0"/>
        <w:iCs w:val="false"/>
        <w:bCs w:val="false"/>
        <w:w w:val="100"/>
        <w:vanish w:val="false"/>
        <w:color w:val="000000"/>
      </w:rPr>
    </w:lvl>
    <w:lvl w:ilvl="4">
      <w:start w:val="1"/>
      <w:numFmt w:val="decimal"/>
      <w:lvlText w:val="%5)"/>
      <w:lvlJc w:val="left"/>
      <w:pPr>
        <w:tabs>
          <w:tab w:val="num" w:pos="1531"/>
        </w:tabs>
        <w:ind w:left="1531" w:hanging="397"/>
      </w:pPr>
      <w:rPr>
        <w:i w:val="false"/>
        <w:b w:val="false"/>
        <w:iCs w:val="false"/>
        <w:bCs w:val="false"/>
      </w:rPr>
    </w:lvl>
    <w:lvl w:ilvl="5">
      <w:start w:val="1"/>
      <w:numFmt w:val="bullet"/>
      <w:lvlText w:val=""/>
      <w:lvlJc w:val="left"/>
      <w:pPr>
        <w:tabs>
          <w:tab w:val="num" w:pos="2268"/>
        </w:tabs>
        <w:ind w:left="2268" w:hanging="567"/>
      </w:pPr>
      <w:rPr>
        <w:rFonts w:ascii="Symbol" w:hAnsi="Symbol" w:cs="Symbol" w:hint="default"/>
      </w:rPr>
    </w:lvl>
    <w:lvl w:ilvl="6">
      <w:start w:val="1"/>
      <w:numFmt w:val="lowerLetter"/>
      <w:lvlText w:val="%5%6%7)"/>
      <w:lvlJc w:val="left"/>
      <w:pPr>
        <w:tabs>
          <w:tab w:val="num" w:pos="2835"/>
        </w:tabs>
        <w:ind w:left="2835" w:hanging="567"/>
      </w:pPr>
      <w:rPr/>
    </w:lvl>
    <w:lvl w:ilvl="7">
      <w:start w:val="1"/>
      <w:numFmt w:val="decimal"/>
      <w:lvlText w:val="%1.%2.%3.%4.%5.%6.%7.%8."/>
      <w:lvlJc w:val="left"/>
      <w:pPr>
        <w:tabs>
          <w:tab w:val="num" w:pos="4545"/>
        </w:tabs>
        <w:ind w:left="2889" w:hanging="1224"/>
      </w:pPr>
      <w:rPr/>
    </w:lvl>
    <w:lvl w:ilvl="8">
      <w:start w:val="1"/>
      <w:numFmt w:val="decimal"/>
      <w:lvlText w:val="%1.%2.%3.%4.%5.%6.%7.%8.%9."/>
      <w:lvlJc w:val="left"/>
      <w:pPr>
        <w:tabs>
          <w:tab w:val="num" w:pos="5265"/>
        </w:tabs>
        <w:ind w:left="3465" w:hanging="1440"/>
      </w:pPr>
      <w:rPr/>
    </w:lvl>
  </w:abstractNum>
  <w:abstractNum w:abstractNumId="2">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0"/>
        <w:b/>
        <w:szCs w:val="24"/>
        <w:bCs/>
      </w:rPr>
    </w:lvl>
    <w:lvl w:ilvl="2">
      <w:start w:val="1"/>
      <w:numFmt w:val="decimal"/>
      <w:lvlText w:val="%1.%2.%3."/>
      <w:lvlJc w:val="left"/>
      <w:pPr>
        <w:tabs>
          <w:tab w:val="num" w:pos="708"/>
        </w:tabs>
        <w:ind w:left="1224" w:hanging="504"/>
      </w:pPr>
      <w:rPr>
        <w:sz w:val="20"/>
        <w:b w:val="false"/>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
    <w:lvl w:ilvl="0">
      <w:start w:val="90"/>
      <w:numFmt w:val="bullet"/>
      <w:lvlText w:val="-"/>
      <w:lvlJc w:val="left"/>
      <w:pPr>
        <w:tabs>
          <w:tab w:val="num" w:pos="708"/>
        </w:tabs>
        <w:ind w:left="720" w:hanging="360"/>
      </w:pPr>
      <w:rPr>
        <w:rFonts w:ascii="Times New Roman" w:hAnsi="Times New Roman" w:cs="Times New Roman" w:hint="default"/>
        <w:i/>
        <w:color w:val="00000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0"/>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4"/>
      <w:numFmt w:val="bullet"/>
      <w:lvlText w:val="-"/>
      <w:lvlJc w:val="left"/>
      <w:pPr>
        <w:tabs>
          <w:tab w:val="num" w:pos="0"/>
        </w:tabs>
        <w:ind w:left="207" w:hanging="360"/>
      </w:pPr>
      <w:rPr>
        <w:rFonts w:ascii="Times New Roman" w:hAnsi="Times New Roman" w:cs="Times New Roman" w:hint="default"/>
      </w:rPr>
    </w:lvl>
    <w:lvl w:ilvl="1">
      <w:start w:val="1"/>
      <w:numFmt w:val="bullet"/>
      <w:lvlText w:val="o"/>
      <w:lvlJc w:val="left"/>
      <w:pPr>
        <w:tabs>
          <w:tab w:val="num" w:pos="513"/>
        </w:tabs>
        <w:ind w:left="513" w:hanging="360"/>
      </w:pPr>
      <w:rPr>
        <w:rFonts w:ascii="Courier New" w:hAnsi="Courier New" w:cs="Courier New" w:hint="default"/>
      </w:rPr>
    </w:lvl>
    <w:lvl w:ilvl="2">
      <w:start w:val="1"/>
      <w:numFmt w:val="bullet"/>
      <w:lvlText w:val=""/>
      <w:lvlJc w:val="left"/>
      <w:pPr>
        <w:tabs>
          <w:tab w:val="num" w:pos="1233"/>
        </w:tabs>
        <w:ind w:left="1233" w:hanging="360"/>
      </w:pPr>
      <w:rPr>
        <w:rFonts w:ascii="Wingdings" w:hAnsi="Wingdings" w:cs="Wingdings" w:hint="default"/>
      </w:rPr>
    </w:lvl>
    <w:lvl w:ilvl="3">
      <w:start w:val="1"/>
      <w:numFmt w:val="bullet"/>
      <w:lvlText w:val=""/>
      <w:lvlJc w:val="left"/>
      <w:pPr>
        <w:tabs>
          <w:tab w:val="num" w:pos="1953"/>
        </w:tabs>
        <w:ind w:left="1953" w:hanging="360"/>
      </w:pPr>
      <w:rPr>
        <w:rFonts w:ascii="Symbol" w:hAnsi="Symbol" w:cs="Symbol" w:hint="default"/>
      </w:rPr>
    </w:lvl>
    <w:lvl w:ilvl="4">
      <w:start w:val="1"/>
      <w:numFmt w:val="bullet"/>
      <w:lvlText w:val="o"/>
      <w:lvlJc w:val="left"/>
      <w:pPr>
        <w:tabs>
          <w:tab w:val="num" w:pos="2673"/>
        </w:tabs>
        <w:ind w:left="2673" w:hanging="360"/>
      </w:pPr>
      <w:rPr>
        <w:rFonts w:ascii="Courier New" w:hAnsi="Courier New" w:cs="Courier New" w:hint="default"/>
      </w:rPr>
    </w:lvl>
    <w:lvl w:ilvl="5">
      <w:start w:val="1"/>
      <w:numFmt w:val="bullet"/>
      <w:lvlText w:val=""/>
      <w:lvlJc w:val="left"/>
      <w:pPr>
        <w:tabs>
          <w:tab w:val="num" w:pos="3393"/>
        </w:tabs>
        <w:ind w:left="3393" w:hanging="360"/>
      </w:pPr>
      <w:rPr>
        <w:rFonts w:ascii="Wingdings" w:hAnsi="Wingdings" w:cs="Wingdings" w:hint="default"/>
      </w:rPr>
    </w:lvl>
    <w:lvl w:ilvl="6">
      <w:start w:val="1"/>
      <w:numFmt w:val="bullet"/>
      <w:lvlText w:val=""/>
      <w:lvlJc w:val="left"/>
      <w:pPr>
        <w:tabs>
          <w:tab w:val="num" w:pos="4113"/>
        </w:tabs>
        <w:ind w:left="4113" w:hanging="360"/>
      </w:pPr>
      <w:rPr>
        <w:rFonts w:ascii="Symbol" w:hAnsi="Symbol" w:cs="Symbol" w:hint="default"/>
      </w:rPr>
    </w:lvl>
    <w:lvl w:ilvl="7">
      <w:start w:val="1"/>
      <w:numFmt w:val="bullet"/>
      <w:lvlText w:val="o"/>
      <w:lvlJc w:val="left"/>
      <w:pPr>
        <w:tabs>
          <w:tab w:val="num" w:pos="4833"/>
        </w:tabs>
        <w:ind w:left="4833" w:hanging="360"/>
      </w:pPr>
      <w:rPr>
        <w:rFonts w:ascii="Courier New" w:hAnsi="Courier New" w:cs="Courier New" w:hint="default"/>
      </w:rPr>
    </w:lvl>
    <w:lvl w:ilvl="8">
      <w:start w:val="1"/>
      <w:numFmt w:val="bullet"/>
      <w:lvlText w:val=""/>
      <w:lvlJc w:val="left"/>
      <w:pPr>
        <w:tabs>
          <w:tab w:val="num" w:pos="5553"/>
        </w:tabs>
        <w:ind w:left="5553" w:hanging="360"/>
      </w:pPr>
      <w:rPr>
        <w:rFonts w:ascii="Wingdings" w:hAnsi="Wingdings" w:cs="Wingdings" w:hint="default"/>
      </w:rPr>
    </w:lvl>
  </w:abstractNum>
  <w:abstractNum w:abstractNumId="6">
    <w:lvl w:ilvl="0">
      <w:start w:val="1"/>
      <w:numFmt w:val="decimal"/>
      <w:lvlText w:val="%1."/>
      <w:lvlJc w:val="left"/>
      <w:pPr>
        <w:tabs>
          <w:tab w:val="num" w:pos="567"/>
        </w:tabs>
        <w:ind w:left="567" w:hanging="567"/>
      </w:pPr>
      <w:rPr>
        <w:smallCaps w:val="false"/>
        <w:caps w:val="false"/>
        <w:dstrike w:val="false"/>
        <w:strike w:val="false"/>
        <w:vertAlign w:val="baseline"/>
        <w:position w:val="0"/>
        <w:sz w:val="24"/>
        <w:sz w:val="24"/>
        <w:spacing w:val="0"/>
        <w:i w:val="false"/>
        <w:u w:val="none"/>
        <w:b w:val="false"/>
        <w:kern w:val="0"/>
        <w:iCs w:val="false"/>
        <w:bCs w:val="false"/>
        <w:em w:val="none"/>
        <w:vanish w:val="false"/>
        <w:rFonts w:ascii="Times New Roman" w:hAnsi="Times New Roman" w:cs="Times New Roman"/>
        <w:color w:val="000000"/>
      </w:rPr>
    </w:lvl>
    <w:lvl w:ilvl="1">
      <w:start w:val="1"/>
      <w:numFmt w:val="decimal"/>
      <w:lvlText w:val="%1.%2"/>
      <w:lvlJc w:val="left"/>
      <w:pPr>
        <w:tabs>
          <w:tab w:val="num" w:pos="1134"/>
        </w:tabs>
        <w:ind w:left="1134"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000000"/>
      </w:rPr>
    </w:lvl>
    <w:lvl w:ilvl="2">
      <w:start w:val="1"/>
      <w:numFmt w:val="decimal"/>
      <w:lvlText w:val="%1.%2.%3"/>
      <w:lvlJc w:val="left"/>
      <w:pPr>
        <w:tabs>
          <w:tab w:val="num" w:pos="1134"/>
        </w:tabs>
        <w:ind w:left="1134" w:hanging="1134"/>
      </w:pPr>
      <w:rPr>
        <w:i w:val="false"/>
        <w:b w:val="false"/>
        <w:iCs w:val="false"/>
        <w:bCs w:val="false"/>
      </w:rPr>
    </w:lvl>
    <w:lvl w:ilvl="3">
      <w:start w:val="1"/>
      <w:numFmt w:val="decimal"/>
      <w:lvlText w:val="%1.%2.%3.%4"/>
      <w:lvlJc w:val="left"/>
      <w:pPr>
        <w:tabs>
          <w:tab w:val="num" w:pos="6354"/>
        </w:tabs>
        <w:ind w:left="6354" w:hanging="1134"/>
      </w:pPr>
      <w:rPr>
        <w:smallCaps w:val="false"/>
        <w:caps w:val="false"/>
        <w:dstrike w:val="false"/>
        <w:strike w:val="false"/>
        <w:vertAlign w:val="baseline"/>
        <w:position w:val="0"/>
        <w:sz w:val="24"/>
        <w:sz w:val="24"/>
        <w:spacing w:val="0"/>
        <w:i w:val="false"/>
        <w:u w:val="none"/>
        <w:b w:val="false"/>
        <w:kern w:val="0"/>
        <w:iCs w:val="false"/>
        <w:bCs w:val="false"/>
        <w:w w:val="100"/>
        <w:vanish w:val="false"/>
        <w:color w:val="000000"/>
      </w:rPr>
    </w:lvl>
    <w:lvl w:ilvl="4">
      <w:start w:val="1"/>
      <w:numFmt w:val="decimal"/>
      <w:lvlText w:val="%5)"/>
      <w:lvlJc w:val="left"/>
      <w:pPr>
        <w:tabs>
          <w:tab w:val="num" w:pos="1531"/>
        </w:tabs>
        <w:ind w:left="1531" w:hanging="397"/>
      </w:pPr>
      <w:rPr>
        <w:i w:val="false"/>
        <w:b w:val="false"/>
        <w:iCs w:val="false"/>
        <w:bCs w:val="false"/>
      </w:rPr>
    </w:lvl>
    <w:lvl w:ilvl="5">
      <w:start w:val="1"/>
      <w:numFmt w:val="bullet"/>
      <w:lvlText w:val=""/>
      <w:lvlJc w:val="left"/>
      <w:pPr>
        <w:tabs>
          <w:tab w:val="num" w:pos="2268"/>
        </w:tabs>
        <w:ind w:left="2268" w:hanging="567"/>
      </w:pPr>
      <w:rPr>
        <w:rFonts w:ascii="Symbol" w:hAnsi="Symbol" w:cs="Symbol" w:hint="default"/>
      </w:rPr>
    </w:lvl>
    <w:lvl w:ilvl="6">
      <w:start w:val="1"/>
      <w:numFmt w:val="lowerLetter"/>
      <w:lvlText w:val="%5%6%7)"/>
      <w:lvlJc w:val="left"/>
      <w:pPr>
        <w:tabs>
          <w:tab w:val="num" w:pos="2835"/>
        </w:tabs>
        <w:ind w:left="2835" w:hanging="567"/>
      </w:pPr>
      <w:rPr/>
    </w:lvl>
    <w:lvl w:ilvl="7">
      <w:start w:val="1"/>
      <w:numFmt w:val="decimal"/>
      <w:lvlText w:val="%1.%2.%3.%4.%5.%6.%7.%8."/>
      <w:lvlJc w:val="left"/>
      <w:pPr>
        <w:tabs>
          <w:tab w:val="num" w:pos="4545"/>
        </w:tabs>
        <w:ind w:left="2889" w:hanging="1224"/>
      </w:pPr>
      <w:rPr/>
    </w:lvl>
    <w:lvl w:ilvl="8">
      <w:start w:val="1"/>
      <w:numFmt w:val="decimal"/>
      <w:lvlText w:val="%1.%2.%3.%4.%5.%6.%7.%8.%9."/>
      <w:lvlJc w:val="left"/>
      <w:pPr>
        <w:tabs>
          <w:tab w:val="num" w:pos="5265"/>
        </w:tabs>
        <w:ind w:left="3465" w:hanging="1440"/>
      </w:pPr>
      <w:rPr/>
    </w:lvl>
  </w:abstractNum>
  <w:abstractNum w:abstractNumId="7">
    <w:lvl w:ilvl="0">
      <w:start w:val="11"/>
      <w:numFmt w:val="decimal"/>
      <w:lvlText w:val="%1."/>
      <w:lvlJc w:val="left"/>
      <w:pPr>
        <w:tabs>
          <w:tab w:val="num" w:pos="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decimal"/>
      <w:lvlText w:val="%1."/>
      <w:lvlJc w:val="left"/>
      <w:pPr>
        <w:tabs>
          <w:tab w:val="num" w:pos="0"/>
        </w:tabs>
        <w:ind w:left="3621" w:hanging="360"/>
      </w:pPr>
      <w:rPr>
        <w:smallCaps w:val="false"/>
        <w:caps w:val="false"/>
        <w:dstrike w:val="false"/>
        <w:strike w:val="false"/>
        <w:vertAlign w:val="baseline"/>
        <w:position w:val="0"/>
        <w:sz w:val="22"/>
        <w:sz w:val="22"/>
        <w:spacing w:val="0"/>
        <w:i w:val="false"/>
        <w:u w:val="none"/>
        <w:b/>
        <w:kern w:val="0"/>
        <w:szCs w:val="22"/>
        <w:iCs w:val="false"/>
        <w:bCs w:val="false"/>
        <w:em w:val="none"/>
        <w:vanish w:val="false"/>
        <w:rFonts w:ascii="Times New Roman" w:hAnsi="Times New Roman" w:cs="Times New Roman"/>
        <w:color w:val="000000"/>
      </w:rPr>
    </w:lvl>
    <w:lvl w:ilvl="1">
      <w:start w:val="1"/>
      <w:numFmt w:val="decimal"/>
      <w:lvlText w:val="%1.%2."/>
      <w:lvlJc w:val="left"/>
      <w:pPr>
        <w:tabs>
          <w:tab w:val="num" w:pos="0"/>
        </w:tabs>
        <w:ind w:left="432" w:hanging="432"/>
      </w:pPr>
      <w:rPr>
        <w:sz w:val="22"/>
        <w:i w:val="false"/>
        <w:b/>
        <w:szCs w:val="22"/>
        <w:iCs/>
        <w:bCs/>
        <w:rFonts w:ascii="Times New Roman" w:hAnsi="Times New Roman"/>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1"/>
      <w:numFmt w:val="decimal"/>
      <w:lvlText w:val="%1."/>
      <w:lvlJc w:val="left"/>
      <w:pPr>
        <w:tabs>
          <w:tab w:val="num" w:pos="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50"/>
  <w:defaultTabStop w:val="708"/>
  <w:autoHyphenation w:val="true"/>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Noto Serif CJK SC" w:cs="Arial Unicode MS"/>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Heading1">
    <w:name w:val="Heading 1"/>
    <w:basedOn w:val="Normal"/>
    <w:next w:val="Normal"/>
    <w:qFormat/>
    <w:pPr>
      <w:keepNext w:val="true"/>
      <w:keepLines/>
      <w:pageBreakBefore/>
      <w:numPr>
        <w:ilvl w:val="0"/>
        <w:numId w:val="1"/>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pPr>
      <w:keepNext w:val="true"/>
      <w:numPr>
        <w:ilvl w:val="1"/>
        <w:numId w:val="1"/>
      </w:numPr>
      <w:suppressAutoHyphens w:val="true"/>
      <w:spacing w:before="360" w:after="120"/>
      <w:outlineLvl w:val="1"/>
    </w:pPr>
    <w:rPr>
      <w:b/>
      <w:bCs/>
      <w:smallCaps/>
      <w:sz w:val="32"/>
      <w:szCs w:val="28"/>
      <w:lang w:val="ru-RU"/>
    </w:rPr>
  </w:style>
  <w:style w:type="paragraph" w:styleId="Heading3">
    <w:name w:val="Heading 3"/>
    <w:basedOn w:val="Normal"/>
    <w:next w:val="Normal"/>
    <w:qFormat/>
    <w:pPr>
      <w:keepNext w:val="true"/>
      <w:keepLines/>
      <w:spacing w:before="200" w:after="0"/>
      <w:outlineLvl w:val="2"/>
    </w:pPr>
    <w:rPr>
      <w:rFonts w:ascii="Cambria" w:hAnsi="Cambria" w:cs="Cambria"/>
      <w:b/>
      <w:bCs/>
      <w:color w:val="4F81BD"/>
    </w:rPr>
  </w:style>
  <w:style w:type="paragraph" w:styleId="Heading4">
    <w:name w:val="Heading 4"/>
    <w:basedOn w:val="Normal"/>
    <w:next w:val="Normal"/>
    <w:qFormat/>
    <w:pPr>
      <w:keepNext w:val="true"/>
      <w:spacing w:before="240" w:after="60"/>
      <w:outlineLvl w:val="3"/>
    </w:pPr>
    <w:rPr>
      <w:rFonts w:ascii="Calibri" w:hAnsi="Calibri" w:eastAsia="Times New Roman" w:cs="Times New Roman"/>
      <w:b/>
      <w:bCs/>
      <w:sz w:val="28"/>
      <w:szCs w:val="28"/>
    </w:rPr>
  </w:style>
  <w:style w:type="character" w:styleId="WW8Num1z0">
    <w:name w:val="WW8Num1z0"/>
    <w:qFormat/>
    <w:rPr/>
  </w:style>
  <w:style w:type="character" w:styleId="WW8Num2z0">
    <w:name w:val="WW8Num2z0"/>
    <w:qFormat/>
    <w:rPr>
      <w:b/>
      <w:bCs w:val="false"/>
      <w:sz w:val="24"/>
      <w:szCs w:val="24"/>
    </w:rPr>
  </w:style>
  <w:style w:type="character" w:styleId="WW8Num2z1">
    <w:name w:val="WW8Num2z1"/>
    <w:qFormat/>
    <w:rPr>
      <w:b/>
      <w:bCs/>
      <w:sz w:val="20"/>
      <w:szCs w:val="24"/>
    </w:rPr>
  </w:style>
  <w:style w:type="character" w:styleId="WW8Num2z2">
    <w:name w:val="WW8Num2z2"/>
    <w:qFormat/>
    <w:rPr>
      <w:b w:val="false"/>
      <w:sz w:val="20"/>
      <w:szCs w:val="24"/>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5z0">
    <w:name w:val="WW8Num5z0"/>
    <w:qFormat/>
    <w:rPr>
      <w:rFonts w:ascii="Times New Roman" w:hAnsi="Times New Roman" w:cs="Times New Roman"/>
      <w:b w:val="false"/>
      <w:i w:val="false"/>
      <w:sz w:val="24"/>
      <w:szCs w:val="24"/>
    </w:rPr>
  </w:style>
  <w:style w:type="character" w:styleId="WW8Num5z1">
    <w:name w:val="WW8Num5z1"/>
    <w:qFormat/>
    <w:rPr>
      <w:b w:val="false"/>
      <w:i w:val="false"/>
      <w:sz w:val="24"/>
      <w:szCs w:val="24"/>
    </w:rPr>
  </w:style>
  <w:style w:type="character" w:styleId="WW8Num6z0">
    <w:name w:val="WW8Num6z0"/>
    <w:qFormat/>
    <w:rPr>
      <w:sz w:val="20"/>
      <w:szCs w:val="20"/>
    </w:rPr>
  </w:style>
  <w:style w:type="character" w:styleId="WW8Num7z0">
    <w:name w:val="WW8Num7z0"/>
    <w:qFormat/>
    <w:rPr>
      <w:rFonts w:ascii="Times New Roman" w:hAnsi="Times New Roman" w:eastAsia="Times New Roman" w:cs="Times New Roman"/>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8z0">
    <w:name w:val="WW8Num8z0"/>
    <w:qFormat/>
    <w:rPr>
      <w:rFonts w:ascii="Times New Roman" w:hAnsi="Times New Roman" w:cs="Times New Roman"/>
      <w:i/>
      <w:color w:val="000000"/>
    </w:rPr>
  </w:style>
  <w:style w:type="character" w:styleId="WW8Num8z1">
    <w:name w:val="WW8Num8z1"/>
    <w:qFormat/>
    <w:rPr>
      <w:rFonts w:ascii="Courier New" w:hAnsi="Courier New" w:cs="Courier New"/>
    </w:rPr>
  </w:style>
  <w:style w:type="character" w:styleId="WW8Num8z2">
    <w:name w:val="WW8Num8z2"/>
    <w:qFormat/>
    <w:rPr>
      <w:rFonts w:ascii="Wingdings" w:hAnsi="Wingdings" w:cs="Wingdings"/>
    </w:rPr>
  </w:style>
  <w:style w:type="character" w:styleId="WW8Num8z3">
    <w:name w:val="WW8Num8z3"/>
    <w:qFormat/>
    <w:rPr>
      <w:rFonts w:ascii="Symbol" w:hAnsi="Symbol" w:cs="Symbol"/>
    </w:rPr>
  </w:style>
  <w:style w:type="character" w:styleId="WW8Num9z0">
    <w:name w:val="WW8Num9z0"/>
    <w:qFormat/>
    <w:rPr/>
  </w:style>
  <w:style w:type="character" w:styleId="WW8Num10z0">
    <w:name w:val="WW8Num10z0"/>
    <w:qFormat/>
    <w:rPr/>
  </w:style>
  <w:style w:type="character" w:styleId="WW8Num11z0">
    <w:name w:val="WW8Num11z0"/>
    <w:qFormat/>
    <w:rPr>
      <w:rFonts w:ascii="Symbol" w:hAnsi="Symbol" w:cs="Symbol"/>
    </w:rPr>
  </w:style>
  <w:style w:type="character" w:styleId="WW8Num11z1">
    <w:name w:val="WW8Num11z1"/>
    <w:qFormat/>
    <w:rPr>
      <w:rFonts w:ascii="Courier New" w:hAnsi="Courier New" w:cs="Courier New"/>
    </w:rPr>
  </w:style>
  <w:style w:type="character" w:styleId="WW8Num11z2">
    <w:name w:val="WW8Num11z2"/>
    <w:qFormat/>
    <w:rPr>
      <w:rFonts w:ascii="Wingdings" w:hAnsi="Wingdings" w:cs="Wingdings"/>
    </w:rPr>
  </w:style>
  <w:style w:type="character" w:styleId="WW8Num12z0">
    <w:name w:val="WW8Num12z0"/>
    <w:qFormat/>
    <w:rPr/>
  </w:style>
  <w:style w:type="character" w:styleId="WW8Num13z0">
    <w:name w:val="WW8Num13z0"/>
    <w:qFormat/>
    <w:rPr>
      <w:rFonts w:ascii="Times New Roman" w:hAnsi="Times New Roman" w:cs="Times New Roman"/>
    </w:rPr>
  </w:style>
  <w:style w:type="character" w:styleId="WW8Num13z1">
    <w:name w:val="WW8Num13z1"/>
    <w:qFormat/>
    <w:rPr>
      <w:rFonts w:ascii="Courier New" w:hAnsi="Courier New" w:cs="Courier New"/>
    </w:rPr>
  </w:style>
  <w:style w:type="character" w:styleId="WW8Num13z2">
    <w:name w:val="WW8Num13z2"/>
    <w:qFormat/>
    <w:rPr>
      <w:rFonts w:ascii="Wingdings" w:hAnsi="Wingdings" w:cs="Wingdings"/>
    </w:rPr>
  </w:style>
  <w:style w:type="character" w:styleId="WW8Num13z3">
    <w:name w:val="WW8Num13z3"/>
    <w:qFormat/>
    <w:rPr>
      <w:rFonts w:ascii="Symbol" w:hAnsi="Symbol" w:cs="Symbol"/>
    </w:rPr>
  </w:style>
  <w:style w:type="character" w:styleId="WW8Num14z0">
    <w:name w:val="WW8Num14z0"/>
    <w:qFormat/>
    <w:rPr>
      <w:rFonts w:ascii="Times New Roman" w:hAnsi="Times New Roman" w:cs="Times New Roman"/>
      <w:b w:val="false"/>
      <w:bCs w:val="false"/>
      <w:i w:val="false"/>
      <w:iCs w:val="false"/>
      <w:caps w:val="false"/>
      <w:smallCaps w:val="false"/>
      <w:strike w:val="false"/>
      <w:dstrike w:val="false"/>
      <w:vanish w:val="false"/>
      <w:color w:val="000000"/>
      <w:spacing w:val="0"/>
      <w:kern w:val="0"/>
      <w:position w:val="0"/>
      <w:sz w:val="24"/>
      <w:sz w:val="24"/>
      <w:u w:val="none"/>
      <w:vertAlign w:val="baseline"/>
      <w:em w:val="none"/>
    </w:rPr>
  </w:style>
  <w:style w:type="character" w:styleId="WW8Num14z1">
    <w:name w:val="WW8Num14z1"/>
    <w:qFormat/>
    <w:rPr>
      <w:rFonts w:cs="Times New Roman"/>
      <w:b/>
      <w:bCs/>
      <w:i w:val="false"/>
      <w:iCs w:val="false"/>
      <w:caps w:val="false"/>
      <w:smallCaps w:val="false"/>
      <w:strike w:val="false"/>
      <w:dstrike w:val="false"/>
      <w:vanish w:val="false"/>
      <w:color w:val="000000"/>
      <w:spacing w:val="0"/>
      <w:w w:val="100"/>
      <w:kern w:val="0"/>
      <w:position w:val="0"/>
      <w:sz w:val="28"/>
      <w:sz w:val="28"/>
      <w:szCs w:val="28"/>
      <w:u w:val="none"/>
      <w:vertAlign w:val="baseline"/>
    </w:rPr>
  </w:style>
  <w:style w:type="character" w:styleId="WW8Num14z2">
    <w:name w:val="WW8Num14z2"/>
    <w:qFormat/>
    <w:rPr>
      <w:b w:val="false"/>
      <w:bCs w:val="false"/>
      <w:i w:val="false"/>
      <w:iCs w:val="false"/>
    </w:rPr>
  </w:style>
  <w:style w:type="character" w:styleId="WW8Num14z3">
    <w:name w:val="WW8Num14z3"/>
    <w:qFormat/>
    <w:rPr>
      <w:b w:val="false"/>
      <w:bCs w:val="false"/>
      <w:i w:val="false"/>
      <w:iCs w:val="false"/>
      <w:caps w:val="false"/>
      <w:smallCaps w:val="false"/>
      <w:strike w:val="false"/>
      <w:dstrike w:val="false"/>
      <w:vanish w:val="false"/>
      <w:color w:val="000000"/>
      <w:spacing w:val="0"/>
      <w:w w:val="100"/>
      <w:kern w:val="0"/>
      <w:position w:val="0"/>
      <w:sz w:val="24"/>
      <w:sz w:val="24"/>
      <w:u w:val="none"/>
      <w:vertAlign w:val="baseline"/>
    </w:rPr>
  </w:style>
  <w:style w:type="character" w:styleId="WW8Num14z5">
    <w:name w:val="WW8Num14z5"/>
    <w:qFormat/>
    <w:rPr>
      <w:rFonts w:ascii="Symbol" w:hAnsi="Symbol" w:cs="Symbol"/>
    </w:rPr>
  </w:style>
  <w:style w:type="character" w:styleId="WW8Num14z6">
    <w:name w:val="WW8Num14z6"/>
    <w:qFormat/>
    <w:rPr/>
  </w:style>
  <w:style w:type="character" w:styleId="WW8Num15z0">
    <w:name w:val="WW8Num15z0"/>
    <w:qFormat/>
    <w:rPr>
      <w:rFonts w:ascii="Symbol" w:hAnsi="Symbol" w:cs="Times New Roman"/>
      <w:color w:val="000000"/>
      <w:u w:val="none"/>
    </w:rPr>
  </w:style>
  <w:style w:type="character" w:styleId="WW8Num15z1">
    <w:name w:val="WW8Num15z1"/>
    <w:qFormat/>
    <w:rPr>
      <w:rFonts w:ascii="Courier New" w:hAnsi="Courier New" w:cs="Courier New"/>
    </w:rPr>
  </w:style>
  <w:style w:type="character" w:styleId="WW8Num15z2">
    <w:name w:val="WW8Num15z2"/>
    <w:qFormat/>
    <w:rPr>
      <w:rFonts w:ascii="Wingdings" w:hAnsi="Wingdings" w:cs="Wingdings"/>
    </w:rPr>
  </w:style>
  <w:style w:type="character" w:styleId="WW8Num15z3">
    <w:name w:val="WW8Num15z3"/>
    <w:qFormat/>
    <w:rPr>
      <w:rFonts w:ascii="Symbol" w:hAnsi="Symbol" w:cs="Symbol"/>
    </w:rPr>
  </w:style>
  <w:style w:type="character" w:styleId="WW8Num16z0">
    <w:name w:val="WW8Num16z0"/>
    <w:qFormat/>
    <w:rPr/>
  </w:style>
  <w:style w:type="character" w:styleId="WW8Num17z0">
    <w:name w:val="WW8Num17z0"/>
    <w:qFormat/>
    <w:rPr/>
  </w:style>
  <w:style w:type="character" w:styleId="WW8Num19z2">
    <w:name w:val="WW8Num19z2"/>
    <w:qFormat/>
    <w:rPr>
      <w:b w:val="false"/>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0z2">
    <w:name w:val="WW8Num20z2"/>
    <w:qFormat/>
    <w:rPr>
      <w:rFonts w:ascii="Wingdings" w:hAnsi="Wingdings" w:cs="Wingdings"/>
    </w:rPr>
  </w:style>
  <w:style w:type="character" w:styleId="WW8Num20z3">
    <w:name w:val="WW8Num20z3"/>
    <w:qFormat/>
    <w:rPr>
      <w:rFonts w:ascii="Symbol" w:hAnsi="Symbol" w:cs="Symbol"/>
    </w:rPr>
  </w:style>
  <w:style w:type="character" w:styleId="WW8Num21z0">
    <w:name w:val="WW8Num21z0"/>
    <w:qFormat/>
    <w:rPr>
      <w:rFonts w:ascii="Symbol" w:hAnsi="Symbol" w:cs="Symbol"/>
    </w:rPr>
  </w:style>
  <w:style w:type="character" w:styleId="WW8Num21z1">
    <w:name w:val="WW8Num21z1"/>
    <w:qFormat/>
    <w:rPr>
      <w:rFonts w:ascii="Courier New" w:hAnsi="Courier New" w:cs="Courier New"/>
    </w:rPr>
  </w:style>
  <w:style w:type="character" w:styleId="WW8Num21z2">
    <w:name w:val="WW8Num21z2"/>
    <w:qFormat/>
    <w:rPr>
      <w:rFonts w:ascii="Wingdings" w:hAnsi="Wingdings" w:cs="Wingdings"/>
    </w:rPr>
  </w:style>
  <w:style w:type="character" w:styleId="WW8Num23z0">
    <w:name w:val="WW8Num23z0"/>
    <w:qFormat/>
    <w:rPr/>
  </w:style>
  <w:style w:type="character" w:styleId="WW8Num23z2">
    <w:name w:val="WW8Num23z2"/>
    <w:qFormat/>
    <w:rPr>
      <w:sz w:val="28"/>
      <w:szCs w:val="28"/>
    </w:rPr>
  </w:style>
  <w:style w:type="character" w:styleId="WW8Num24z0">
    <w:name w:val="WW8Num24z0"/>
    <w:qFormat/>
    <w:rPr/>
  </w:style>
  <w:style w:type="character" w:styleId="WW8Num25z0">
    <w:name w:val="WW8Num25z0"/>
    <w:qFormat/>
    <w:rPr>
      <w:rFonts w:ascii="Times New Roman" w:hAnsi="Times New Roman" w:eastAsia="Times New Roman" w:cs="Times New Roman"/>
    </w:rPr>
  </w:style>
  <w:style w:type="character" w:styleId="WW8Num25z1">
    <w:name w:val="WW8Num25z1"/>
    <w:qFormat/>
    <w:rPr>
      <w:rFonts w:ascii="Courier New" w:hAnsi="Courier New" w:cs="Courier New"/>
    </w:rPr>
  </w:style>
  <w:style w:type="character" w:styleId="WW8Num25z2">
    <w:name w:val="WW8Num25z2"/>
    <w:qFormat/>
    <w:rPr>
      <w:rFonts w:ascii="Wingdings" w:hAnsi="Wingdings" w:cs="Wingdings"/>
    </w:rPr>
  </w:style>
  <w:style w:type="character" w:styleId="WW8Num25z3">
    <w:name w:val="WW8Num25z3"/>
    <w:qFormat/>
    <w:rPr>
      <w:rFonts w:ascii="Symbol" w:hAnsi="Symbol" w:cs="Symbol"/>
    </w:rPr>
  </w:style>
  <w:style w:type="character" w:styleId="WW8Num26z0">
    <w:name w:val="WW8Num26z0"/>
    <w:qFormat/>
    <w:rPr/>
  </w:style>
  <w:style w:type="character" w:styleId="WW8Num27z0">
    <w:name w:val="WW8Num27z0"/>
    <w:qFormat/>
    <w:rPr/>
  </w:style>
  <w:style w:type="character" w:styleId="WW8Num28z0">
    <w:name w:val="WW8Num28z0"/>
    <w:qFormat/>
    <w:rPr/>
  </w:style>
  <w:style w:type="character" w:styleId="WW8Num28z3">
    <w:name w:val="WW8Num28z3"/>
    <w:qFormat/>
    <w:rPr>
      <w:sz w:val="28"/>
      <w:szCs w:val="28"/>
    </w:rPr>
  </w:style>
  <w:style w:type="character" w:styleId="WW8Num29z0">
    <w:name w:val="WW8Num29z0"/>
    <w:qFormat/>
    <w:rPr>
      <w:b/>
      <w:bCs w:val="false"/>
      <w:sz w:val="24"/>
      <w:szCs w:val="24"/>
    </w:rPr>
  </w:style>
  <w:style w:type="character" w:styleId="WW8Num29z1">
    <w:name w:val="WW8Num29z1"/>
    <w:qFormat/>
    <w:rPr>
      <w:b/>
      <w:bCs/>
      <w:sz w:val="20"/>
      <w:szCs w:val="24"/>
    </w:rPr>
  </w:style>
  <w:style w:type="character" w:styleId="WW8Num29z2">
    <w:name w:val="WW8Num29z2"/>
    <w:qFormat/>
    <w:rPr>
      <w:b w:val="false"/>
      <w:sz w:val="20"/>
      <w:szCs w:val="24"/>
    </w:rPr>
  </w:style>
  <w:style w:type="character" w:styleId="WW8Num30z0">
    <w:name w:val="WW8Num30z0"/>
    <w:qFormat/>
    <w:rPr>
      <w:rFonts w:ascii="Times New Roman" w:hAnsi="Times New Roman" w:cs="Times New Roman"/>
      <w:b/>
      <w:bCs w:val="false"/>
      <w:i w:val="false"/>
      <w:iCs w:val="false"/>
      <w:caps w:val="false"/>
      <w:smallCaps w:val="false"/>
      <w:strike w:val="false"/>
      <w:dstrike w:val="false"/>
      <w:vanish w:val="false"/>
      <w:color w:val="000000"/>
      <w:spacing w:val="0"/>
      <w:kern w:val="0"/>
      <w:position w:val="0"/>
      <w:sz w:val="28"/>
      <w:sz w:val="28"/>
      <w:szCs w:val="28"/>
      <w:u w:val="none"/>
      <w:vertAlign w:val="baseline"/>
      <w:em w:val="none"/>
    </w:rPr>
  </w:style>
  <w:style w:type="character" w:styleId="WW8Num30z1">
    <w:name w:val="WW8Num30z1"/>
    <w:qFormat/>
    <w:rPr>
      <w:b/>
      <w:bCs/>
      <w:i w:val="false"/>
      <w:iCs/>
      <w:sz w:val="24"/>
      <w:szCs w:val="24"/>
    </w:rPr>
  </w:style>
  <w:style w:type="character" w:styleId="WW8Num31z0">
    <w:name w:val="WW8Num31z0"/>
    <w:qFormat/>
    <w:rPr/>
  </w:style>
  <w:style w:type="character" w:styleId="WW8Num32z0">
    <w:name w:val="WW8Num32z0"/>
    <w:qFormat/>
    <w:rPr>
      <w:rFonts w:ascii="Symbol" w:hAnsi="Symbol" w:cs="Symbol"/>
    </w:rPr>
  </w:style>
  <w:style w:type="character" w:styleId="WW8Num32z2">
    <w:name w:val="WW8Num32z2"/>
    <w:qFormat/>
    <w:rPr>
      <w:rFonts w:ascii="Wingdings" w:hAnsi="Wingdings" w:cs="Wingdings"/>
    </w:rPr>
  </w:style>
  <w:style w:type="character" w:styleId="WW8Num32z4">
    <w:name w:val="WW8Num32z4"/>
    <w:qFormat/>
    <w:rPr>
      <w:rFonts w:ascii="Courier New" w:hAnsi="Courier New" w:cs="Courier New"/>
    </w:rPr>
  </w:style>
  <w:style w:type="character" w:styleId="WW8Num33z0">
    <w:name w:val="WW8Num33z0"/>
    <w:qFormat/>
    <w:rPr/>
  </w:style>
  <w:style w:type="character" w:styleId="Style5">
    <w:name w:val="Основной шрифт абзаца"/>
    <w:qFormat/>
    <w:rPr/>
  </w:style>
  <w:style w:type="character" w:styleId="Style6">
    <w:name w:val="Символ сноски"/>
    <w:qFormat/>
    <w:rPr>
      <w:vertAlign w:val="superscript"/>
    </w:rPr>
  </w:style>
  <w:style w:type="character" w:styleId="3">
    <w:name w:val="Основной текст 3 Знак"/>
    <w:qFormat/>
    <w:rPr>
      <w:sz w:val="16"/>
      <w:szCs w:val="16"/>
      <w:lang w:val="en-GB"/>
    </w:rPr>
  </w:style>
  <w:style w:type="character" w:styleId="31">
    <w:name w:val="Заголовок 3 Знак"/>
    <w:qFormat/>
    <w:rPr>
      <w:rFonts w:ascii="Cambria" w:hAnsi="Cambria" w:eastAsia="Times New Roman" w:cs="Times New Roman"/>
      <w:b/>
      <w:bCs/>
      <w:color w:val="4F81BD"/>
      <w:sz w:val="24"/>
      <w:szCs w:val="24"/>
      <w:lang w:val="en-GB"/>
    </w:rPr>
  </w:style>
  <w:style w:type="character" w:styleId="Style7">
    <w:name w:val="Знак примечания"/>
    <w:qFormat/>
    <w:rPr>
      <w:sz w:val="16"/>
      <w:szCs w:val="16"/>
    </w:rPr>
  </w:style>
  <w:style w:type="character" w:styleId="Style8">
    <w:name w:val="Текст примечания Знак"/>
    <w:qFormat/>
    <w:rPr>
      <w:lang w:val="en-GB"/>
    </w:rPr>
  </w:style>
  <w:style w:type="character" w:styleId="Style9">
    <w:name w:val="Тема примечания Знак"/>
    <w:qFormat/>
    <w:rPr>
      <w:b/>
      <w:bCs/>
      <w:lang w:val="en-GB"/>
    </w:rPr>
  </w:style>
  <w:style w:type="character" w:styleId="32">
    <w:name w:val="Основной текст с отступом 3 Знак"/>
    <w:qFormat/>
    <w:rPr>
      <w:sz w:val="16"/>
      <w:szCs w:val="16"/>
    </w:rPr>
  </w:style>
  <w:style w:type="character" w:styleId="Style10">
    <w:name w:val="Основной текст Знак"/>
    <w:qFormat/>
    <w:rPr>
      <w:sz w:val="28"/>
      <w:szCs w:val="28"/>
    </w:rPr>
  </w:style>
  <w:style w:type="character" w:styleId="Style11">
    <w:name w:val="Название Знак"/>
    <w:qFormat/>
    <w:rPr>
      <w:b/>
      <w:bCs/>
      <w:sz w:val="24"/>
      <w:szCs w:val="24"/>
    </w:rPr>
  </w:style>
  <w:style w:type="character" w:styleId="Style12">
    <w:name w:val="Верхний колонтитул Знак"/>
    <w:qFormat/>
    <w:rPr>
      <w:sz w:val="24"/>
      <w:szCs w:val="24"/>
      <w:lang w:val="en-GB"/>
    </w:rPr>
  </w:style>
  <w:style w:type="character" w:styleId="Style13">
    <w:name w:val="Нижний колонтитул Знак"/>
    <w:qFormat/>
    <w:rPr>
      <w:sz w:val="24"/>
      <w:szCs w:val="24"/>
      <w:lang w:val="en-GB"/>
    </w:rPr>
  </w:style>
  <w:style w:type="character" w:styleId="Hyperlink">
    <w:name w:val="Hyperlink"/>
    <w:rPr>
      <w:color w:val="0000FF"/>
      <w:u w:val="single"/>
    </w:rPr>
  </w:style>
  <w:style w:type="character" w:styleId="Style14">
    <w:name w:val="Основной текст с отступом Знак"/>
    <w:qFormat/>
    <w:rPr>
      <w:sz w:val="24"/>
      <w:szCs w:val="24"/>
      <w:lang w:val="ru-RU"/>
    </w:rPr>
  </w:style>
  <w:style w:type="character" w:styleId="4">
    <w:name w:val="Заголовок 4 Знак"/>
    <w:qFormat/>
    <w:rPr>
      <w:rFonts w:ascii="Calibri" w:hAnsi="Calibri" w:eastAsia="Times New Roman" w:cs="Times New Roman"/>
      <w:b/>
      <w:bCs/>
      <w:sz w:val="28"/>
      <w:szCs w:val="28"/>
      <w:lang w:val="en-GB"/>
    </w:rPr>
  </w:style>
  <w:style w:type="character" w:styleId="LineNumber">
    <w:name w:val="Line Number"/>
    <w:rPr/>
  </w:style>
  <w:style w:type="paragraph" w:styleId="Style15">
    <w:name w:val="Заголовок"/>
    <w:basedOn w:val="Normal"/>
    <w:next w:val="BodyText"/>
    <w:qFormat/>
    <w:pPr>
      <w:widowControl w:val="false"/>
      <w:jc w:val="center"/>
    </w:pPr>
    <w:rPr>
      <w:b/>
      <w:bCs/>
      <w:lang w:val="ru-RU"/>
    </w:rPr>
  </w:style>
  <w:style w:type="paragraph" w:styleId="BodyText">
    <w:name w:val="Body Text"/>
    <w:basedOn w:val="Normal"/>
    <w:pPr>
      <w:spacing w:lineRule="auto" w:line="360" w:before="0" w:after="120"/>
      <w:ind w:firstLine="567"/>
      <w:jc w:val="both"/>
    </w:pPr>
    <w:rPr>
      <w:sz w:val="28"/>
      <w:szCs w:val="28"/>
      <w:lang w:val="ru-RU"/>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6">
    <w:name w:val="Указатель"/>
    <w:basedOn w:val="Normal"/>
    <w:qFormat/>
    <w:pPr>
      <w:suppressLineNumbers/>
    </w:pPr>
    <w:rPr>
      <w:rFonts w:cs="Arial Unicode MS"/>
    </w:rPr>
  </w:style>
  <w:style w:type="paragraph" w:styleId="Style17">
    <w:name w:val="Знак Знак Знак Знак Знак Знак Знак Знак Знак"/>
    <w:basedOn w:val="Normal"/>
    <w:qFormat/>
    <w:pPr>
      <w:spacing w:lineRule="exact" w:line="240" w:before="0" w:after="160"/>
      <w:jc w:val="both"/>
    </w:pPr>
    <w:rPr>
      <w:rFonts w:ascii="Verdana" w:hAnsi="Verdana" w:cs="Verdana"/>
      <w:sz w:val="22"/>
      <w:szCs w:val="20"/>
      <w:lang w:val="en-US"/>
    </w:rPr>
  </w:style>
  <w:style w:type="paragraph" w:styleId="1">
    <w:name w:val="Обычный1"/>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18">
    <w:name w:val="Текст"/>
    <w:basedOn w:val="Normal"/>
    <w:qFormat/>
    <w:pPr/>
    <w:rPr>
      <w:rFonts w:ascii="Consolas" w:hAnsi="Consolas" w:eastAsia="Calibri" w:cs="Consolas"/>
      <w:sz w:val="21"/>
      <w:szCs w:val="21"/>
    </w:rPr>
  </w:style>
  <w:style w:type="paragraph" w:styleId="Style19">
    <w:name w:val="Подпункт договора"/>
    <w:basedOn w:val="Normal"/>
    <w:qFormat/>
    <w:pPr>
      <w:jc w:val="both"/>
    </w:pPr>
    <w:rPr>
      <w:rFonts w:ascii="Arial" w:hAnsi="Arial" w:cs="Arial"/>
      <w:sz w:val="20"/>
      <w:szCs w:val="20"/>
      <w:lang w:val="ru-RU"/>
    </w:rPr>
  </w:style>
  <w:style w:type="paragraph" w:styleId="Style20">
    <w:name w:val="Пункт"/>
    <w:basedOn w:val="Normal"/>
    <w:qFormat/>
    <w:pPr>
      <w:numPr>
        <w:ilvl w:val="0"/>
        <w:numId w:val="6"/>
      </w:numPr>
      <w:jc w:val="both"/>
    </w:pPr>
    <w:rPr>
      <w:sz w:val="28"/>
      <w:lang w:val="ru-RU"/>
    </w:rPr>
  </w:style>
  <w:style w:type="paragraph" w:styleId="Style21">
    <w:name w:val="Подпункт"/>
    <w:basedOn w:val="Style20"/>
    <w:qFormat/>
    <w:pPr/>
    <w:rPr/>
  </w:style>
  <w:style w:type="paragraph" w:styleId="Style22">
    <w:name w:val="Подподпункт"/>
    <w:basedOn w:val="Style21"/>
    <w:qFormat/>
    <w:pPr/>
    <w:rPr/>
  </w:style>
  <w:style w:type="paragraph" w:styleId="Style23">
    <w:name w:val="Пункт договора"/>
    <w:basedOn w:val="Normal"/>
    <w:qFormat/>
    <w:pPr>
      <w:widowControl w:val="false"/>
      <w:jc w:val="both"/>
    </w:pPr>
    <w:rPr>
      <w:rFonts w:ascii="Arial" w:hAnsi="Arial" w:cs="Arial"/>
      <w:sz w:val="20"/>
      <w:szCs w:val="20"/>
      <w:lang w:val="ru-RU"/>
    </w:rPr>
  </w:style>
  <w:style w:type="paragraph" w:styleId="Style24">
    <w:name w:val="Знак"/>
    <w:basedOn w:val="Normal"/>
    <w:qFormat/>
    <w:pPr>
      <w:spacing w:lineRule="exact" w:line="240" w:before="0" w:after="160"/>
    </w:pPr>
    <w:rPr>
      <w:rFonts w:ascii="Verdana" w:hAnsi="Verdana" w:cs="Verdana"/>
      <w:sz w:val="20"/>
      <w:szCs w:val="20"/>
      <w:lang w:val="en-US"/>
    </w:rPr>
  </w:style>
  <w:style w:type="paragraph" w:styleId="FootnoteText">
    <w:name w:val="Footnote Text"/>
    <w:basedOn w:val="Normal"/>
    <w:pPr/>
    <w:rPr>
      <w:sz w:val="20"/>
      <w:szCs w:val="20"/>
    </w:rPr>
  </w:style>
  <w:style w:type="paragraph" w:styleId="Style25">
    <w:name w:val="Раздел договора"/>
    <w:basedOn w:val="Normal"/>
    <w:next w:val="Style23"/>
    <w:qFormat/>
    <w:pPr>
      <w:keepNext w:val="true"/>
      <w:keepLines/>
      <w:widowControl w:val="false"/>
      <w:spacing w:before="240" w:after="200"/>
    </w:pPr>
    <w:rPr>
      <w:rFonts w:ascii="Arial" w:hAnsi="Arial" w:cs="Arial"/>
      <w:b/>
      <w:caps/>
      <w:sz w:val="20"/>
      <w:szCs w:val="20"/>
      <w:lang w:val="ru-RU"/>
    </w:rPr>
  </w:style>
  <w:style w:type="paragraph" w:styleId="Style26">
    <w:name w:val="Текст выноски"/>
    <w:basedOn w:val="Normal"/>
    <w:qFormat/>
    <w:pPr/>
    <w:rPr>
      <w:rFonts w:ascii="Tahoma" w:hAnsi="Tahoma" w:cs="Tahoma"/>
      <w:sz w:val="16"/>
      <w:szCs w:val="16"/>
    </w:rPr>
  </w:style>
  <w:style w:type="paragraph" w:styleId="33">
    <w:name w:val="Основной текст 3"/>
    <w:basedOn w:val="Normal"/>
    <w:qFormat/>
    <w:pPr>
      <w:spacing w:before="0" w:after="120"/>
    </w:pPr>
    <w:rPr>
      <w:sz w:val="16"/>
      <w:szCs w:val="16"/>
    </w:rPr>
  </w:style>
  <w:style w:type="paragraph" w:styleId="ConsNormal">
    <w:name w:val="ConsNormal"/>
    <w:qFormat/>
    <w:pPr>
      <w:widowControl/>
      <w:suppressAutoHyphens w:val="true"/>
      <w:bidi w:val="0"/>
      <w:spacing w:before="0" w:after="0"/>
      <w:ind w:right="19772" w:firstLine="720"/>
      <w:jc w:val="left"/>
    </w:pPr>
    <w:rPr>
      <w:rFonts w:ascii="Arial" w:hAnsi="Arial" w:eastAsia="Times New Roman" w:cs="Arial"/>
      <w:color w:val="auto"/>
      <w:kern w:val="0"/>
      <w:sz w:val="32"/>
      <w:szCs w:val="20"/>
      <w:lang w:val="ru-RU" w:eastAsia="zh-CN" w:bidi="ar-SA"/>
    </w:rPr>
  </w:style>
  <w:style w:type="paragraph" w:styleId="2">
    <w:name w:val="Знак Знак Знак Знак Знак Знак Знак Знак Знак2"/>
    <w:basedOn w:val="Normal"/>
    <w:qFormat/>
    <w:pPr>
      <w:spacing w:lineRule="exact" w:line="240" w:before="0" w:after="160"/>
      <w:jc w:val="both"/>
    </w:pPr>
    <w:rPr>
      <w:rFonts w:ascii="Verdana" w:hAnsi="Verdana" w:cs="Verdana"/>
      <w:sz w:val="22"/>
      <w:szCs w:val="20"/>
      <w:lang w:val="en-US"/>
    </w:rPr>
  </w:style>
  <w:style w:type="paragraph" w:styleId="Style27">
    <w:name w:val="Абзац списка"/>
    <w:basedOn w:val="Normal"/>
    <w:qFormat/>
    <w:pPr>
      <w:spacing w:before="0" w:after="0"/>
      <w:ind w:left="720" w:hanging="0"/>
      <w:contextualSpacing/>
    </w:pPr>
    <w:rPr>
      <w:lang w:val="ru-RU"/>
    </w:rPr>
  </w:style>
  <w:style w:type="paragraph" w:styleId="Style28">
    <w:name w:val="Текст примечания"/>
    <w:basedOn w:val="Normal"/>
    <w:qFormat/>
    <w:pPr/>
    <w:rPr>
      <w:sz w:val="20"/>
      <w:szCs w:val="20"/>
    </w:rPr>
  </w:style>
  <w:style w:type="paragraph" w:styleId="Style29">
    <w:name w:val="Тема примечания"/>
    <w:basedOn w:val="Style28"/>
    <w:next w:val="Style28"/>
    <w:qFormat/>
    <w:pPr/>
    <w:rPr>
      <w:b/>
      <w:bCs/>
    </w:rPr>
  </w:style>
  <w:style w:type="paragraph" w:styleId="34">
    <w:name w:val="Основной текст с отступом 3"/>
    <w:basedOn w:val="Normal"/>
    <w:qFormat/>
    <w:pPr>
      <w:spacing w:lineRule="auto" w:line="360" w:before="0" w:after="120"/>
      <w:ind w:left="283" w:firstLine="567"/>
      <w:jc w:val="both"/>
    </w:pPr>
    <w:rPr>
      <w:sz w:val="16"/>
      <w:szCs w:val="16"/>
      <w:lang w:val="ru-RU"/>
    </w:rPr>
  </w:style>
  <w:style w:type="paragraph" w:styleId="Style30">
    <w:name w:val="Рецензия"/>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zh-CN" w:bidi="ar-SA"/>
    </w:rPr>
  </w:style>
  <w:style w:type="paragraph" w:styleId="ConsPlusNormal">
    <w:name w:val="ConsPlusNormal"/>
    <w:qFormat/>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zh-CN" w:bidi="ar-SA"/>
    </w:rPr>
  </w:style>
  <w:style w:type="paragraph" w:styleId="Style31">
    <w:name w:val="Колонтитул"/>
    <w:basedOn w:val="Normal"/>
    <w:qFormat/>
    <w:pPr>
      <w:suppressLineNumbers/>
      <w:tabs>
        <w:tab w:val="clear" w:pos="708"/>
        <w:tab w:val="center" w:pos="4819" w:leader="none"/>
        <w:tab w:val="right" w:pos="9638" w:leader="none"/>
      </w:tabs>
    </w:pPr>
    <w:rPr/>
  </w:style>
  <w:style w:type="paragraph" w:styleId="Header">
    <w:name w:val="Header"/>
    <w:basedOn w:val="Normal"/>
    <w:pPr/>
    <w:rPr/>
  </w:style>
  <w:style w:type="paragraph" w:styleId="Footer">
    <w:name w:val="Footer"/>
    <w:basedOn w:val="Normal"/>
    <w:pPr/>
    <w:rPr/>
  </w:style>
  <w:style w:type="paragraph" w:styleId="11">
    <w:name w:val="Знак Знак Знак Знак Знак Знак Знак Знак Знак1"/>
    <w:basedOn w:val="Normal"/>
    <w:qFormat/>
    <w:pPr>
      <w:spacing w:lineRule="exact" w:line="240" w:before="0" w:after="160"/>
      <w:jc w:val="both"/>
    </w:pPr>
    <w:rPr>
      <w:rFonts w:ascii="Verdana" w:hAnsi="Verdana" w:cs="Verdana"/>
      <w:sz w:val="22"/>
      <w:szCs w:val="20"/>
      <w:lang w:val="en-US"/>
    </w:rPr>
  </w:style>
  <w:style w:type="paragraph" w:styleId="Style32">
    <w:name w:val="Таблица текст"/>
    <w:basedOn w:val="Normal"/>
    <w:qFormat/>
    <w:pPr>
      <w:spacing w:before="40" w:after="40"/>
      <w:ind w:left="57" w:right="57" w:hanging="0"/>
    </w:pPr>
    <w:rPr>
      <w:lang w:val="ru-RU"/>
    </w:rPr>
  </w:style>
  <w:style w:type="paragraph" w:styleId="35">
    <w:name w:val="Знак Знак Знак Знак Знак Знак Знак Знак Знак3"/>
    <w:basedOn w:val="Normal"/>
    <w:qFormat/>
    <w:pPr>
      <w:spacing w:lineRule="exact" w:line="240" w:before="0" w:after="160"/>
      <w:jc w:val="both"/>
    </w:pPr>
    <w:rPr>
      <w:rFonts w:ascii="Verdana" w:hAnsi="Verdana" w:cs="Verdana"/>
      <w:sz w:val="22"/>
      <w:szCs w:val="20"/>
      <w:lang w:val="en-US"/>
    </w:rPr>
  </w:style>
  <w:style w:type="paragraph" w:styleId="21">
    <w:name w:val="Обычный2"/>
    <w:qFormat/>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zh-CN" w:bidi="ar-SA"/>
    </w:rPr>
  </w:style>
  <w:style w:type="paragraph" w:styleId="Style33">
    <w:name w:val="Обычный (веб)"/>
    <w:basedOn w:val="Normal"/>
    <w:qFormat/>
    <w:pPr>
      <w:spacing w:before="280" w:after="280"/>
      <w:ind w:right="150" w:hanging="0"/>
    </w:pPr>
    <w:rPr>
      <w:rFonts w:ascii="Tahoma" w:hAnsi="Tahoma" w:cs="Tahoma"/>
      <w:color w:val="000000"/>
      <w:sz w:val="20"/>
      <w:szCs w:val="20"/>
      <w:lang w:val="ru-RU"/>
    </w:rPr>
  </w:style>
  <w:style w:type="paragraph" w:styleId="BodyTextIndent">
    <w:name w:val="Body Text Indent"/>
    <w:basedOn w:val="Normal"/>
    <w:pPr>
      <w:spacing w:before="0" w:after="120"/>
      <w:ind w:left="283" w:hanging="0"/>
    </w:pPr>
    <w:rPr>
      <w:lang w:val="ru-RU"/>
    </w:rPr>
  </w:style>
  <w:style w:type="paragraph" w:styleId="36">
    <w:name w:val="Нумерованный список ур3"/>
    <w:basedOn w:val="Normal"/>
    <w:qFormat/>
    <w:pPr>
      <w:numPr>
        <w:ilvl w:val="0"/>
        <w:numId w:val="5"/>
      </w:numPr>
      <w:suppressAutoHyphens w:val="true"/>
      <w:jc w:val="both"/>
    </w:pPr>
    <w:rPr>
      <w:rFonts w:ascii="Garamond" w:hAnsi="Garamond" w:cs="Garamond"/>
      <w:szCs w:val="20"/>
      <w:lang w:val="ru-RU"/>
    </w:rPr>
  </w:style>
  <w:style w:type="paragraph" w:styleId="41">
    <w:name w:val="Маркированный список 41"/>
    <w:basedOn w:val="Normal"/>
    <w:qFormat/>
    <w:pPr>
      <w:numPr>
        <w:ilvl w:val="0"/>
        <w:numId w:val="5"/>
      </w:numPr>
      <w:suppressAutoHyphens w:val="true"/>
      <w:spacing w:before="120" w:after="0"/>
      <w:jc w:val="both"/>
    </w:pPr>
    <w:rPr>
      <w:rFonts w:ascii="Garamond" w:hAnsi="Garamond" w:cs="Garamond"/>
      <w:szCs w:val="20"/>
      <w:lang w:val="ru-RU"/>
    </w:rPr>
  </w:style>
  <w:style w:type="paragraph" w:styleId="22">
    <w:name w:val="Нумерованный список ур2"/>
    <w:basedOn w:val="Normal"/>
    <w:qFormat/>
    <w:pPr>
      <w:numPr>
        <w:ilvl w:val="0"/>
        <w:numId w:val="5"/>
      </w:numPr>
      <w:suppressAutoHyphens w:val="true"/>
      <w:spacing w:before="120" w:after="0"/>
      <w:jc w:val="both"/>
    </w:pPr>
    <w:rPr>
      <w:rFonts w:ascii="Garamond" w:hAnsi="Garamond" w:cs="Garamond"/>
      <w:szCs w:val="20"/>
      <w:lang w:val="ru-RU"/>
    </w:rPr>
  </w:style>
  <w:style w:type="paragraph" w:styleId="Style34">
    <w:name w:val="Название раздела инструкции"/>
    <w:basedOn w:val="Normal"/>
    <w:qFormat/>
    <w:pPr>
      <w:widowControl w:val="false"/>
      <w:numPr>
        <w:ilvl w:val="0"/>
        <w:numId w:val="3"/>
      </w:numPr>
      <w:suppressAutoHyphens w:val="true"/>
      <w:ind w:left="0" w:hanging="0"/>
      <w:jc w:val="both"/>
    </w:pPr>
    <w:rPr>
      <w:sz w:val="20"/>
      <w:szCs w:val="20"/>
      <w:lang w:val="ru-RU"/>
    </w:rPr>
  </w:style>
  <w:style w:type="paragraph" w:styleId="Style35">
    <w:name w:val="Содержимое таблицы"/>
    <w:basedOn w:val="Normal"/>
    <w:qFormat/>
    <w:pPr>
      <w:widowControl w:val="false"/>
      <w:suppressLineNumbers/>
    </w:pPr>
    <w:rPr/>
  </w:style>
  <w:style w:type="paragraph" w:styleId="Style36">
    <w:name w:val="Заголовок таблицы"/>
    <w:basedOn w:val="Style35"/>
    <w:qFormat/>
    <w:pPr>
      <w:suppressLineNumbers/>
      <w:jc w:val="center"/>
    </w:pPr>
    <w:rPr>
      <w:b/>
      <w:bCs/>
    </w:rPr>
  </w:style>
  <w:style w:type="paragraph" w:styleId="Style37">
    <w:name w:val="Таблица шапка"/>
    <w:basedOn w:val="Normal"/>
    <w:qFormat/>
    <w:pPr>
      <w:keepNext w:val="true"/>
      <w:spacing w:before="40" w:after="40"/>
      <w:ind w:left="57" w:right="57" w:hanging="0"/>
    </w:pPr>
    <w:rPr>
      <w:sz w:val="22"/>
      <w:szCs w:val="26"/>
    </w:rPr>
  </w:style>
  <w:style w:type="paragraph" w:styleId="ListParagraph">
    <w:name w:val="List Paragraph"/>
    <w:basedOn w:val="Normal"/>
    <w:qFormat/>
    <w:pPr>
      <w:spacing w:before="0" w:after="0"/>
      <w:ind w:left="720" w:hanging="0"/>
      <w:contextualSpacing/>
    </w:pPr>
    <w:rPr>
      <w:rFonts w:eastAsia="Calibri"/>
      <w:sz w:val="24"/>
      <w:szCs w:val="24"/>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Num28">
    <w:name w:val="WW8Num28"/>
    <w:qFormat/>
  </w:style>
  <w:style w:type="numbering" w:styleId="WW8Num29">
    <w:name w:val="WW8Num29"/>
    <w:qFormat/>
  </w:style>
  <w:style w:type="numbering" w:styleId="WW8Num30">
    <w:name w:val="WW8Num30"/>
    <w:qFormat/>
  </w:style>
  <w:style w:type="numbering" w:styleId="WW8Num31">
    <w:name w:val="WW8Num31"/>
    <w:qFormat/>
  </w:style>
  <w:style w:type="numbering" w:styleId="WW8Num32">
    <w:name w:val="WW8Num32"/>
    <w:qFormat/>
  </w:style>
  <w:style w:type="numbering" w:styleId="WW8Num33">
    <w:name w:val="WW8Num3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atveevAV@rushydro.ru"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241</TotalTime>
  <Application>AlterOffice/2025.3.1.0$Linux_X86_64 LibreOffice_project/6648c49ab2ca125dff246c75ec00a85a64baa8dd</Application>
  <AppVersion>15.0000</AppVersion>
  <Pages>17</Pages>
  <Words>5984</Words>
  <Characters>41991</Characters>
  <CharactersWithSpaces>47707</CharactersWithSpaces>
  <Paragraphs>445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2026-03-31T15:24:00Z</dcterms:created>
  <dc:creator>UK VoHEC</dc:creator>
  <dc:description/>
  <dc:language>ru-RU</dc:language>
  <cp:lastModifiedBy>matveevav@corp.gidroogk.com</cp:lastModifiedBy>
  <cp:lastPrinted>2018-01-22T10:17:00Z</cp:lastPrinted>
  <dcterms:modified xsi:type="dcterms:W3CDTF">2026-09-21T10:54:32Z</dcterms:modified>
  <cp:revision>8</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