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footer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right"/>
        <w:rPr>
          <w:rFonts w:ascii="Times New Roman" w:hAnsi="Times New Roman" w:cs="Calibri"/>
          <w:sz w:val="24"/>
          <w:szCs w:val="24"/>
        </w:rPr>
      </w:pPr>
      <w:r>
        <w:rPr>
          <w:rFonts w:cs="Calibri"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tabs>
          <w:tab w:val="clear" w:pos="708"/>
          <w:tab w:val="left" w:pos="8070" w:leader="none"/>
        </w:tabs>
        <w:spacing w:lineRule="auto" w:line="264" w:before="0" w:after="0"/>
        <w:ind w:firstLine="851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  <w:tab/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cs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widowControl w:val="false"/>
        <w:spacing w:lineRule="auto" w:line="264" w:before="0" w:after="0"/>
        <w:ind w:firstLine="851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  <w:lang w:eastAsia="ru-RU"/>
        </w:rPr>
        <w:t>Технические требования на поставку МТР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Style w:val="Strong1"/>
          <w:rFonts w:cs="Times New Roman" w:ascii="Times New Roman" w:hAnsi="Times New Roman"/>
          <w:b w:val="false"/>
          <w:color w:val="000000"/>
          <w:sz w:val="28"/>
          <w:szCs w:val="28"/>
          <w:lang w:eastAsia="ru-RU"/>
        </w:rPr>
        <w:t>ОКПД 2: 26.30.50.131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 П</w:t>
      </w:r>
      <w:r>
        <w:rPr>
          <w:rFonts w:ascii="Times New Roman" w:hAnsi="Times New Roman"/>
          <w:sz w:val="28"/>
          <w:szCs w:val="28"/>
        </w:rPr>
        <w:t>оставка досмотрового оборудования</w:t>
      </w:r>
    </w:p>
    <w:p>
      <w:pPr>
        <w:pStyle w:val="Normal"/>
        <w:widowControl w:val="false"/>
        <w:spacing w:lineRule="auto" w:line="264" w:before="0" w:after="0"/>
        <w:jc w:val="center"/>
        <w:rPr/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  <w:t>для нужд Кубанского филиала.</w:t>
      </w:r>
    </w:p>
    <w:p>
      <w:pPr>
        <w:pStyle w:val="Normal"/>
        <w:widowControl w:val="false"/>
        <w:spacing w:lineRule="auto" w:line="264" w:before="0" w:after="0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cs="Times New Roman" w:ascii="Times New Roman" w:hAnsi="Times New Roman"/>
          <w:color w:val="000000"/>
          <w:sz w:val="28"/>
          <w:szCs w:val="28"/>
          <w:lang w:eastAsia="ru-RU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pacing w:lineRule="auto" w:line="264" w:before="0" w:after="0"/>
        <w:ind w:firstLine="851" w:lef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widowControl w:val="false"/>
        <w:numPr>
          <w:ilvl w:val="0"/>
          <w:numId w:val="0"/>
        </w:numPr>
        <w:shd w:val="clear" w:color="auto" w:fill="FFFFFF"/>
        <w:spacing w:lineRule="auto" w:line="264" w:before="0" w:after="0"/>
        <w:ind w:firstLine="851" w:left="0"/>
        <w:jc w:val="center"/>
        <w:outlineLvl w:val="1"/>
        <w:rPr>
          <w:sz w:val="24"/>
          <w:szCs w:val="24"/>
        </w:rPr>
      </w:pPr>
      <w:bookmarkStart w:id="0" w:name="_Toc125476049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СОДЕРЖАНИЕ</w:t>
      </w:r>
      <w:bookmarkEnd w:id="0"/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shd w:fill="FFFFFF" w:val="clear"/>
          <w:lang w:eastAsia="ru-RU"/>
        </w:rPr>
        <w:t>1.Общие сведения………………………………………………………………………….……………..3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1.1.</w:t>
        <w:tab/>
        <w:t>Наименование закупаемой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……………………………………………………………</w:t>
      </w:r>
      <w:r>
        <w:rPr>
          <w:rFonts w:cs="Calibri" w:ascii="Times New Roman" w:hAnsi="Times New Roman"/>
          <w:color w:val="000000"/>
          <w:sz w:val="24"/>
          <w:szCs w:val="24"/>
        </w:rPr>
        <w:t>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1.2.</w:t>
        <w:tab/>
        <w:t>Цель использования закупаемой продукции.…………………………………………………….3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2.Требования к продукции.………………………………………………………………………………3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2.1.1</w:t>
        <w:tab/>
        <w:t>Перечень и объем закупаемой продукции………………………………………………………..3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1.1 Перечень и объем закупаемой продукции………………………………………………..3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left" w:pos="567" w:leader="none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Calibri" w:ascii="Times New Roman" w:hAnsi="Times New Roman"/>
          <w:color w:val="000000"/>
          <w:sz w:val="24"/>
          <w:szCs w:val="24"/>
        </w:rPr>
        <w:t>2.1.2</w:t>
        <w:tab/>
        <w:t>Требования к срокам поставки продукции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……………………………………………………….</w:t>
      </w:r>
      <w:r>
        <w:rPr>
          <w:rFonts w:cs="Calibri" w:ascii="Times New Roman" w:hAnsi="Times New Roman"/>
          <w:color w:val="000000"/>
          <w:sz w:val="24"/>
          <w:szCs w:val="24"/>
          <w:lang w:eastAsia="ru-RU"/>
        </w:rPr>
        <w:t>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2.1 Требования по срокам поставки продукции……………………………………………...3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2.2 Требование к качеству продукции    ………………………………………………………………..3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Таблица 3. Требования к продукции…………………………………………………………………….4</w:t>
      </w:r>
    </w:p>
    <w:p>
      <w:pPr>
        <w:pStyle w:val="Normal"/>
        <w:shd w:val="clear" w:color="auto" w:fill="FFFFFF"/>
        <w:tabs>
          <w:tab w:val="clear" w:pos="708"/>
          <w:tab w:val="right" w:pos="10138" w:leader="dot"/>
        </w:tabs>
        <w:spacing w:lineRule="auto" w:line="276" w:before="0" w:after="100"/>
        <w:rPr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3. Требования к документации по ценообразованию на этапе закупки...………………………..…...8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hanging="0" w:left="0"/>
        <w:outlineLvl w:val="0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cs="Times New Roman" w:ascii="Times New Roman" w:hAnsi="Times New Roman"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b/>
          <w:bCs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hanging="0" w:left="720"/>
        <w:jc w:val="center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1. Общ</w:t>
      </w:r>
      <w:bookmarkStart w:id="1" w:name="_Toc51339692"/>
      <w:bookmarkStart w:id="2" w:name="_Toc125476050"/>
      <w:bookmarkStart w:id="3" w:name="_Toc125473240"/>
      <w:bookmarkStart w:id="4" w:name="_Toc75446566"/>
      <w:r>
        <w:rPr>
          <w:rFonts w:cs="Times New Roman" w:ascii="Times New Roman" w:hAnsi="Times New Roman"/>
          <w:b/>
          <w:sz w:val="24"/>
          <w:szCs w:val="24"/>
          <w:lang w:eastAsia="x-none"/>
        </w:rPr>
        <w:t>ие сведения</w:t>
      </w:r>
      <w:bookmarkEnd w:id="1"/>
      <w:bookmarkEnd w:id="2"/>
      <w:bookmarkEnd w:id="3"/>
      <w:bookmarkEnd w:id="4"/>
    </w:p>
    <w:p>
      <w:pPr>
        <w:pStyle w:val="Normal"/>
        <w:numPr>
          <w:ilvl w:val="0"/>
          <w:numId w:val="0"/>
        </w:numPr>
        <w:spacing w:lineRule="auto" w:line="240" w:before="120" w:after="60"/>
        <w:ind w:hanging="0" w:left="720"/>
        <w:jc w:val="center"/>
        <w:outlineLvl w:val="0"/>
        <w:rPr>
          <w:rFonts w:ascii="Times New Roman" w:hAnsi="Times New Roman" w:cs="Times New Roman"/>
          <w:b/>
          <w:lang w:eastAsia="x-none"/>
        </w:rPr>
      </w:pPr>
      <w:r>
        <w:rPr>
          <w:rFonts w:cs="Times New Roman" w:ascii="Times New Roman" w:hAnsi="Times New Roman"/>
          <w:b/>
          <w:lang w:eastAsia="x-none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5" w:name="_Toc125473241"/>
      <w:bookmarkStart w:id="6" w:name="_Toc125476051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Наименование закупаемой продукции.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 xml:space="preserve"> </w:t>
      </w:r>
    </w:p>
    <w:p>
      <w:pPr>
        <w:pStyle w:val="Normal"/>
        <w:widowControl w:val="false"/>
        <w:spacing w:lineRule="auto" w:line="264" w:before="0" w:after="0"/>
        <w:jc w:val="both"/>
        <w:rPr>
          <w:sz w:val="24"/>
          <w:szCs w:val="24"/>
        </w:rPr>
      </w:pPr>
      <w:r>
        <w:rPr>
          <w:rStyle w:val="Strong1"/>
          <w:rFonts w:cs="Times New Roman" w:ascii="Times New Roman" w:hAnsi="Times New Roman"/>
          <w:b w:val="false"/>
          <w:color w:val="000000"/>
          <w:sz w:val="24"/>
          <w:szCs w:val="24"/>
          <w:lang w:eastAsia="ru-RU"/>
        </w:rPr>
        <w:t>ОКПД 2: 26.30.50.131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 xml:space="preserve"> П</w:t>
      </w:r>
      <w:r>
        <w:rPr>
          <w:rFonts w:ascii="Times New Roman" w:hAnsi="Times New Roman"/>
          <w:sz w:val="24"/>
          <w:szCs w:val="24"/>
        </w:rPr>
        <w:t xml:space="preserve">оставка досмотрового оборудования </w:t>
      </w:r>
      <w:r>
        <w:rPr>
          <w:rFonts w:cs="Times New Roman" w:ascii="Times New Roman" w:hAnsi="Times New Roman"/>
          <w:color w:val="000000"/>
          <w:sz w:val="24"/>
          <w:szCs w:val="24"/>
          <w:lang w:eastAsia="ru-RU"/>
        </w:rPr>
        <w:t>для нужд Кубанского филиала.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widowControl w:val="false"/>
        <w:numPr>
          <w:ilvl w:val="1"/>
          <w:numId w:val="1"/>
        </w:numPr>
        <w:spacing w:lineRule="auto" w:line="240" w:before="0" w:after="0"/>
        <w:contextualSpacing/>
        <w:outlineLvl w:val="1"/>
        <w:rPr>
          <w:sz w:val="24"/>
          <w:szCs w:val="24"/>
        </w:rPr>
      </w:pPr>
      <w:bookmarkStart w:id="7" w:name="_Toc125476052"/>
      <w:bookmarkStart w:id="8" w:name="_Toc125473242"/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ar-SA"/>
        </w:rPr>
        <w:t>Цель использования закупаемой продукции.</w:t>
      </w:r>
      <w:bookmarkEnd w:id="7"/>
      <w:bookmarkEnd w:id="8"/>
    </w:p>
    <w:p>
      <w:pPr>
        <w:pStyle w:val="Normal"/>
        <w:numPr>
          <w:ilvl w:val="1"/>
        </w:numPr>
        <w:tabs>
          <w:tab w:val="clear" w:pos="708"/>
          <w:tab w:val="left" w:pos="426" w:leader="none"/>
          <w:tab w:val="left" w:pos="993" w:leader="none"/>
        </w:tabs>
        <w:jc w:val="both"/>
        <w:rPr>
          <w:rFonts w:ascii="Times New Roman" w:hAnsi="Times New Roman" w:eastAsia="Calibri" w:cs="Times New Roman"/>
          <w:b w:val="false"/>
          <w:bCs w:val="false"/>
          <w:iCs/>
          <w:color w:val="000000"/>
          <w:kern w:val="0"/>
          <w:lang w:val="ru-RU" w:bidi="ar-SA"/>
        </w:rPr>
      </w:pPr>
      <w:r>
        <w:rPr>
          <w:rFonts w:eastAsia="Calibri" w:cs="Times New Roman" w:ascii="Times New Roman" w:hAnsi="Times New Roman"/>
          <w:b w:val="false"/>
          <w:bCs w:val="false"/>
          <w:iCs/>
          <w:color w:val="000000"/>
          <w:kern w:val="0"/>
          <w:sz w:val="24"/>
          <w:szCs w:val="24"/>
          <w:shd w:fill="FFFFFF" w:val="clear"/>
          <w:lang w:val="ru-RU" w:eastAsia="ru-RU" w:bidi="ar-SA"/>
        </w:rPr>
        <w:t>Исполнение обязательств по договору № 1190-4593-2026 от 03.09.2026г. «Строительно-монтажные работы по модернизации систем: охранной телевизионной, охранной сигнализации, охранного освещения, электропитания, контроля и управления доступом, инженерных средств защиты, оповещения на г/у на р.Большой Зеленчук Зеленчукской ГЭС-ГАЭС», заключенного между Филиала ПАО «РусГидро» - «Карачаево-Черкесский филиал и АО «Гидроремонт-ВКК».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0"/>
        <w:ind w:hanging="0" w:left="0"/>
        <w:jc w:val="center"/>
        <w:outlineLvl w:val="0"/>
        <w:rPr>
          <w:sz w:val="24"/>
          <w:szCs w:val="24"/>
        </w:rPr>
      </w:pPr>
      <w:bookmarkStart w:id="9" w:name="_Toc125476056"/>
      <w:bookmarkStart w:id="10" w:name="_Toc125473249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 xml:space="preserve">2. </w:t>
      </w:r>
      <w:bookmarkStart w:id="11" w:name="_Toc75446573"/>
      <w:bookmarkStart w:id="12" w:name="_Toc51339693"/>
      <w:r>
        <w:rPr>
          <w:rFonts w:cs="Times New Roman" w:ascii="Times New Roman" w:hAnsi="Times New Roman"/>
          <w:b/>
          <w:iCs/>
          <w:sz w:val="24"/>
          <w:szCs w:val="24"/>
          <w:lang w:val="x-none" w:eastAsia="x-none"/>
        </w:rPr>
        <w:t>Требования к продукции</w:t>
      </w:r>
      <w:bookmarkEnd w:id="11"/>
      <w:bookmarkEnd w:id="12"/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  <w:t>.</w:t>
      </w:r>
      <w:bookmarkEnd w:id="9"/>
      <w:bookmarkEnd w:id="10"/>
    </w:p>
    <w:p>
      <w:pPr>
        <w:pStyle w:val="Normal"/>
        <w:numPr>
          <w:ilvl w:val="0"/>
          <w:numId w:val="0"/>
        </w:numPr>
        <w:spacing w:lineRule="auto" w:line="240" w:before="120" w:after="0"/>
        <w:ind w:hanging="0" w:left="717"/>
        <w:jc w:val="center"/>
        <w:outlineLvl w:val="0"/>
        <w:rPr>
          <w:rFonts w:ascii="Times New Roman" w:hAnsi="Times New Roman" w:cs="Times New Roman"/>
          <w:b/>
          <w:iCs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iCs/>
          <w:sz w:val="24"/>
          <w:szCs w:val="24"/>
          <w:lang w:eastAsia="x-none"/>
        </w:rPr>
      </w:r>
    </w:p>
    <w:p>
      <w:pPr>
        <w:pStyle w:val="Normal"/>
        <w:keepNext w:val="true"/>
        <w:numPr>
          <w:ilvl w:val="1"/>
          <w:numId w:val="3"/>
        </w:numPr>
        <w:spacing w:lineRule="auto" w:line="240" w:before="120" w:after="0"/>
        <w:ind w:hanging="567" w:left="567"/>
        <w:outlineLvl w:val="3"/>
        <w:rPr>
          <w:sz w:val="24"/>
          <w:szCs w:val="24"/>
        </w:rPr>
      </w:pPr>
      <w:bookmarkStart w:id="13" w:name="_Toc754465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Требования к объемам и срокам постав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>ки</w:t>
      </w:r>
      <w:bookmarkEnd w:id="13"/>
    </w:p>
    <w:p>
      <w:pPr>
        <w:pStyle w:val="Normal"/>
        <w:keepNext w:val="true"/>
        <w:numPr>
          <w:ilvl w:val="2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hanging="1227" w:left="1227"/>
        <w:outlineLvl w:val="2"/>
        <w:rPr>
          <w:sz w:val="24"/>
          <w:szCs w:val="24"/>
        </w:rPr>
      </w:pPr>
      <w:bookmarkStart w:id="14" w:name="_Toc75446575"/>
      <w:bookmarkStart w:id="15" w:name="_Toc125476057"/>
      <w:bookmarkStart w:id="16" w:name="_Toc125473250"/>
      <w:r>
        <w:rPr>
          <w:rFonts w:cs="Times New Roman" w:ascii="Times New Roman" w:hAnsi="Times New Roman"/>
          <w:b/>
          <w:sz w:val="24"/>
          <w:szCs w:val="24"/>
          <w:lang w:eastAsia="x-none"/>
        </w:rPr>
        <w:t>Перечень и объем закупаемой продукции</w:t>
      </w:r>
      <w:bookmarkEnd w:id="14"/>
      <w:bookmarkEnd w:id="15"/>
      <w:bookmarkEnd w:id="16"/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bookmarkStart w:id="17" w:name="_Toc75446576"/>
      <w:bookmarkStart w:id="18" w:name="_Toc125476058"/>
      <w:bookmarkStart w:id="19" w:name="_Toc125473251"/>
      <w:bookmarkStart w:id="20" w:name="_Toc51339695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1.1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Перечень </w:t>
      </w:r>
      <w:bookmarkEnd w:id="20"/>
      <w:r>
        <w:rPr>
          <w:rFonts w:cs="Times New Roman" w:ascii="Times New Roman" w:hAnsi="Times New Roman"/>
          <w:b/>
          <w:sz w:val="24"/>
          <w:szCs w:val="24"/>
          <w:lang w:eastAsia="x-none"/>
        </w:rPr>
        <w:t>и объем закупаемой продукции</w:t>
      </w:r>
      <w:bookmarkEnd w:id="17"/>
      <w:bookmarkEnd w:id="18"/>
      <w:bookmarkEnd w:id="19"/>
    </w:p>
    <w:tbl>
      <w:tblPr>
        <w:tblW w:w="10258" w:type="dxa"/>
        <w:jc w:val="left"/>
        <w:tblInd w:w="11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94"/>
        <w:gridCol w:w="6637"/>
        <w:gridCol w:w="1331"/>
        <w:gridCol w:w="1395"/>
      </w:tblGrid>
      <w:tr>
        <w:trPr/>
        <w:tc>
          <w:tcPr>
            <w:tcW w:w="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№</w:t>
            </w:r>
          </w:p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Количес</w:t>
            </w:r>
            <w:r>
              <w:rPr>
                <w:rFonts w:cs="Times New Roman" w:ascii="Times New Roman" w:hAnsi="Times New Roman"/>
                <w:sz w:val="24"/>
                <w:szCs w:val="24"/>
              </w:rPr>
              <w:t>тво</w:t>
            </w:r>
          </w:p>
        </w:tc>
      </w:tr>
      <w:tr>
        <w:trPr>
          <w:trHeight w:val="351" w:hRule="atLeast"/>
        </w:trPr>
        <w:tc>
          <w:tcPr>
            <w:tcW w:w="8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spacing w:before="0" w:after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6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spacing w:before="0" w:after="160"/>
              <w:rPr>
                <w:b w:val="false"/>
                <w:bCs w:val="false"/>
              </w:rPr>
            </w:pPr>
            <w:r>
              <w:rPr>
                <w:rFonts w:ascii="Times New Roman" w:hAnsi="Times New Roman"/>
                <w:b w:val="false"/>
                <w:bCs w:val="false"/>
                <w:color w:val="000000"/>
                <w:sz w:val="24"/>
                <w:szCs w:val="24"/>
              </w:rPr>
              <w:t>Ионно-дрейфовый детектор ИДД Кербер-Т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шт</w:t>
            </w:r>
          </w:p>
        </w:tc>
        <w:tc>
          <w:tcPr>
            <w:tcW w:w="13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</w:tr>
    </w:tbl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/>
        <w:outlineLvl w:val="2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0"/>
        </w:numPr>
        <w:tabs>
          <w:tab w:val="clear" w:pos="708"/>
          <w:tab w:val="left" w:pos="567" w:leader="none"/>
        </w:tabs>
        <w:spacing w:lineRule="auto" w:line="240" w:before="120" w:after="0"/>
        <w:ind w:hanging="0" w:left="0"/>
        <w:outlineLvl w:val="2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  <w:t>2.1.2. Требования к срокам поставки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bookmarkStart w:id="21" w:name="_Toc125473253"/>
      <w:bookmarkStart w:id="22" w:name="_Toc75446579"/>
      <w:bookmarkStart w:id="23" w:name="_Toc125476060"/>
      <w:bookmarkStart w:id="24" w:name="_Toc51339697"/>
      <w:bookmarkStart w:id="25" w:name="_Toc50125127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>2.1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Start w:id="26" w:name="_Hlk5046528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по срокам </w:t>
      </w:r>
      <w:bookmarkEnd w:id="24"/>
      <w:bookmarkEnd w:id="25"/>
      <w:bookmarkEnd w:id="26"/>
      <w:r>
        <w:rPr>
          <w:rFonts w:cs="Times New Roman" w:ascii="Times New Roman" w:hAnsi="Times New Roman"/>
          <w:b/>
          <w:sz w:val="24"/>
          <w:szCs w:val="24"/>
          <w:lang w:eastAsia="x-none"/>
        </w:rPr>
        <w:t>поставки продукции</w:t>
      </w:r>
      <w:bookmarkEnd w:id="21"/>
      <w:bookmarkEnd w:id="22"/>
      <w:bookmarkEnd w:id="23"/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</w:t>
      </w:r>
    </w:p>
    <w:tbl>
      <w:tblPr>
        <w:tblW w:w="10217" w:type="dxa"/>
        <w:jc w:val="left"/>
        <w:tblInd w:w="1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71"/>
        <w:gridCol w:w="3549"/>
        <w:gridCol w:w="2241"/>
        <w:gridCol w:w="3555"/>
      </w:tblGrid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Наименование продукции/ партии продукции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началу срока поставки продукции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40" w:after="0"/>
              <w:ind w:hanging="0" w:left="57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hd w:val="clear" w:color="auto" w:fill="FFFFFF"/>
              <w:spacing w:lineRule="auto" w:line="240" w:before="0" w:after="0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fill="FFFFFF" w:val="clear"/>
                <w:lang w:eastAsia="ru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shd w:fill="FFFFFF" w:val="clear"/>
                <w:lang w:eastAsia="ru-RU"/>
              </w:rPr>
            </w:r>
          </w:p>
        </w:tc>
        <w:tc>
          <w:tcPr>
            <w:tcW w:w="3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lineRule="auto" w:line="264" w:before="0" w:after="0"/>
              <w:jc w:val="left"/>
              <w:rPr/>
            </w:pPr>
            <w:r>
              <w:rPr>
                <w:rStyle w:val="Strong1"/>
                <w:rFonts w:cs="Times New Roman" w:ascii="Times New Roman" w:hAnsi="Times New Roman"/>
                <w:b w:val="false"/>
                <w:color w:val="000000"/>
                <w:sz w:val="24"/>
                <w:szCs w:val="24"/>
                <w:lang w:eastAsia="ru-RU"/>
              </w:rPr>
              <w:t>ОКПД 2: 26.30.50.131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r>
              <w:rPr>
                <w:rFonts w:ascii="Times New Roman" w:hAnsi="Times New Roman"/>
                <w:sz w:val="24"/>
                <w:szCs w:val="24"/>
              </w:rPr>
              <w:t>оставка досмотрового оборудования</w:t>
            </w:r>
          </w:p>
          <w:p>
            <w:pPr>
              <w:pStyle w:val="Normal"/>
              <w:widowControl w:val="false"/>
              <w:spacing w:lineRule="auto" w:line="264" w:before="0" w:after="0"/>
              <w:jc w:val="left"/>
              <w:rPr/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для нужд Кубанского филиала.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cs="Calibri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подписания договора</w:t>
            </w:r>
          </w:p>
        </w:tc>
        <w:tc>
          <w:tcPr>
            <w:tcW w:w="3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FFFFFF" w:val="clear"/>
                <w:lang w:eastAsia="ru-RU"/>
              </w:rPr>
              <w:t>в течение 30 календарных дней с даты подписания договора</w:t>
            </w:r>
          </w:p>
        </w:tc>
      </w:tr>
    </w:tbl>
    <w:p>
      <w:pPr>
        <w:pStyle w:val="Normal"/>
        <w:spacing w:lineRule="auto" w:line="240" w:before="0" w:after="0"/>
        <w:rPr>
          <w:rFonts w:ascii="Times New Roman" w:hAnsi="Times New Roman" w:cs="Times New Roman"/>
          <w:b/>
          <w:sz w:val="24"/>
          <w:szCs w:val="24"/>
          <w:lang w:eastAsia="x-none"/>
        </w:rPr>
      </w:pPr>
      <w:r>
        <w:rPr>
          <w:rFonts w:cs="Times New Roman" w:ascii="Times New Roman" w:hAnsi="Times New Roman"/>
          <w:b/>
          <w:sz w:val="24"/>
          <w:szCs w:val="24"/>
          <w:lang w:eastAsia="x-none"/>
        </w:rPr>
      </w:r>
      <w:bookmarkStart w:id="27" w:name="_Toc125473255_Копия_1_Копия_1_Копия_1_Ко"/>
      <w:bookmarkStart w:id="28" w:name="_Toc125476061_Копия_1_Копия_1_Копия_1_Ко"/>
      <w:bookmarkStart w:id="29" w:name="_Toc125473255_Копия_1_Копия_1_Копия_1_Ко"/>
      <w:bookmarkStart w:id="30" w:name="_Toc125476061_Копия_1_Копия_1_Копия_1_Ко"/>
      <w:bookmarkStart w:id="31" w:name="_Toc125473255_Копия_1_Копия_1_Копия_1_Ко"/>
      <w:bookmarkStart w:id="32" w:name="_Toc125476061_Копия_1_Копия_1_Копия_1_Ко"/>
      <w:bookmarkStart w:id="33" w:name="_Toc125473255_Копия_1_Копия_1_Копия_1_Ко"/>
      <w:bookmarkStart w:id="34" w:name="_Toc125476061_Копия_1_Копия_1_Копия_1_Ко"/>
      <w:bookmarkStart w:id="35" w:name="_Toc125476061_Копия_1_Копия_1_Копия_1"/>
      <w:bookmarkStart w:id="36" w:name="_Toc125473255_Копия_1_Копия_1_Копия_1"/>
      <w:bookmarkStart w:id="37" w:name="_Toc125476061_Копия_1"/>
      <w:bookmarkStart w:id="38" w:name="_Toc125476061_Копия_1_Копия_1"/>
      <w:bookmarkStart w:id="39" w:name="_Toc125473255_Копия_1"/>
      <w:bookmarkStart w:id="40" w:name="_Toc125473255_Копия_1_Копия_1"/>
      <w:bookmarkStart w:id="41" w:name="_Toc125473255_Копия_1_Копия_1_Копия_1_Ко"/>
      <w:bookmarkStart w:id="42" w:name="_Toc125476061_Копия_1_Копия_1_Копия_1_Ко"/>
      <w:bookmarkStart w:id="43" w:name="_Toc125473255_Копия_1_Копия_1_Копия_1_Ко"/>
      <w:bookmarkStart w:id="44" w:name="_Toc125476061_Копия_1_Копия_1_Копия_1_Ко"/>
      <w:bookmarkStart w:id="45" w:name="_Toc125473255_Копия_1_Копия_1_Копия_1_Ко"/>
      <w:bookmarkStart w:id="46" w:name="_Toc125476061_Копия_1_Копия_1_Копия_1_Ко"/>
      <w:bookmarkStart w:id="47" w:name="_Toc125473255_Копия_1_Копия_1_Копия_1_Ко"/>
      <w:bookmarkStart w:id="48" w:name="_Toc125476061_Копия_1_Копия_1_Копия_1_Ко"/>
      <w:bookmarkStart w:id="49" w:name="_Toc125473255_Копия_1_Копия_1_Копия_1_Ко"/>
      <w:bookmarkStart w:id="50" w:name="_Toc125476061_Копия_1_Копия_1_Копия_1_Ко"/>
      <w:bookmarkStart w:id="51" w:name="_Toc125473255_Копия_1_Копия_1_Копия_1_Ко"/>
      <w:bookmarkStart w:id="52" w:name="_Toc125476061_Копия_1_Копия_1_Копия_1_Ко"/>
      <w:bookmarkStart w:id="53" w:name="_Toc125473255_Копия_1_Копия_1_Копия_1_Ко"/>
      <w:bookmarkStart w:id="54" w:name="_Toc125476061_Копия_1_Копия_1_Копия_1_Ко"/>
      <w:bookmarkStart w:id="55" w:name="_Toc125473255_Копия_1_Копия_1_Копия_1_Ко"/>
      <w:bookmarkStart w:id="56" w:name="_Toc125476061_Копия_1_Копия_1_Копия_1_Ко"/>
      <w:bookmarkStart w:id="57" w:name="_Toc125476061_Копия_1_Копия_1_Копия_1"/>
      <w:bookmarkStart w:id="58" w:name="_Toc125473255_Копия_1_Копия_1_Копия_1"/>
      <w:bookmarkStart w:id="59" w:name="_Toc125476061_Копия_1"/>
      <w:bookmarkStart w:id="60" w:name="_Toc125476061_Копия_1_Копия_1"/>
      <w:bookmarkStart w:id="61" w:name="_Toc125473255_Копия_1"/>
      <w:bookmarkStart w:id="62" w:name="_Toc125473255_Копия_1_Копия_1"/>
      <w:bookmarkStart w:id="63" w:name="_Toc125473255_Копия_1_Копия_1_Копия_1_Ко"/>
      <w:bookmarkStart w:id="64" w:name="_Toc125476061_Копия_1_Копия_1_Копия_1_Ко"/>
      <w:bookmarkStart w:id="65" w:name="_Toc125473255_Копия_1_Копия_1_Копия_1_Ко"/>
      <w:bookmarkStart w:id="66" w:name="_Toc125476061_Копия_1_Копия_1_Копия_1_Ко"/>
      <w:bookmarkStart w:id="67" w:name="_Toc125473255_Копия_1_Копия_1_Копия_1_Ко"/>
      <w:bookmarkStart w:id="68" w:name="_Toc125476061_Копия_1_Копия_1_Копия_1_Ко"/>
      <w:bookmarkStart w:id="69" w:name="_Toc125473255_Копия_1_Копия_1_Копия_1_Ко"/>
      <w:bookmarkStart w:id="70" w:name="_Toc125476061_Копия_1_Копия_1_Копия_1_Ко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</w:p>
    <w:p>
      <w:pPr>
        <w:sectPr>
          <w:footerReference w:type="default" r:id="rId2"/>
          <w:type w:val="nextPage"/>
          <w:pgSz w:w="11906" w:h="16838"/>
          <w:pgMar w:left="1134" w:right="624" w:gutter="0" w:header="0" w:top="454" w:footer="0" w:bottom="454"/>
          <w:pgNumType w:fmt="decimal"/>
          <w:formProt w:val="false"/>
          <w:textDirection w:val="lrTb"/>
          <w:docGrid w:type="default" w:linePitch="360" w:charSpace="65536"/>
        </w:sectPr>
        <w:pStyle w:val="Normal"/>
        <w:spacing w:lineRule="auto" w:line="240" w:before="0" w:after="0"/>
        <w:rPr>
          <w:sz w:val="24"/>
          <w:szCs w:val="24"/>
        </w:rPr>
      </w:pPr>
      <w:bookmarkStart w:id="71" w:name="_Toc125473255_Копия_1_Копия_1_Копия_1_Ко"/>
      <w:bookmarkStart w:id="72" w:name="_Toc125476061_Копия_1_Копия_1_Копия_1_Ко"/>
      <w:bookmarkEnd w:id="71"/>
      <w:bookmarkEnd w:id="72"/>
      <w:r>
        <w:rPr>
          <w:rFonts w:cs="Times New Roman" w:ascii="Times New Roman" w:hAnsi="Times New Roman"/>
          <w:b/>
          <w:sz w:val="24"/>
          <w:szCs w:val="24"/>
          <w:lang w:eastAsia="x-none"/>
        </w:rPr>
        <w:t>2.2</w:t>
      </w:r>
      <w:r>
        <w:rPr>
          <w:rFonts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Требования к качеству продукции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ind w:hanging="0" w:left="0"/>
        <w:outlineLvl w:val="0"/>
        <w:rPr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                    </w:t>
      </w:r>
      <w:bookmarkStart w:id="73" w:name="_Toc125473256_Копия_1"/>
      <w:bookmarkStart w:id="74" w:name="_Toc125476062_Копия_1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>Таблица 3. Требования к</w:t>
      </w:r>
      <w:r>
        <w:rPr>
          <w:rFonts w:cs="Times New Roman" w:ascii="Times New Roman" w:hAnsi="Times New Roman"/>
          <w:b/>
          <w:sz w:val="24"/>
          <w:szCs w:val="24"/>
          <w:lang w:eastAsia="x-none"/>
        </w:rPr>
        <w:t xml:space="preserve"> качеству</w:t>
      </w:r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продукции</w:t>
      </w:r>
      <w:bookmarkEnd w:id="73"/>
      <w:bookmarkEnd w:id="74"/>
      <w:r>
        <w:rPr>
          <w:rFonts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</w:p>
    <w:p>
      <w:pPr>
        <w:pStyle w:val="Normal"/>
        <w:spacing w:lineRule="auto" w:line="240" w:before="0" w:after="0"/>
        <w:ind w:hanging="0" w:left="1191"/>
        <w:rPr>
          <w:sz w:val="24"/>
          <w:szCs w:val="24"/>
        </w:rPr>
      </w:pPr>
      <w:r>
        <w:rPr>
          <w:rFonts w:eastAsia="Times New Roman" w:cs="Times New Roman" w:ascii="Times New Roman" w:hAnsi="Times New Roman"/>
          <w:bCs/>
          <w:iCs/>
          <w:sz w:val="24"/>
          <w:szCs w:val="24"/>
          <w:lang w:eastAsia="ar-SA"/>
        </w:rPr>
        <w:t xml:space="preserve"> </w:t>
      </w:r>
      <w:r>
        <w:rPr>
          <w:rFonts w:eastAsia="Times New Roman" w:cs="Times New Roman" w:ascii="Times New Roman" w:hAnsi="Times New Roman"/>
          <w:bCs/>
          <w:iCs/>
          <w:sz w:val="24"/>
          <w:szCs w:val="24"/>
          <w:shd w:fill="FFFFFF" w:val="clear"/>
          <w:lang w:eastAsia="ar-SA"/>
        </w:rPr>
        <w:t>Наименование продукции: согласно Таблицы 1.1 Перечень и объем закупаемой продукции</w:t>
      </w:r>
      <w:r>
        <w:rPr>
          <w:rFonts w:eastAsia="Times New Roman" w:cs="Times New Roman" w:ascii="Times New Roman" w:hAnsi="Times New Roman"/>
          <w:bCs/>
          <w:iCs/>
          <w:color w:val="000000"/>
          <w:sz w:val="24"/>
          <w:szCs w:val="24"/>
          <w:shd w:fill="FFFFFF" w:val="clear"/>
          <w:lang w:eastAsia="ru-RU"/>
        </w:rPr>
        <w:t>.</w:t>
      </w:r>
    </w:p>
    <w:tbl>
      <w:tblPr>
        <w:tblW w:w="14617" w:type="dxa"/>
        <w:jc w:val="left"/>
        <w:tblInd w:w="131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noVBand="0" w:noHBand="0" w:lastColumn="0" w:firstColumn="0" w:lastRow="0" w:firstRow="0"/>
      </w:tblPr>
      <w:tblGrid>
        <w:gridCol w:w="909"/>
        <w:gridCol w:w="4344"/>
        <w:gridCol w:w="4379"/>
        <w:gridCol w:w="2833"/>
        <w:gridCol w:w="2152"/>
      </w:tblGrid>
      <w:tr>
        <w:trPr>
          <w:trHeight w:val="675" w:hRule="atLeast"/>
        </w:trPr>
        <w:tc>
          <w:tcPr>
            <w:tcW w:w="9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4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параметра</w:t>
            </w:r>
          </w:p>
        </w:tc>
        <w:tc>
          <w:tcPr>
            <w:tcW w:w="4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Требование заказчика</w:t>
            </w:r>
          </w:p>
        </w:tc>
        <w:tc>
          <w:tcPr>
            <w:tcW w:w="4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Способ подтверждения участником соответствия требованиям</w:t>
            </w:r>
          </w:p>
        </w:tc>
      </w:tr>
      <w:tr>
        <w:trPr>
          <w:trHeight w:val="1305" w:hRule="atLeast"/>
        </w:trPr>
        <w:tc>
          <w:tcPr>
            <w:tcW w:w="90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4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437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Согласие с требованием/ указание характеристик</w:t>
            </w:r>
          </w:p>
        </w:tc>
        <w:tc>
          <w:tcPr>
            <w:tcW w:w="2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>
          <w:trHeight w:val="274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>
        <w:trPr>
          <w:trHeight w:val="95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83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spacing w:before="0" w:after="20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Участник должен представить в заявке согласие поставить продукцию, полностью соответствующую настоящим техническим требованиям.</w:t>
            </w:r>
          </w:p>
        </w:tc>
        <w:tc>
          <w:tcPr>
            <w:tcW w:w="21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1.1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Heading1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Ионно-дрейфовый детектор ИДД Кербер-Т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285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1.1.1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Диапазон измерения приведенной подвижности анализируемых ионов,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см2 В-1 с-1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3,7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635" w:hRule="atLeast"/>
        </w:trPr>
        <w:tc>
          <w:tcPr>
            <w:tcW w:w="909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1.1.2</w:t>
            </w:r>
          </w:p>
        </w:tc>
        <w:tc>
          <w:tcPr>
            <w:tcW w:w="4344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Диапазон детектирования малолетучих органических веществ по 2,4,6-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тринитротолуолу (ТНТ), г,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от 1,0·10-11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42" w:hRule="atLeast"/>
        </w:trPr>
        <w:tc>
          <w:tcPr>
            <w:tcW w:w="909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344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  <w:t>До 2,0·10-7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/>
              <w:suppressAutoHyphens w:val="true"/>
              <w:bidi w:val="0"/>
              <w:spacing w:lineRule="auto" w:line="259" w:before="0" w:after="160"/>
              <w:jc w:val="left"/>
              <w:rPr/>
            </w:pPr>
            <w:r>
              <w:rPr/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1.1.3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Минимальное значение концентрации паров ТНТ, полученное на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метрологически аттестованном оборудовании, г/см3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1,0·10-13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1.1.4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установления рабочего режима, мин,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1.1.5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измерения, с,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1.1.6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очистки детектора при нормальных условиях эксплуатации, мин,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1.1.7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Вероятность ложного срабатывания %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1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1.1.8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Масса, кг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более 3,7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lineRule="auto" w:line="240" w:before="0" w:after="16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1.1.9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Время непрерывной работы, ч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не менее 4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34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177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Гарантия, не менее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BodyText"/>
              <w:widowControl w:val="false"/>
              <w:spacing w:lineRule="auto" w:line="240" w:before="0"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На продукцию устанавливается гарантийный срок не менее 36 (тридцати шести) месяцев с даты ввода в эксплуатацию, но не более 42 месяцев с момента подписания Сторонами соответствующей товарной накладной по форме ТОРГ-12 или Универсального передаточного документа (УПД), но не менее гарантийных обязательств завода-изготовителя.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283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2.2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Условия выполнения гарантийных обязательств поставщика или производителя не должны включать требование привлечения, специально аккредитованных производителем организаций или специалистов.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</w:r>
          </w:p>
        </w:tc>
      </w:tr>
      <w:tr>
        <w:trPr>
          <w:trHeight w:val="51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3.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60" w:after="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6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Технический паспорт на русском языке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экземпляра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01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3.2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Сертификат страны происхождения (РФ)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95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3.3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0" w:leader="none"/>
                <w:tab w:val="left" w:pos="900" w:leader="none"/>
                <w:tab w:val="left" w:pos="1134" w:leader="none"/>
                <w:tab w:val="left" w:pos="1276" w:leader="none"/>
              </w:tabs>
              <w:suppressAutoHyphens w:val="true"/>
              <w:overflowPunct w:val="false"/>
              <w:bidi w:val="0"/>
              <w:spacing w:lineRule="auto" w:line="252" w:before="0" w:after="120"/>
              <w:ind w:hanging="0" w:left="0" w:right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shd w:fill="auto" w:val="clear"/>
                <w:lang w:eastAsia="ru-RU"/>
              </w:rPr>
              <w:t>Упаковочный лист на продукцию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 экземпляра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480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hd w:val="clear" w:fill="FFFFFF"/>
              <w:tabs>
                <w:tab w:val="clear" w:pos="708"/>
                <w:tab w:val="left" w:pos="851" w:leader="none"/>
                <w:tab w:val="left" w:pos="900" w:leader="none"/>
                <w:tab w:val="left" w:pos="1134" w:leader="none"/>
                <w:tab w:val="left" w:pos="1276" w:leader="none"/>
              </w:tabs>
              <w:spacing w:before="0" w:after="120"/>
              <w:ind w:hanging="0" w:left="0" w:right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иные документы предусмотренные п 3.3 договора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ru-RU" w:eastAsia="en-US" w:bidi="ar-SA"/>
              </w:rPr>
              <w:t>2 экземпляра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819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4"/>
                <w:szCs w:val="24"/>
              </w:rPr>
              <w:t>4.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Liberation Serif" w:hAnsi="Liberation Serif"/>
                <w:b/>
                <w:bCs/>
                <w:color w:val="000000"/>
                <w:sz w:val="24"/>
                <w:szCs w:val="24"/>
                <w:lang w:eastAsia="ru-RU"/>
              </w:rPr>
              <w:t>Требования к доставке,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</w:r>
          </w:p>
        </w:tc>
      </w:tr>
      <w:tr>
        <w:trPr>
          <w:trHeight w:val="1381" w:hRule="atLeast"/>
        </w:trPr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/>
                <w:color w:val="000000"/>
                <w:sz w:val="24"/>
                <w:szCs w:val="24"/>
              </w:rPr>
            </w:pPr>
            <w:r>
              <w:rPr>
                <w:rFonts w:ascii="Liberation Serif" w:hAnsi="Liberation Serif"/>
                <w:color w:val="000000"/>
                <w:sz w:val="24"/>
                <w:szCs w:val="24"/>
              </w:rPr>
              <w:t>4.1</w:t>
            </w:r>
          </w:p>
        </w:tc>
        <w:tc>
          <w:tcPr>
            <w:tcW w:w="434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color w:val="000000"/>
                <w:sz w:val="24"/>
                <w:szCs w:val="24"/>
                <w:lang w:eastAsia="ru-RU"/>
              </w:rPr>
              <w:t>Место поставки</w:t>
            </w:r>
          </w:p>
        </w:tc>
        <w:tc>
          <w:tcPr>
            <w:tcW w:w="43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Calibri" w:cs="Tahoma" w:ascii="Times New Roman" w:hAnsi="Times New Roman"/>
                <w:color w:val="000000"/>
                <w:kern w:val="0"/>
                <w:sz w:val="24"/>
                <w:szCs w:val="24"/>
                <w:lang w:val="ru-RU"/>
              </w:rPr>
              <w:t>357007, Ставропольский край, Кочубеевский р-н, с. Кочубеевское, АВТОДОРОГА «КАВКАЗ» 246КМ+1200М(СПРАВА)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4.2</w:t>
            </w:r>
          </w:p>
        </w:tc>
        <w:tc>
          <w:tcPr>
            <w:tcW w:w="87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Условия поставки за счет средств Поставщика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4.3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eastAsia="ru-RU"/>
              </w:rPr>
              <w:t>Продукция должна быть новой, не бывшей в употреблении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Liberation Serif" w:hAnsi="Liberation Serif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Liberation Serif" w:hAnsi="Liberation Serif"/>
                <w:color w:val="000000"/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5"/>
              <w:widowControl w:val="false"/>
              <w:spacing w:before="0" w:after="1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90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4.5</w:t>
            </w:r>
          </w:p>
        </w:tc>
        <w:tc>
          <w:tcPr>
            <w:tcW w:w="8723" w:type="dxa"/>
            <w:gridSpan w:val="2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ListParagraph"/>
              <w:widowControl w:val="false"/>
              <w:spacing w:before="0" w:after="200"/>
              <w:ind w:hanging="0" w:left="57"/>
              <w:contextualSpacing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Доставка оборудования должна соответствовать установленным требованиям. Продукция должна поставляться в пригодной для транспортировки упаковке, которая может защитить его от воздействия внешних условий, таких как вода, пыль и т.п., в соответствии с ГОСТ Р 51908-2002 «Общие требования к машинам, приборам и другим техническим изделиям в части условий хранения и транспортирования». Упаковка должна обеспечивать полную сохранность продукции на весь срок его транспортировки с учетом перегрузок и длительного хранения.</w:t>
            </w:r>
          </w:p>
        </w:tc>
        <w:tc>
          <w:tcPr>
            <w:tcW w:w="283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5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1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BodyText"/>
        <w:spacing w:before="0" w:after="140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</w:t>
      </w:r>
    </w:p>
    <w:sectPr>
      <w:footerReference w:type="default" r:id="rId3"/>
      <w:footerReference w:type="first" r:id="rId4"/>
      <w:type w:val="nextPage"/>
      <w:pgSz w:orient="landscape" w:w="16838" w:h="11906"/>
      <w:pgMar w:left="454" w:right="454" w:gutter="0" w:header="0" w:top="450" w:footer="0" w:bottom="624"/>
      <w:pgNumType w:fmt="decimal"/>
      <w:formProt w:val="false"/>
      <w:textDirection w:val="lrTb"/>
      <w:docGrid w:type="default" w:linePitch="360" w:charSpace="6553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Liberation Serif">
    <w:altName w:val="Times New Roman"/>
    <w:charset w:val="01"/>
    <w:family w:val="swiss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Liberation Mono">
    <w:altName w:val="Courier New"/>
    <w:charset w:val="01"/>
    <w:family w:val="roman"/>
    <w:pitch w:val="variable"/>
  </w:font>
  <w:font w:name="Times New Roman">
    <w:charset w:val="01"/>
    <w:family w:val="roman"/>
    <w:pitch w:val="variable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Times New Roman" w:hAnsi="Times New Roman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6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480" w:hanging="48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80" w:hanging="480"/>
      </w:pPr>
      <w:rPr>
        <w:sz w:val="22"/>
        <w:b/>
        <w:szCs w:val="22"/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/>
    </w:lvl>
  </w:abstractNum>
  <w:abstractNum w:abstractNumId="2">
    <w:lvl w:ilvl="0">
      <w:start w:val="2"/>
      <w:numFmt w:val="decimal"/>
      <w:lvlText w:val="%1."/>
      <w:lvlJc w:val="left"/>
      <w:pPr>
        <w:tabs>
          <w:tab w:val="num" w:pos="0"/>
        </w:tabs>
        <w:ind w:left="717" w:hanging="360"/>
      </w:pPr>
      <w:rPr>
        <w:sz w:val="24"/>
        <w:b/>
        <w:szCs w:val="24"/>
        <w:bCs/>
        <w:rFonts w:ascii="Times New Roman" w:hAnsi="Times New Roman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92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27" w:hanging="720"/>
      </w:pPr>
      <w:rPr>
        <w:sz w:val="24"/>
        <w:b/>
        <w:szCs w:val="24"/>
        <w:bCs/>
        <w:rFonts w:ascii="Times New Roman" w:hAnsi="Times New Roman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302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37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12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47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322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757" w:hanging="1800"/>
      </w:pPr>
      <w:rPr/>
    </w:lvl>
  </w:abstractNum>
  <w:abstractNum w:abstractNumId="3"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rFonts w:ascii="Times New Roman" w:hAnsi="Times New Roman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304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096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248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92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984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8136" w:hanging="180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397"/>
        </w:tabs>
        <w:ind w:left="754" w:hanging="397"/>
      </w:pPr>
      <w:rPr/>
    </w:lvl>
    <w:lvl w:ilvl="1">
      <w:start w:val="1"/>
      <w:numFmt w:val="decimal"/>
      <w:lvlText w:val="%2."/>
      <w:lvlJc w:val="left"/>
      <w:pPr>
        <w:tabs>
          <w:tab w:val="num" w:pos="794"/>
        </w:tabs>
        <w:ind w:left="1151" w:hanging="397"/>
      </w:pPr>
      <w:rPr/>
    </w:lvl>
    <w:lvl w:ilvl="2">
      <w:start w:val="1"/>
      <w:numFmt w:val="decimal"/>
      <w:lvlText w:val="%3."/>
      <w:lvlJc w:val="left"/>
      <w:pPr>
        <w:tabs>
          <w:tab w:val="num" w:pos="1191"/>
        </w:tabs>
        <w:ind w:left="1548" w:hanging="397"/>
      </w:pPr>
      <w:rPr/>
    </w:lvl>
    <w:lvl w:ilvl="3">
      <w:start w:val="1"/>
      <w:numFmt w:val="decimal"/>
      <w:lvlText w:val="%4."/>
      <w:lvlJc w:val="left"/>
      <w:pPr>
        <w:tabs>
          <w:tab w:val="num" w:pos="1588"/>
        </w:tabs>
        <w:ind w:left="1945" w:hanging="397"/>
      </w:pPr>
      <w:rPr/>
    </w:lvl>
    <w:lvl w:ilvl="4">
      <w:start w:val="1"/>
      <w:numFmt w:val="decimal"/>
      <w:lvlText w:val="%5."/>
      <w:lvlJc w:val="left"/>
      <w:pPr>
        <w:tabs>
          <w:tab w:val="num" w:pos="1985"/>
        </w:tabs>
        <w:ind w:left="2342" w:hanging="397"/>
      </w:pPr>
      <w:rPr/>
    </w:lvl>
    <w:lvl w:ilvl="5">
      <w:start w:val="1"/>
      <w:numFmt w:val="decimal"/>
      <w:lvlText w:val="%6."/>
      <w:lvlJc w:val="left"/>
      <w:pPr>
        <w:tabs>
          <w:tab w:val="num" w:pos="2381"/>
        </w:tabs>
        <w:ind w:left="2738" w:hanging="397"/>
      </w:pPr>
      <w:rPr/>
    </w:lvl>
    <w:lvl w:ilvl="6">
      <w:start w:val="1"/>
      <w:numFmt w:val="decimal"/>
      <w:lvlText w:val="%7."/>
      <w:lvlJc w:val="left"/>
      <w:pPr>
        <w:tabs>
          <w:tab w:val="num" w:pos="2778"/>
        </w:tabs>
        <w:ind w:left="3135" w:hanging="397"/>
      </w:pPr>
      <w:rPr/>
    </w:lvl>
    <w:lvl w:ilvl="7">
      <w:start w:val="1"/>
      <w:numFmt w:val="decimal"/>
      <w:lvlText w:val="%8."/>
      <w:lvlJc w:val="left"/>
      <w:pPr>
        <w:tabs>
          <w:tab w:val="num" w:pos="3175"/>
        </w:tabs>
        <w:ind w:left="3532" w:hanging="397"/>
      </w:pPr>
      <w:rPr/>
    </w:lvl>
    <w:lvl w:ilvl="8">
      <w:start w:val="1"/>
      <w:numFmt w:val="decimal"/>
      <w:lvlText w:val="%9."/>
      <w:lvlJc w:val="left"/>
      <w:pPr>
        <w:tabs>
          <w:tab w:val="num" w:pos="3572"/>
        </w:tabs>
        <w:ind w:left="3929" w:hanging="397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Tahoma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Title"/>
    <w:next w:val="BodyText"/>
    <w:qFormat/>
    <w:pPr>
      <w:outlineLvl w:val="0"/>
    </w:pPr>
    <w:rPr>
      <w:rFonts w:ascii="Liberation Serif" w:hAnsi="Liberation Serif" w:eastAsia="Tahoma" w:cs="Tahoma"/>
      <w:b/>
      <w:bCs/>
      <w:sz w:val="48"/>
      <w:szCs w:val="48"/>
    </w:rPr>
  </w:style>
  <w:style w:type="paragraph" w:styleId="Heading2">
    <w:name w:val="Heading 2"/>
    <w:basedOn w:val="Title"/>
    <w:next w:val="BodyText"/>
    <w:qFormat/>
    <w:pPr>
      <w:spacing w:before="200" w:after="120"/>
      <w:outlineLvl w:val="1"/>
    </w:pPr>
    <w:rPr>
      <w:rFonts w:ascii="Liberation Serif" w:hAnsi="Liberation Serif" w:eastAsia="Tahoma" w:cs="Tahoma"/>
      <w:b/>
      <w:bCs/>
      <w:sz w:val="36"/>
      <w:szCs w:val="36"/>
    </w:rPr>
  </w:style>
  <w:style w:type="paragraph" w:styleId="Heading3">
    <w:name w:val="Heading 3"/>
    <w:basedOn w:val="Title"/>
    <w:next w:val="BodyText"/>
    <w:qFormat/>
    <w:pPr>
      <w:spacing w:before="140" w:after="120"/>
      <w:outlineLvl w:val="2"/>
    </w:pPr>
    <w:rPr>
      <w:rFonts w:ascii="Liberation Serif" w:hAnsi="Liberation Serif" w:eastAsia="Tahoma" w:cs="Tahoma"/>
      <w:b/>
      <w:bCs/>
    </w:rPr>
  </w:style>
  <w:style w:type="paragraph" w:styleId="Heading4">
    <w:name w:val="Heading 4"/>
    <w:basedOn w:val="Title"/>
    <w:next w:val="BodyText"/>
    <w:qFormat/>
    <w:pPr>
      <w:spacing w:before="120" w:after="120"/>
      <w:outlineLvl w:val="3"/>
    </w:pPr>
    <w:rPr>
      <w:rFonts w:ascii="Liberation Serif" w:hAnsi="Liberation Serif" w:eastAsia="Tahoma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Нижний колонтитул Знак"/>
    <w:basedOn w:val="DefaultParagraphFont"/>
    <w:qFormat/>
    <w:rPr>
      <w:rFonts w:ascii="Calibri" w:hAnsi="Calibri" w:eastAsia="Calibri" w:cs="Times New Roman"/>
    </w:rPr>
  </w:style>
  <w:style w:type="character" w:styleId="1" w:customStyle="1">
    <w:name w:val="Нижний колонтитул Знак1"/>
    <w:basedOn w:val="DefaultParagraphFont"/>
    <w:qFormat/>
    <w:rPr/>
  </w:style>
  <w:style w:type="character" w:styleId="Style6" w:customStyle="1">
    <w:name w:val="Текст выноски Знак"/>
    <w:basedOn w:val="DefaultParagraphFont"/>
    <w:link w:val="BalloonText"/>
    <w:qFormat/>
    <w:rPr>
      <w:rFonts w:ascii="Segoe UI" w:hAnsi="Segoe UI" w:cs="Segoe UI"/>
      <w:sz w:val="18"/>
      <w:szCs w:val="18"/>
    </w:rPr>
  </w:style>
  <w:style w:type="character" w:styleId="Linenumber1" w:customStyle="1">
    <w:name w:val="line number1"/>
    <w:qFormat/>
    <w:rPr/>
  </w:style>
  <w:style w:type="character" w:styleId="Linenumber">
    <w:name w:val="line number"/>
    <w:qFormat/>
    <w:rPr/>
  </w:style>
  <w:style w:type="character" w:styleId="Style7" w:customStyle="1">
    <w:name w:val="Символ нумерации"/>
    <w:qFormat/>
    <w:rPr/>
  </w:style>
  <w:style w:type="character" w:styleId="Hyperlink">
    <w:name w:val="Hyperlink"/>
    <w:rPr>
      <w:color w:val="000080"/>
      <w:u w:val="single"/>
    </w:rPr>
  </w:style>
  <w:style w:type="character" w:styleId="Style8" w:customStyle="1">
    <w:name w:val="Маркеры"/>
    <w:qFormat/>
    <w:rPr>
      <w:rFonts w:ascii="OpenSymbol" w:hAnsi="OpenSymbol" w:eastAsia="OpenSymbol" w:cs="OpenSymbol"/>
    </w:rPr>
  </w:style>
  <w:style w:type="character" w:styleId="Style9" w:customStyle="1">
    <w:name w:val="Ссылка указателя"/>
    <w:qFormat/>
    <w:rPr/>
  </w:style>
  <w:style w:type="character" w:styleId="Annotationreference">
    <w:name w:val="annotation reference"/>
    <w:basedOn w:val="DefaultParagraphFont"/>
    <w:qFormat/>
    <w:rPr>
      <w:sz w:val="16"/>
      <w:szCs w:val="16"/>
    </w:rPr>
  </w:style>
  <w:style w:type="character" w:styleId="Style10" w:customStyle="1">
    <w:name w:val="Текст примечания Знак"/>
    <w:basedOn w:val="DefaultParagraphFont"/>
    <w:link w:val="Annotationtext"/>
    <w:qFormat/>
    <w:rPr>
      <w:sz w:val="20"/>
      <w:szCs w:val="20"/>
    </w:rPr>
  </w:style>
  <w:style w:type="character" w:styleId="Style11" w:customStyle="1">
    <w:name w:val="Тема примечания Знак"/>
    <w:basedOn w:val="Style10"/>
    <w:link w:val="Annotationsubject"/>
    <w:qFormat/>
    <w:rPr>
      <w:b/>
      <w:bCs/>
      <w:sz w:val="20"/>
      <w:szCs w:val="20"/>
    </w:rPr>
  </w:style>
  <w:style w:type="character" w:styleId="Strong1">
    <w:name w:val="Strong1"/>
    <w:qFormat/>
    <w:rPr>
      <w:b/>
      <w:bCs/>
    </w:rPr>
  </w:style>
  <w:style w:type="character" w:styleId="Strong">
    <w:name w:val="Strong"/>
    <w:qFormat/>
    <w:rPr>
      <w:b/>
      <w:bCs/>
    </w:rPr>
  </w:style>
  <w:style w:type="paragraph" w:styleId="Style1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3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" w:customStyle="1">
    <w:name w:val="caption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" w:customStyle="1">
    <w:name w:val="caption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1111" w:customStyle="1">
    <w:name w:val="caption111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4" w:customStyle="1">
    <w:name w:val="Колонтитул"/>
    <w:basedOn w:val="Normal"/>
    <w:qFormat/>
    <w:pPr/>
    <w:rPr/>
  </w:style>
  <w:style w:type="paragraph" w:styleId="Footer">
    <w:name w:val="Footer"/>
    <w:basedOn w:val="Normal"/>
    <w:link w:val="Style5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>
      <w:rFonts w:cs="Times New Roman"/>
    </w:rPr>
  </w:style>
  <w:style w:type="paragraph" w:styleId="BalloonText">
    <w:name w:val="Balloon Text"/>
    <w:basedOn w:val="Normal"/>
    <w:link w:val="Style6"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15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16" w:customStyle="1">
    <w:name w:val="Заголовок таблицы"/>
    <w:basedOn w:val="Style15"/>
    <w:qFormat/>
    <w:pPr>
      <w:jc w:val="center"/>
    </w:pPr>
    <w:rPr>
      <w:b/>
      <w:bCs/>
    </w:rPr>
  </w:style>
  <w:style w:type="paragraph" w:styleId="Style17" w:customStyle="1">
    <w:name w:val="Текст в заданном формате"/>
    <w:basedOn w:val="Normal"/>
    <w:qFormat/>
    <w:pPr>
      <w:spacing w:before="0" w:after="0"/>
    </w:pPr>
    <w:rPr>
      <w:rFonts w:ascii="Liberation Mono" w:hAnsi="Liberation Mono" w:eastAsia="Liberation Mono" w:cs="Liberation Mono"/>
      <w:sz w:val="20"/>
      <w:szCs w:val="20"/>
    </w:rPr>
  </w:style>
  <w:style w:type="paragraph" w:styleId="ListParagraph">
    <w:name w:val="List Paragraph"/>
    <w:basedOn w:val="Normal"/>
    <w:qFormat/>
    <w:pPr>
      <w:spacing w:before="0" w:after="200"/>
      <w:ind w:hanging="0" w:left="720"/>
      <w:contextualSpacing/>
    </w:pPr>
    <w:rPr/>
  </w:style>
  <w:style w:type="paragraph" w:styleId="TOC2">
    <w:name w:val="TOC 2"/>
    <w:basedOn w:val="Indexheading"/>
    <w:pPr>
      <w:tabs>
        <w:tab w:val="clear" w:pos="708"/>
        <w:tab w:val="right" w:pos="9865" w:leader="dot"/>
      </w:tabs>
      <w:ind w:hanging="0" w:left="283"/>
    </w:pPr>
    <w:rPr/>
  </w:style>
  <w:style w:type="paragraph" w:styleId="TOC1">
    <w:name w:val="TOC 1"/>
    <w:basedOn w:val="Indexheading"/>
    <w:pPr>
      <w:tabs>
        <w:tab w:val="clear" w:pos="708"/>
        <w:tab w:val="right" w:pos="10148" w:leader="dot"/>
      </w:tabs>
    </w:pPr>
    <w:rPr/>
  </w:style>
  <w:style w:type="paragraph" w:styleId="TOC3">
    <w:name w:val="TOC 3"/>
    <w:basedOn w:val="Indexheading"/>
    <w:pPr>
      <w:tabs>
        <w:tab w:val="clear" w:pos="708"/>
        <w:tab w:val="right" w:pos="9581" w:leader="dot"/>
      </w:tabs>
      <w:ind w:hanging="0" w:left="567"/>
    </w:pPr>
    <w:rPr/>
  </w:style>
  <w:style w:type="paragraph" w:styleId="Annotationtext">
    <w:name w:val="annotation text"/>
    <w:basedOn w:val="Normal"/>
    <w:link w:val="Style10"/>
    <w:qFormat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1"/>
    <w:qFormat/>
    <w:pPr/>
    <w:rPr>
      <w:b/>
      <w:bCs/>
    </w:rPr>
  </w:style>
  <w:style w:type="paragraph" w:styleId="Header">
    <w:name w:val="Header"/>
    <w:basedOn w:val="Style14"/>
    <w:pPr>
      <w:suppressLineNumbers/>
      <w:tabs>
        <w:tab w:val="clear" w:pos="708"/>
        <w:tab w:val="center" w:pos="5074" w:leader="none"/>
        <w:tab w:val="right" w:pos="10148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23" w:customStyle="1">
    <w:name w:val="Нумерованный 123"/>
    <w:qFormat/>
  </w:style>
  <w:style w:type="numbering" w:styleId="9124036821" w:customStyle="1">
    <w:name w:val="9124036821"/>
    <w:qFormat/>
  </w:style>
  <w:style w:type="numbering" w:styleId="26549995371" w:customStyle="1">
    <w:name w:val="26549995371"/>
    <w:qFormat/>
  </w:style>
  <w:style w:type="numbering" w:styleId="8885772351" w:customStyle="1">
    <w:name w:val="8885772351"/>
    <w:qFormat/>
  </w:style>
  <w:style w:type="table" w:default="1" w:styleId="a3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18958</TotalTime>
  <Application>AlterOffice/2026.2.1.0$Linux_X86_64 LibreOffice_project/f008988ffacaa0b2bf57911c2759d08ca79831df</Application>
  <AppVersion>15.0000</AppVersion>
  <Pages>6</Pages>
  <Words>626</Words>
  <Characters>4601</Characters>
  <CharactersWithSpaces>5207</CharactersWithSpaces>
  <Paragraphs>134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2024-11-20T06:48:00Z</dcterms:created>
  <dc:creator>Бухарев Сергей Викторович</dc:creator>
  <dc:description/>
  <dc:language>ru-RU</dc:language>
  <cp:lastModifiedBy>velikosvyatnn@corp.gidroogk.com</cp:lastModifiedBy>
  <cp:lastPrinted>2025-08-04T09:31:00Z</cp:lastPrinted>
  <dcterms:modified xsi:type="dcterms:W3CDTF">2026-09-21T10:45:53Z</dcterms:modified>
  <cp:revision>181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