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eastAsia="Lucida Sans Unicode"/>
          <w:color w:val="000000"/>
          <w:spacing w:val="-6"/>
          <w:sz w:val="24"/>
          <w:szCs w:val="24"/>
          <w:lang w:eastAsia="en-US"/>
        </w:rPr>
        <w:t>ОКПД 2 23.99.19.111</w:t>
      </w:r>
      <w:r>
        <w:rPr>
          <w:sz w:val="24"/>
          <w:szCs w:val="24"/>
        </w:rPr>
        <w:t xml:space="preserve"> Поставка материалов для теплоизоляции трубопроводов Чиркейской ГЭС.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0058-ТПИР ОБСЛ ДОХ-2026-ГРВКК-УМР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rFonts w:ascii="Times New Roman" w:hAnsi="Times New Roman"/>
          <w:sz w:val="24"/>
          <w:szCs w:val="24"/>
        </w:rPr>
      </w:pPr>
      <w:bookmarkStart w:id="0" w:name="_Toc51339692"/>
      <w:bookmarkStart w:id="1" w:name="_Toc125548757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2" w:name="_Toc125548758"/>
      <w:r>
        <w:rPr>
          <w:sz w:val="24"/>
          <w:szCs w:val="24"/>
        </w:rPr>
        <w:t>Обозначения и сокращения</w:t>
      </w:r>
      <w:bookmarkEnd w:id="2"/>
    </w:p>
    <w:p>
      <w:pPr>
        <w:pStyle w:val="Normal"/>
        <w:rPr>
          <w:rFonts w:ascii="Times New Roman" w:hAnsi="Times New Roman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Силовой трансформатор №3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ТВС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водоснабжение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Гидро-агрегат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Квадратный м</w:t>
            </w:r>
            <w:r>
              <w:rPr>
                <w:sz w:val="24"/>
                <w:szCs w:val="24"/>
              </w:rPr>
              <w:t>етр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Штука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общесоюзный стандарт</w:t>
            </w:r>
          </w:p>
        </w:tc>
      </w:tr>
    </w:tbl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3" w:name="_Toc125548759"/>
      <w:r>
        <w:rPr>
          <w:sz w:val="24"/>
          <w:szCs w:val="24"/>
        </w:rPr>
        <w:t>Наименование закупаемой продукции</w:t>
      </w:r>
      <w:bookmarkEnd w:id="3"/>
      <w:r>
        <w:rPr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Lucida Sans Unicode"/>
          <w:color w:val="000000"/>
          <w:spacing w:val="-6"/>
          <w:sz w:val="24"/>
          <w:szCs w:val="24"/>
          <w:lang w:eastAsia="en-US"/>
        </w:rPr>
        <w:t>ОКПД-2 23.99.19.111</w:t>
      </w:r>
      <w:r>
        <w:rPr>
          <w:sz w:val="24"/>
          <w:szCs w:val="24"/>
        </w:rPr>
        <w:t xml:space="preserve"> Поставка материалов для теплоизоляции трубопроводов Чиркейской ГЭС.</w:t>
      </w: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4" w:name="_Toc125548760"/>
      <w:bookmarkStart w:id="5" w:name="_Toc46743507"/>
      <w:r>
        <w:rPr>
          <w:sz w:val="24"/>
          <w:szCs w:val="24"/>
        </w:rPr>
        <w:t xml:space="preserve">Цель </w:t>
      </w:r>
      <w:bookmarkEnd w:id="5"/>
      <w:r>
        <w:rPr>
          <w:sz w:val="24"/>
          <w:szCs w:val="24"/>
        </w:rPr>
        <w:t>использования закупаемой продукции.</w:t>
      </w:r>
      <w:bookmarkEnd w:id="4"/>
    </w:p>
    <w:p>
      <w:pPr>
        <w:pStyle w:val="Normal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>Исполнение доходного договора №1080-524-2023 от от 23.11.2023г. «Строительно-монтажные работы по техническому перевооружению гидроагрегатов №1-4 Чиркейской ГЭС» и №1-ТПиР-ПКМ-2025-ДФ/1080-316-2025</w:t>
      </w:r>
      <w:r>
        <w:rPr>
          <w:rFonts w:eastAsia="Calibri" w:cs="TimesNewRomanPS-BoldMT"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rFonts w:eastAsia="Calibri" w:eastAsiaTheme="minorHAnsi"/>
          <w:b/>
          <w:bCs/>
          <w:sz w:val="24"/>
          <w:szCs w:val="24"/>
          <w:lang w:eastAsia="en-US"/>
        </w:rPr>
        <w:t>«</w:t>
      </w:r>
      <w:r>
        <w:rPr>
          <w:bCs/>
          <w:sz w:val="24"/>
          <w:szCs w:val="24"/>
        </w:rPr>
        <w:t>монтаж технологического оборудования системы трансформаторного маслохозяйства и силового блочного трансформатора 330кВ №3, монтаж и наладку защит трансформатора №3 Чиркейской ГЭС», заключённый между ПАО «Федеральная гидрогенерирующая компания-РусГидро» и АО «Гидроремонт-ВКК». Продукция предназначена для производства монтажных работ.</w:t>
      </w:r>
    </w:p>
    <w:p>
      <w:pPr>
        <w:pStyle w:val="Heading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bookmarkStart w:id="6" w:name="_Toc125548761"/>
      <w:r>
        <w:rPr>
          <w:sz w:val="24"/>
          <w:szCs w:val="24"/>
        </w:rPr>
        <w:t>Требования к продукции.</w:t>
      </w:r>
      <w:bookmarkEnd w:id="6"/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7" w:name="_Toc125548762"/>
      <w:r>
        <w:rPr>
          <w:sz w:val="24"/>
          <w:szCs w:val="24"/>
        </w:rPr>
        <w:t>Требования к объемам и срокам поставки.</w:t>
      </w:r>
      <w:bookmarkEnd w:id="7"/>
    </w:p>
    <w:p>
      <w:pPr>
        <w:pStyle w:val="Heading3"/>
        <w:numPr>
          <w:ilvl w:val="2"/>
          <w:numId w:val="3"/>
        </w:numPr>
        <w:rPr>
          <w:rFonts w:ascii="Times New Roman" w:hAnsi="Times New Roman"/>
          <w:sz w:val="24"/>
          <w:szCs w:val="24"/>
        </w:rPr>
      </w:pPr>
      <w:bookmarkStart w:id="8" w:name="_Toc125548763"/>
      <w:r>
        <w:rPr>
          <w:sz w:val="24"/>
          <w:szCs w:val="24"/>
        </w:rPr>
        <w:t>Перечень и объем закупаемой продукции.</w:t>
      </w:r>
      <w:bookmarkEnd w:id="8"/>
    </w:p>
    <w:p>
      <w:pPr>
        <w:pStyle w:val="ListParagraph"/>
        <w:numPr>
          <w:ilvl w:val="0"/>
          <w:numId w:val="0"/>
        </w:numPr>
        <w:spacing w:lineRule="auto" w:line="360"/>
        <w:ind w:hanging="720"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1.1. Перечень и объем закупаемой продукции.</w:t>
      </w:r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4"/>
        <w:gridCol w:w="4606"/>
        <w:gridCol w:w="977"/>
        <w:gridCol w:w="1549"/>
        <w:gridCol w:w="2435"/>
      </w:tblGrid>
      <w:tr>
        <w:trPr>
          <w:trHeight w:val="806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п.п.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Ед.изм.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Примечания</w:t>
            </w:r>
          </w:p>
        </w:tc>
      </w:tr>
      <w:tr>
        <w:trPr>
          <w:trHeight w:val="664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Трубка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K-FLEX 25x060-1 ST IC CLAD SR ООО K-FLEX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>
        <w:trPr>
          <w:trHeight w:val="735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Трубка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K-FLEX 25x108-1 ST IC CLAD SR ОООK-FLEX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>
        <w:trPr>
          <w:trHeight w:val="675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Трубка K-FLEX 25x160-1 ST IC CLAD SR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>
        <w:trPr>
          <w:trHeight w:val="690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Рулон K-FLEX 25x1000-08 ST IC CLAD SR ООО K-FLEX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м²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118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>
        <w:trPr>
          <w:trHeight w:val="675" w:hRule="atLeast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Лента K-FLEX 050-025 AD IC CLAD SR ООО K-FLEX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Клей K-FLEX 2,6 lt K 414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Очиститель K-FLEX 1.0 lt ООО K-FLEX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Клей K-FLEX 0,8 lt K 414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1224"/>
        <w:rPr>
          <w:rFonts w:ascii="Times New Roman" w:hAnsi="Times New Roman"/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Heading3"/>
        <w:numPr>
          <w:ilvl w:val="2"/>
          <w:numId w:val="3"/>
        </w:num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Требования к срокам поставки продукции и оказания сопутствующих услуг.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Таблица 2.1. Требования по срокам поставки продукции.</w:t>
      </w:r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1"/>
        <w:gridCol w:w="5390"/>
        <w:gridCol w:w="1853"/>
        <w:gridCol w:w="2116"/>
      </w:tblGrid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570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Lucida Sans Unicode"/>
                <w:color w:val="000000"/>
                <w:spacing w:val="-6"/>
                <w:sz w:val="24"/>
                <w:szCs w:val="24"/>
                <w:lang w:eastAsia="en-US"/>
              </w:rPr>
              <w:t>ОКПД-2 23.99.19.111</w:t>
            </w:r>
            <w:r>
              <w:rPr>
                <w:sz w:val="24"/>
                <w:szCs w:val="24"/>
              </w:rPr>
              <w:t xml:space="preserve"> Поставка материалов для теплоизоляции трубопроводов Чиркейской ГЭС.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45 календарных дней с даты подписания Договора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45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850" w:gutter="0" w:header="0" w:top="851" w:footer="708" w:bottom="993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>
      <w:pPr>
        <w:pStyle w:val="Normal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Таблица 3. Требования к продукции:  материалы для теплоизоляции</w:t>
      </w:r>
    </w:p>
    <w:p>
      <w:pPr>
        <w:pStyle w:val="Normal"/>
        <w:ind w:hanging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</w:p>
    <w:tbl>
      <w:tblPr>
        <w:tblStyle w:val="afe"/>
        <w:tblW w:w="1502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1"/>
        <w:gridCol w:w="1851"/>
        <w:gridCol w:w="4537"/>
        <w:gridCol w:w="2551"/>
        <w:gridCol w:w="2693"/>
        <w:gridCol w:w="2692"/>
      </w:tblGrid>
      <w:tr>
        <w:trPr>
          <w:trHeight w:val="990" w:hRule="atLeast"/>
        </w:trPr>
        <w:tc>
          <w:tcPr>
            <w:tcW w:w="70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45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44" w:type="dxa"/>
            <w:gridSpan w:val="2"/>
            <w:tcBorders/>
            <w:vAlign w:val="center"/>
          </w:tcPr>
          <w:tbl>
            <w:tblPr>
              <w:tblW w:w="9141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noHBand="0" w:noVBand="1" w:firstColumn="1" w:lastRow="0" w:lastColumn="0" w:firstRow="1"/>
            </w:tblPr>
            <w:tblGrid>
              <w:gridCol w:w="5132"/>
              <w:gridCol w:w="4008"/>
            </w:tblGrid>
            <w:tr>
              <w:trPr>
                <w:trHeight w:val="1058" w:hRule="atLeast"/>
              </w:trPr>
              <w:tc>
                <w:tcPr>
                  <w:tcW w:w="5132" w:type="dxa"/>
                  <w:tcBorders/>
                  <w:vAlign w:val="center"/>
                </w:tcPr>
                <w:p>
                  <w:pPr>
                    <w:pStyle w:val="Style16"/>
                    <w:widowControl w:val="false"/>
                    <w:ind w:hanging="322" w:left="32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Способ подтверждения участником соответствия требованиям</w:t>
                  </w:r>
                </w:p>
              </w:tc>
              <w:tc>
                <w:tcPr>
                  <w:tcW w:w="4008" w:type="dxa"/>
                  <w:tcBorders/>
                </w:tcPr>
                <w:p>
                  <w:pPr>
                    <w:pStyle w:val="Style16"/>
                    <w:widowControl w:val="false"/>
                    <w:ind w:hanging="284" w:left="112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700" w:hRule="atLeast"/>
        </w:trPr>
        <w:tc>
          <w:tcPr>
            <w:tcW w:w="70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5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trHeight w:val="221" w:hRule="atLeast"/>
        </w:trPr>
        <w:tc>
          <w:tcPr>
            <w:tcW w:w="7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3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5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6</w:t>
            </w:r>
          </w:p>
        </w:tc>
      </w:tr>
      <w:tr>
        <w:trPr>
          <w:trHeight w:val="549" w:hRule="atLeast"/>
        </w:trPr>
        <w:tc>
          <w:tcPr>
            <w:tcW w:w="7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6388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vMerge w:val="restart"/>
            <w:tcBorders>
              <w:bottom w:val="outset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Участник должен предоставить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693" w:type="dxa"/>
            <w:vMerge w:val="restart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en-US" w:bidi="ar-SA"/>
              </w:rPr>
              <w:t>-//-</w:t>
            </w:r>
          </w:p>
        </w:tc>
        <w:tc>
          <w:tcPr>
            <w:tcW w:w="2692" w:type="dxa"/>
            <w:vMerge w:val="restart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en-US" w:bidi="ar-SA"/>
              </w:rPr>
              <w:t>-//-</w:t>
            </w:r>
          </w:p>
        </w:tc>
      </w:tr>
      <w:tr>
        <w:trPr>
          <w:trHeight w:val="932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  <w:r>
              <w:rPr>
                <w:kern w:val="0"/>
                <w:sz w:val="24"/>
                <w:szCs w:val="24"/>
                <w:lang w:val="en-US" w:bidi="ar-SA"/>
              </w:rPr>
              <w:t>.1.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spacing w:val="-10"/>
                <w:kern w:val="0"/>
                <w:sz w:val="24"/>
                <w:szCs w:val="24"/>
                <w:lang w:val="ru-RU" w:bidi="ar-SA"/>
              </w:rPr>
              <w:t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ISOCPEUR"/>
                <w:sz w:val="24"/>
                <w:szCs w:val="24"/>
              </w:rPr>
            </w:pPr>
            <w:r>
              <w:rPr>
                <w:rFonts w:cs="ISOCPEUR"/>
                <w:sz w:val="24"/>
                <w:szCs w:val="24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ISOCPEUR"/>
                <w:sz w:val="24"/>
                <w:szCs w:val="24"/>
              </w:rPr>
            </w:pPr>
            <w:r>
              <w:rPr>
                <w:rFonts w:cs="ISOCPEUR"/>
                <w:sz w:val="24"/>
                <w:szCs w:val="24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ISOCPEUR"/>
                <w:sz w:val="24"/>
                <w:szCs w:val="24"/>
              </w:rPr>
            </w:pPr>
            <w:r>
              <w:rPr>
                <w:rFonts w:cs="ISOCPEUR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6388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kern w:val="0"/>
                <w:sz w:val="24"/>
                <w:szCs w:val="24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2.1</w:t>
            </w:r>
            <w:r>
              <w:rPr>
                <w:kern w:val="0"/>
                <w:sz w:val="24"/>
                <w:szCs w:val="24"/>
                <w:lang w:val="en-US" w:bidi="ar-SA"/>
              </w:rPr>
              <w:t>.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 xml:space="preserve">Место </w:t>
            </w: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поставки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color="auto" w:fill="FFFFFF"/>
              <w:tabs>
                <w:tab w:val="clear" w:pos="708"/>
                <w:tab w:val="left" w:pos="142" w:leader="none"/>
                <w:tab w:val="left" w:pos="540" w:leader="none"/>
              </w:tabs>
              <w:spacing w:lineRule="auto" w:line="276" w:before="0" w:after="120"/>
              <w:ind w:hanging="0" w:left="0"/>
              <w:contextualSpacing/>
              <w:jc w:val="both"/>
              <w:rPr>
                <w:color w:val="00000A"/>
                <w:sz w:val="24"/>
                <w:szCs w:val="24"/>
              </w:rPr>
            </w:pPr>
            <w:r>
              <w:rPr>
                <w:rFonts w:cs=""/>
                <w:iCs/>
                <w:color w:val="00000A"/>
                <w:spacing w:val="-10"/>
                <w:kern w:val="0"/>
                <w:sz w:val="24"/>
                <w:szCs w:val="24"/>
                <w:lang w:val="ru-RU" w:bidi="ar-SA"/>
              </w:rPr>
              <w:t>368219, Россия, Республика Дагестан, Буйнакский район, Чиркейская ГЭС, от села Чиркей 13,5 км, координаты - 42°58′37′′ с. ш. 46°52′14′′ в. д.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2.2.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en-US" w:bidi="ar-SA"/>
              </w:rPr>
              <w:t>Приемка продукции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spacing w:val="-10"/>
                <w:kern w:val="0"/>
                <w:sz w:val="24"/>
                <w:szCs w:val="24"/>
                <w:lang w:val="ru-RU" w:bidi="ar-SA"/>
              </w:rPr>
              <w:t>Только в рабочие дни с 9-00 до 11-00 и с 14-00 до 16-00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2.</w:t>
            </w:r>
            <w:r>
              <w:rPr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spacing w:val="-10"/>
                <w:kern w:val="0"/>
                <w:sz w:val="24"/>
                <w:szCs w:val="24"/>
                <w:lang w:val="ru-RU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b/>
                <w:spacing w:val="-10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sz w:val="24"/>
                <w:szCs w:val="24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b/>
                <w:spacing w:val="-10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sz w:val="24"/>
                <w:szCs w:val="24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b/>
                <w:spacing w:val="-10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spacing w:val="-10"/>
                <w:sz w:val="24"/>
                <w:szCs w:val="24"/>
              </w:rPr>
            </w:pPr>
            <w:r>
              <w:rPr>
                <w:rFonts w:cs="" w:cstheme="majorBidi"/>
                <w:spacing w:val="-10"/>
                <w:sz w:val="24"/>
                <w:szCs w:val="24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spacing w:val="-10"/>
                <w:sz w:val="24"/>
                <w:szCs w:val="24"/>
              </w:rPr>
            </w:pPr>
            <w:r>
              <w:rPr>
                <w:rFonts w:cs="" w:cstheme="majorBidi"/>
                <w:spacing w:val="-10"/>
                <w:sz w:val="24"/>
                <w:szCs w:val="24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spacing w:val="-10"/>
                <w:sz w:val="24"/>
                <w:szCs w:val="24"/>
              </w:rPr>
            </w:pPr>
            <w:r>
              <w:rPr>
                <w:rFonts w:cs="" w:cstheme="majorBidi"/>
                <w:spacing w:val="-10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3</w:t>
            </w:r>
            <w:r>
              <w:rPr>
                <w:kern w:val="0"/>
                <w:sz w:val="24"/>
                <w:szCs w:val="24"/>
                <w:lang w:val="ru-RU" w:bidi="ar-SA"/>
              </w:rPr>
              <w:t>.1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Срок</w:t>
            </w:r>
            <w:r>
              <w:rPr>
                <w:kern w:val="0"/>
                <w:sz w:val="24"/>
                <w:szCs w:val="24"/>
                <w:lang w:val="en-US" w:bidi="ar-SA"/>
              </w:rPr>
              <w:t>и</w:t>
            </w:r>
            <w:r>
              <w:rPr>
                <w:kern w:val="0"/>
                <w:sz w:val="24"/>
                <w:szCs w:val="24"/>
                <w:lang w:val="ru-RU" w:bidi="ar-SA"/>
              </w:rPr>
              <w:t xml:space="preserve"> гарантии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spacing w:val="-10"/>
                <w:kern w:val="0"/>
                <w:sz w:val="24"/>
                <w:szCs w:val="24"/>
                <w:lang w:val="ru-RU" w:bidi="ar-SA"/>
              </w:rPr>
              <w:t xml:space="preserve">На продукцию устанавливается гарантийный срок </w:t>
            </w:r>
            <w:r>
              <w:rPr>
                <w:kern w:val="0"/>
                <w:sz w:val="24"/>
                <w:szCs w:val="24"/>
                <w:lang w:val="ru-RU" w:eastAsia="x-none" w:bidi="ar-SA"/>
              </w:rPr>
              <w:t>не менее 12 (двенадцати) месяцев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kern w:val="0"/>
                <w:sz w:val="24"/>
                <w:szCs w:val="24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b/>
                <w:spacing w:val="-10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sz w:val="24"/>
                <w:szCs w:val="24"/>
              </w:rPr>
            </w:r>
          </w:p>
        </w:tc>
        <w:tc>
          <w:tcPr>
            <w:tcW w:w="269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b/>
                <w:spacing w:val="-10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sz w:val="24"/>
                <w:szCs w:val="24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 w:cstheme="majorBidi"/>
                <w:b/>
                <w:spacing w:val="-10"/>
                <w:sz w:val="24"/>
                <w:szCs w:val="24"/>
              </w:rPr>
            </w:pPr>
            <w:r>
              <w:rPr>
                <w:rFonts w:cs="" w:cstheme="majorBidi"/>
                <w:b/>
                <w:spacing w:val="-10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4.1</w:t>
            </w:r>
          </w:p>
        </w:tc>
        <w:tc>
          <w:tcPr>
            <w:tcW w:w="1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Документы, передаваемые вместе с продукцией</w:t>
            </w:r>
          </w:p>
        </w:tc>
        <w:tc>
          <w:tcPr>
            <w:tcW w:w="453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 и в электронном виде: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hanging="203" w:left="203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паспорта;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hanging="203" w:left="203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инструкции по монтажу и эксплуатации;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hanging="203" w:left="203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УПД или товарную накладную унифицированной формы ТОРГ-12 в 2 экз.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493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en-US" w:bidi="ar-SA"/>
              </w:rPr>
              <w:t>5</w:t>
            </w:r>
            <w:r>
              <w:rPr>
                <w:kern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6388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Прочие (дополнительные) требования к продукции</w:t>
            </w:r>
          </w:p>
        </w:tc>
        <w:tc>
          <w:tcPr>
            <w:tcW w:w="2551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62" w:hRule="atLeast"/>
        </w:trPr>
        <w:tc>
          <w:tcPr>
            <w:tcW w:w="7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5.1</w:t>
            </w:r>
          </w:p>
        </w:tc>
        <w:tc>
          <w:tcPr>
            <w:tcW w:w="1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Общие требования</w:t>
            </w:r>
          </w:p>
        </w:tc>
        <w:tc>
          <w:tcPr>
            <w:tcW w:w="4537" w:type="dxa"/>
            <w:tcBorders>
              <w:top w:val="outset" w:sz="6" w:space="0" w:color="000000"/>
              <w:bottom w:val="outset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- Продукция должна быть новой </w:t>
            </w:r>
            <w:r>
              <w:rPr>
                <w:rFonts w:cs="" w:cstheme="majorBidi"/>
                <w:spacing w:val="-10"/>
                <w:kern w:val="0"/>
                <w:sz w:val="24"/>
                <w:szCs w:val="24"/>
                <w:lang w:val="ru-RU" w:bidi="ar-SA"/>
              </w:rPr>
              <w:t>(не бывшей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</w:t>
            </w:r>
            <w:r>
              <w:rPr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551" w:type="dxa"/>
            <w:vMerge w:val="continue"/>
            <w:tcBorders>
              <w:bottom w:val="outset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3" w:type="dxa"/>
            <w:vMerge w:val="continue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2" w:type="dxa"/>
            <w:vMerge w:val="continue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851" w:footer="709" w:bottom="9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ymbo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OST Type BU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7558748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6486355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b3d5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2016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rsid w:val="008c19e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</w:rPr>
  </w:style>
  <w:style w:type="paragraph" w:styleId="Heading4">
    <w:name w:val="Heading 4"/>
    <w:basedOn w:val="Heading3"/>
    <w:next w:val="Normal"/>
    <w:link w:val="4"/>
    <w:qFormat/>
    <w:rsid w:val="008c19e2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c19e2"/>
    <w:rPr>
      <w:rFonts w:ascii="Times New Roman" w:hAnsi="Times New Roman" w:eastAsia="Calibri" w:cs="Times New Roman"/>
      <w:b/>
      <w:sz w:val="24"/>
      <w:szCs w:val="24"/>
      <w:lang w:eastAsia="ru-RU"/>
    </w:rPr>
  </w:style>
  <w:style w:type="character" w:styleId="1" w:customStyle="1">
    <w:name w:val="Заголовок 1 Знак"/>
    <w:basedOn w:val="DefaultParagraphFont"/>
    <w:qFormat/>
    <w:rsid w:val="008c19e2"/>
    <w:rPr>
      <w:rFonts w:ascii="Times New Roman" w:hAnsi="Times New Roman" w:eastAsia="Calibri" w:cs="Times New Roman"/>
      <w:b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e52016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  <w:lang w:eastAsia="ru-RU"/>
    </w:rPr>
  </w:style>
  <w:style w:type="character" w:styleId="4" w:customStyle="1">
    <w:name w:val="Заголовок 4 Знак"/>
    <w:basedOn w:val="DefaultParagraphFont"/>
    <w:qFormat/>
    <w:rsid w:val="008c19e2"/>
    <w:rPr>
      <w:rFonts w:ascii="Times New Roman" w:hAnsi="Times New Roman" w:eastAsia="Calibri" w:cs="Times New Roman"/>
      <w:b/>
      <w:bCs/>
      <w:sz w:val="24"/>
      <w:szCs w:val="24"/>
      <w:lang w:eastAsia="ru-RU"/>
    </w:rPr>
  </w:style>
  <w:style w:type="character" w:styleId="Style5" w:customStyle="1">
    <w:name w:val="Абзац списка Знак"/>
    <w:link w:val="ListParagraph"/>
    <w:uiPriority w:val="34"/>
    <w:qFormat/>
    <w:locked/>
    <w:rsid w:val="00726006"/>
    <w:rPr>
      <w:rFonts w:ascii="Symbol" w:hAnsi="Symbol" w:eastAsia="Times New Roman" w:cs="Times New Roman"/>
      <w:sz w:val="26"/>
      <w:szCs w:val="26"/>
      <w:lang w:eastAsia="ru-RU"/>
    </w:rPr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2350a1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55ce0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qFormat/>
    <w:rsid w:val="00555ce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555ce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комментарий"/>
    <w:qFormat/>
    <w:rsid w:val="00726006"/>
    <w:rPr>
      <w:b/>
      <w:i/>
      <w:shd w:fill="FFFF99" w:val="clear"/>
    </w:rPr>
  </w:style>
  <w:style w:type="character" w:styleId="Hyperlink">
    <w:name w:val="Hyperlink"/>
    <w:uiPriority w:val="99"/>
    <w:rsid w:val="00e5201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c9071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Нижний колонтитул Знак"/>
    <w:basedOn w:val="DefaultParagraphFont"/>
    <w:uiPriority w:val="99"/>
    <w:qFormat/>
    <w:rsid w:val="00c9071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Ссылка указателя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unhideWhenUsed/>
    <w:qFormat/>
    <w:rsid w:val="002b3d55"/>
    <w:pPr>
      <w:spacing w:beforeAutospacing="1" w:afterAutospacing="1"/>
    </w:pPr>
    <w:rPr/>
  </w:style>
  <w:style w:type="paragraph" w:styleId="ListParagraph">
    <w:name w:val="List Paragraph"/>
    <w:basedOn w:val="Normal"/>
    <w:link w:val="Style5"/>
    <w:uiPriority w:val="34"/>
    <w:qFormat/>
    <w:rsid w:val="002b3d55"/>
    <w:pPr>
      <w:numPr>
        <w:ilvl w:val="0"/>
        <w:numId w:val="1"/>
      </w:numPr>
      <w:spacing w:before="0" w:after="0"/>
      <w:contextualSpacing/>
      <w:jc w:val="both"/>
    </w:pPr>
    <w:rPr>
      <w:rFonts w:ascii="Symbol" w:hAnsi="Symbol"/>
      <w:sz w:val="26"/>
      <w:szCs w:val="26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2350a1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7"/>
    <w:uiPriority w:val="99"/>
    <w:unhideWhenUsed/>
    <w:qFormat/>
    <w:rsid w:val="00555ce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555ce0"/>
    <w:pPr/>
    <w:rPr>
      <w:b/>
      <w:bCs/>
    </w:rPr>
  </w:style>
  <w:style w:type="paragraph" w:styleId="Revision">
    <w:name w:val="Revision"/>
    <w:uiPriority w:val="99"/>
    <w:semiHidden/>
    <w:qFormat/>
    <w:rsid w:val="002674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OC1">
    <w:name w:val="TOC 1"/>
    <w:basedOn w:val="Normal"/>
    <w:next w:val="Normal"/>
    <w:autoRedefine/>
    <w:uiPriority w:val="39"/>
    <w:rsid w:val="00e52016"/>
    <w:pPr>
      <w:spacing w:before="120" w:after="0"/>
    </w:pPr>
    <w:rPr>
      <w:rFonts w:cs="Calibri Light (Заголовки)"/>
      <w:b/>
      <w:bCs/>
    </w:rPr>
  </w:style>
  <w:style w:type="paragraph" w:styleId="TOC3">
    <w:name w:val="TOC 3"/>
    <w:basedOn w:val="Normal"/>
    <w:next w:val="Normal"/>
    <w:autoRedefine/>
    <w:uiPriority w:val="39"/>
    <w:rsid w:val="002e1e75"/>
    <w:pPr>
      <w:tabs>
        <w:tab w:val="clear" w:pos="708"/>
        <w:tab w:val="left" w:pos="1100" w:leader="none"/>
        <w:tab w:val="right" w:pos="9912" w:leader="dot"/>
      </w:tabs>
      <w:ind w:hanging="0" w:left="567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2e1e75"/>
    <w:pPr>
      <w:tabs>
        <w:tab w:val="clear" w:pos="708"/>
        <w:tab w:val="left" w:pos="1100" w:leader="none"/>
        <w:tab w:val="right" w:pos="9912" w:leader="dot"/>
      </w:tabs>
      <w:ind w:hanging="0" w:left="567"/>
    </w:pPr>
    <w:rPr>
      <w:rFonts w:cs="Calibri" w:cstheme="minorHAnsi"/>
      <w:sz w:val="20"/>
      <w:szCs w:val="20"/>
    </w:rPr>
  </w:style>
  <w:style w:type="paragraph" w:styleId="NoSpacing">
    <w:name w:val="No Spacing"/>
    <w:uiPriority w:val="1"/>
    <w:qFormat/>
    <w:rsid w:val="0090700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c907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c907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 w:customStyle="1">
    <w:name w:val="Содержимое таблицы"/>
    <w:basedOn w:val="Normal"/>
    <w:qFormat/>
    <w:rsid w:val="00ea34c1"/>
    <w:pPr>
      <w:widowControl w:val="false"/>
      <w:suppressLineNumbers/>
    </w:pPr>
    <w:rPr>
      <w:sz w:val="28"/>
      <w:szCs w:val="28"/>
    </w:rPr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2"/>
    <w:uiPriority w:val="39"/>
    <w:rsid w:val="002b3d5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2670A-66A4-4142-B7B3-8FD375E15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Application>AlterOffice/2026.2.0.0$Linux_X86_64 LibreOffice_project/bc4ef1adf80b36c7a6365f8ed6cbf29021361edd</Application>
  <AppVersion>15.0000</AppVersion>
  <Pages>6</Pages>
  <Words>684</Words>
  <Characters>4494</Characters>
  <CharactersWithSpaces>5021</CharactersWithSpaces>
  <Paragraphs>150</Paragraphs>
  <Company>HRVKK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2025-11-05T05:12:00Z</dcterms:created>
  <dc:creator>Тотров Давид Витальевич</dc:creator>
  <dc:description/>
  <dc:language>ru-RU</dc:language>
  <cp:lastModifiedBy>ramazanovaza@corp.gidroogk.com</cp:lastModifiedBy>
  <cp:lastPrinted>2026-08-14T13:46:33Z</cp:lastPrinted>
  <dcterms:modified xsi:type="dcterms:W3CDTF">2026-09-21T08:51:53Z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