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footer5.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footer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left="0" w:hanging="0"/>
        <w:outlineLvl w:val="0"/>
        <w:rPr>
          <w:sz w:val="24"/>
        </w:rPr>
      </w:pPr>
      <w:r>
        <w:rPr>
          <w:sz w:val="24"/>
        </w:rPr>
        <w:t>Договор поставки № ___</w:t>
      </w:r>
    </w:p>
    <w:p>
      <w:pPr>
        <w:pStyle w:val="Normal"/>
        <w:shd w:val="clear" w:color="auto" w:fill="FFFFFF"/>
        <w:spacing w:before="0" w:after="120"/>
        <w:rPr>
          <w:sz w:val="24"/>
          <w:szCs w:val="24"/>
        </w:rPr>
      </w:pPr>
      <w:r>
        <w:rPr>
          <w:sz w:val="24"/>
          <w:szCs w:val="24"/>
        </w:rPr>
        <w:t>Республика Хакасия, г. Саяногорск, рп. Черемушки</w:t>
        <w:tab/>
        <w:t xml:space="preserve"> </w:t>
        <w:tab/>
        <w:t xml:space="preserve">                    «____ 2026 г.</w:t>
      </w:r>
    </w:p>
    <w:p>
      <w:pPr>
        <w:pStyle w:val="Normal"/>
        <w:shd w:val="clear" w:color="auto" w:fill="FFFFFF"/>
        <w:spacing w:before="0" w:after="120"/>
        <w:ind w:firstLine="567"/>
        <w:jc w:val="both"/>
        <w:rPr>
          <w:sz w:val="24"/>
          <w:szCs w:val="24"/>
        </w:rPr>
      </w:pPr>
      <w:r>
        <w:rPr>
          <w:sz w:val="24"/>
          <w:szCs w:val="24"/>
        </w:rPr>
      </w:r>
    </w:p>
    <w:p>
      <w:pPr>
        <w:pStyle w:val="Normal"/>
        <w:spacing w:before="0" w:after="120"/>
        <w:ind w:firstLine="567"/>
        <w:jc w:val="both"/>
        <w:rPr>
          <w:sz w:val="24"/>
          <w:szCs w:val="24"/>
        </w:rPr>
      </w:pPr>
      <w:r>
        <w:rPr>
          <w:b/>
          <w:sz w:val="24"/>
          <w:szCs w:val="24"/>
        </w:rPr>
        <w:t xml:space="preserve">_____ (____), </w:t>
      </w:r>
      <w:r>
        <w:rPr>
          <w:sz w:val="24"/>
          <w:szCs w:val="24"/>
        </w:rPr>
        <w:t>именуемое в дальнейшем «</w:t>
      </w:r>
      <w:r>
        <w:rPr>
          <w:b/>
          <w:sz w:val="24"/>
          <w:szCs w:val="24"/>
        </w:rPr>
        <w:t>Покупатель</w:t>
      </w:r>
      <w:r>
        <w:rPr>
          <w:sz w:val="24"/>
          <w:szCs w:val="24"/>
        </w:rPr>
        <w:t>», в лице ______________, действующего на основании доверенности, с одной стороны, и</w:t>
      </w:r>
    </w:p>
    <w:p>
      <w:pPr>
        <w:pStyle w:val="Normal"/>
        <w:spacing w:before="0" w:after="120"/>
        <w:ind w:firstLine="567"/>
        <w:jc w:val="both"/>
        <w:rPr>
          <w:sz w:val="24"/>
          <w:szCs w:val="24"/>
        </w:rPr>
      </w:pPr>
      <w:r>
        <w:rPr>
          <w:b/>
          <w:sz w:val="24"/>
          <w:szCs w:val="24"/>
        </w:rPr>
        <w:t>____(_____),</w:t>
      </w:r>
      <w:r>
        <w:rPr>
          <w:sz w:val="24"/>
          <w:szCs w:val="24"/>
        </w:rPr>
        <w:t xml:space="preserve"> именуемое в дальнейшем «</w:t>
      </w:r>
      <w:r>
        <w:rPr>
          <w:b/>
          <w:sz w:val="24"/>
          <w:szCs w:val="24"/>
        </w:rPr>
        <w:t>Поставщик</w:t>
      </w:r>
      <w:r>
        <w:rPr>
          <w:sz w:val="24"/>
          <w:szCs w:val="24"/>
        </w:rPr>
        <w:t xml:space="preserve">», в лице ____________ на основании _____, с другой стороны, совместно в дальнейшем именуемые «Стороны», а по отдельности – «Сторона», </w:t>
      </w:r>
    </w:p>
    <w:p>
      <w:pPr>
        <w:pStyle w:val="Normal"/>
        <w:tabs>
          <w:tab w:val="clear" w:pos="720"/>
          <w:tab w:val="left" w:pos="567" w:leader="none"/>
        </w:tabs>
        <w:spacing w:before="0" w:after="120"/>
        <w:ind w:firstLine="556"/>
        <w:jc w:val="both"/>
        <w:rPr>
          <w:sz w:val="24"/>
          <w:szCs w:val="24"/>
        </w:rPr>
      </w:pPr>
      <w:r>
        <w:rPr>
          <w:sz w:val="24"/>
          <w:szCs w:val="24"/>
        </w:rPr>
        <w:t xml:space="preserve">по результатам проведенной нерегламентированной закупки, что подтверждается _____ от </w:t>
      </w:r>
      <w:r>
        <w:rPr>
          <w:bCs/>
          <w:sz w:val="24"/>
          <w:szCs w:val="24"/>
        </w:rPr>
        <w:t>«______ 2026г.,</w:t>
      </w:r>
      <w:r>
        <w:rPr>
          <w:sz w:val="24"/>
          <w:szCs w:val="24"/>
        </w:rPr>
        <w:t xml:space="preserve"> </w:t>
      </w:r>
    </w:p>
    <w:p>
      <w:pPr>
        <w:pStyle w:val="Normal"/>
        <w:spacing w:before="0" w:after="120"/>
        <w:ind w:firstLine="567"/>
        <w:jc w:val="both"/>
        <w:rPr>
          <w:sz w:val="24"/>
          <w:szCs w:val="24"/>
        </w:rPr>
      </w:pPr>
      <w:r>
        <w:rPr>
          <w:sz w:val="24"/>
          <w:szCs w:val="24"/>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left="0" w:hanging="0"/>
        <w:jc w:val="center"/>
        <w:rPr>
          <w:sz w:val="24"/>
          <w:szCs w:val="24"/>
        </w:rPr>
      </w:pPr>
      <w:r>
        <w:rPr>
          <w:b/>
          <w:bCs/>
          <w:sz w:val="24"/>
          <w:szCs w:val="24"/>
        </w:rPr>
        <w:t>Предмет Договора</w:t>
      </w:r>
    </w:p>
    <w:p>
      <w:pPr>
        <w:pStyle w:val="Title"/>
        <w:numPr>
          <w:ilvl w:val="1"/>
          <w:numId w:val="6"/>
        </w:numPr>
        <w:tabs>
          <w:tab w:val="clear" w:pos="720"/>
          <w:tab w:val="left" w:pos="142" w:leader="none"/>
        </w:tabs>
        <w:spacing w:before="0" w:after="120"/>
        <w:ind w:left="0" w:firstLine="567"/>
        <w:jc w:val="both"/>
        <w:rPr>
          <w:b w:val="false"/>
          <w:sz w:val="24"/>
        </w:rPr>
      </w:pPr>
      <w:r>
        <w:rPr>
          <w:b w:val="false"/>
          <w:sz w:val="24"/>
        </w:rPr>
        <w:t xml:space="preserve">Поставщик обязуется передать Покупателю </w:t>
      </w:r>
      <w:r>
        <w:rPr>
          <w:b/>
          <w:bCs/>
          <w:sz w:val="24"/>
        </w:rPr>
        <w:t>инъекционные составы</w:t>
      </w:r>
      <w:r>
        <w:rPr>
          <w:b w:val="false"/>
          <w:sz w:val="24"/>
        </w:rPr>
        <w:t xml:space="preserve"> (далее – «Продукция») на условиях, согласованных Сторонами в Договоре, в соответствии со Спецификацией (Приложение № 1), а Покупатель обязуется принять и оплатить Продукцию в установленном Договором порядке.</w:t>
      </w:r>
    </w:p>
    <w:p>
      <w:pPr>
        <w:pStyle w:val="Title"/>
        <w:numPr>
          <w:ilvl w:val="1"/>
          <w:numId w:val="6"/>
        </w:numPr>
        <w:shd w:val="clear" w:color="auto" w:fill="FFFFFF"/>
        <w:tabs>
          <w:tab w:val="clear" w:pos="720"/>
          <w:tab w:val="left" w:pos="142" w:leader="none"/>
          <w:tab w:val="left" w:pos="540" w:leader="none"/>
        </w:tabs>
        <w:spacing w:before="120" w:after="120"/>
        <w:ind w:left="0" w:firstLine="567"/>
        <w:jc w:val="both"/>
        <w:rPr>
          <w:sz w:val="24"/>
        </w:rPr>
      </w:pPr>
      <w:r>
        <w:rPr>
          <w:b w:val="false"/>
          <w:sz w:val="24"/>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sz w:val="24"/>
          <w:szCs w:val="24"/>
        </w:rPr>
      </w:pPr>
      <w:r>
        <w:rPr>
          <w:sz w:val="24"/>
          <w:szCs w:val="24"/>
        </w:rPr>
        <w:t>Поставка по Договору выполняется для нужд Саяно-Шушенского филиала АО «Гидроремонт-ВКК» в п.Черемушки.</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sz w:val="24"/>
          <w:szCs w:val="24"/>
        </w:rPr>
      </w:pPr>
      <w:r>
        <w:rPr>
          <w:sz w:val="24"/>
          <w:szCs w:val="24"/>
        </w:rPr>
        <w:t>Место поставки: ___</w:t>
      </w:r>
      <w:r>
        <w:rPr>
          <w:bCs/>
          <w:sz w:val="24"/>
          <w:szCs w:val="24"/>
          <w:lang w:eastAsia="x-none"/>
        </w:rPr>
        <w:t xml:space="preserve">, </w:t>
      </w:r>
      <w:r>
        <w:rPr>
          <w:sz w:val="24"/>
          <w:szCs w:val="24"/>
        </w:rPr>
        <w:t>(далее – «Место поставки»).</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sz w:val="24"/>
          <w:szCs w:val="24"/>
        </w:rPr>
      </w:pPr>
      <w:r>
        <w:rPr>
          <w:sz w:val="24"/>
          <w:szCs w:val="24"/>
        </w:rPr>
        <w:t xml:space="preserve">Срок поставки Продукции по Договору: в течение 35 календарных дней с даты подписания Договора. </w:t>
      </w:r>
    </w:p>
    <w:p>
      <w:pPr>
        <w:pStyle w:val="ListParagraph"/>
        <w:shd w:val="clear" w:color="auto" w:fill="FFFFFF"/>
        <w:tabs>
          <w:tab w:val="clear" w:pos="720"/>
          <w:tab w:val="left" w:pos="540" w:leader="none"/>
          <w:tab w:val="left" w:pos="1425" w:leader="none"/>
        </w:tabs>
        <w:spacing w:before="0" w:after="120"/>
        <w:ind w:left="567" w:hanging="0"/>
        <w:contextualSpacing w:val="false"/>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sz w:val="24"/>
          <w:szCs w:val="24"/>
        </w:rPr>
      </w:pPr>
      <w:r>
        <w:rPr>
          <w:b/>
          <w:sz w:val="24"/>
          <w:szCs w:val="24"/>
        </w:rPr>
        <w:t>Цена Договора и порядок оплаты</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Общая стоимость Продукции (далее – «Цена Договора») по Договору составляет ____ рублей 00 копеек (___ 00 копеек), в том числе НДС (22 %) в размере ___ рублей __ копейки (____ рублей __ копейки). </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Цена Договора включает в себя: </w:t>
      </w:r>
    </w:p>
    <w:p>
      <w:pPr>
        <w:pStyle w:val="ListParagraph"/>
        <w:numPr>
          <w:ilvl w:val="2"/>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Стоимость Продукции.</w:t>
      </w:r>
    </w:p>
    <w:p>
      <w:pPr>
        <w:pStyle w:val="Normal"/>
        <w:tabs>
          <w:tab w:val="clear" w:pos="720"/>
          <w:tab w:val="left" w:pos="0" w:leader="none"/>
          <w:tab w:val="left" w:pos="851" w:leader="none"/>
        </w:tabs>
        <w:spacing w:before="0" w:after="120"/>
        <w:jc w:val="both"/>
        <w:rPr>
          <w:sz w:val="24"/>
          <w:szCs w:val="24"/>
        </w:rPr>
      </w:pPr>
      <w:r>
        <w:rPr>
          <w:bCs/>
          <w:sz w:val="24"/>
          <w:szCs w:val="24"/>
        </w:rPr>
        <w:tab/>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Стоимость единицы Продукции определяется Спецификацией (Приложение № 1). </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Оплата в соответствии с Договором осуществляется следующим образом: </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 xml:space="preserve">2.5.1. </w:t>
      </w:r>
      <w:r>
        <w:rPr>
          <w:color w:val="C9211E"/>
          <w:sz w:val="24"/>
          <w:szCs w:val="24"/>
        </w:rPr>
        <w:t>Авансовый платеж в размере 30 %</w:t>
      </w:r>
      <w:r>
        <w:rPr>
          <w:sz w:val="24"/>
          <w:szCs w:val="24"/>
        </w:rPr>
        <w:t xml:space="preserve"> (шестидесяти процентов) от Цены Договора выплачивается в срок, не превышающий 30 (тридцать) календарных дней с даты получения Покупателем счета, выставленного Поставщиком, но не ранее 30 (тридцати) календарных дней до даты поставки Продукции.</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 xml:space="preserve">2.5.2.  </w:t>
      </w:r>
      <w:r>
        <w:rPr>
          <w:color w:val="C9211E"/>
          <w:sz w:val="24"/>
          <w:szCs w:val="24"/>
        </w:rPr>
        <w:t>Платеж в размере 70 %</w:t>
      </w:r>
      <w:r>
        <w:rPr>
          <w:sz w:val="24"/>
          <w:szCs w:val="24"/>
        </w:rPr>
        <w:t xml:space="preserve"> (сорока </w:t>
      </w:r>
      <w:bookmarkStart w:id="0" w:name="_GoBack"/>
      <w:bookmarkEnd w:id="0"/>
      <w:r>
        <w:rPr>
          <w:sz w:val="24"/>
          <w:szCs w:val="24"/>
        </w:rPr>
        <w:t xml:space="preserve">процентов) от стоимости поставленной Продукции, согласно Спецификации (Приложение № 1), производится Покупателем в течение 7 (семи) рабочих дней с даты подписания Товарной накладной по форме ТОРГ-12 или Универсального передаточного документа (УПД) на Продукцию, при условии получении счета, выставленного Поставщиком с учетом п. 2.6 Договора </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sz w:val="24"/>
          <w:szCs w:val="24"/>
        </w:rPr>
      </w:pPr>
      <w:r>
        <w:rPr>
          <w:sz w:val="24"/>
          <w:szCs w:val="24"/>
        </w:rPr>
        <w:t xml:space="preserve"> </w:t>
      </w: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Продукции.</w:t>
      </w:r>
    </w:p>
    <w:p>
      <w:pPr>
        <w:pStyle w:val="Normal"/>
        <w:widowControl w:val="false"/>
        <w:numPr>
          <w:ilvl w:val="0"/>
          <w:numId w:val="6"/>
        </w:numPr>
        <w:shd w:val="clear" w:color="auto" w:fill="FFFFFF"/>
        <w:tabs>
          <w:tab w:val="clear" w:pos="720"/>
          <w:tab w:val="left" w:pos="426" w:leader="none"/>
        </w:tabs>
        <w:spacing w:before="0" w:after="120"/>
        <w:ind w:left="0" w:hanging="0"/>
        <w:jc w:val="center"/>
        <w:rPr>
          <w:sz w:val="24"/>
          <w:szCs w:val="24"/>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Сертификат качества в 1 экз.;</w:t>
      </w:r>
    </w:p>
    <w:p>
      <w:pPr>
        <w:pStyle w:val="Normal"/>
        <w:widowControl w:val="false"/>
        <w:numPr>
          <w:ilvl w:val="0"/>
          <w:numId w:val="3"/>
        </w:numPr>
        <w:shd w:val="clear" w:color="auto" w:fill="FFFFFF"/>
        <w:tabs>
          <w:tab w:val="clear" w:pos="720"/>
          <w:tab w:val="left" w:pos="0" w:leader="none"/>
          <w:tab w:val="left" w:pos="900" w:leader="none"/>
          <w:tab w:val="left" w:pos="927" w:leader="none"/>
        </w:tabs>
        <w:spacing w:before="0" w:after="120"/>
        <w:ind w:left="851" w:hanging="284"/>
        <w:jc w:val="both"/>
        <w:rPr>
          <w:sz w:val="24"/>
          <w:szCs w:val="24"/>
        </w:rPr>
      </w:pPr>
      <w:r>
        <w:rPr>
          <w:sz w:val="24"/>
          <w:szCs w:val="24"/>
        </w:rPr>
        <w:t>Технический паспорт (протоколы электрических испытаний)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Руководство по эксплуатации (монтажу и т.п.)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left="0" w:firstLine="567"/>
        <w:jc w:val="both"/>
        <w:rPr>
          <w:sz w:val="24"/>
          <w:szCs w:val="24"/>
        </w:rPr>
      </w:pPr>
      <w:r>
        <w:rPr>
          <w:sz w:val="24"/>
          <w:szCs w:val="24"/>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sz w:val="24"/>
          <w:szCs w:val="24"/>
        </w:rPr>
      </w:pPr>
      <w:r>
        <w:rPr>
          <w:sz w:val="24"/>
          <w:szCs w:val="24"/>
        </w:rPr>
        <w:t xml:space="preserve">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ред. </w:t>
      </w:r>
      <w:hyperlink r:id="rId2">
        <w:r>
          <w:rPr>
            <w:rStyle w:val="Hyperlink"/>
            <w:color w:val="auto"/>
            <w:sz w:val="24"/>
            <w:szCs w:val="24"/>
            <w:u w:val="none"/>
          </w:rPr>
          <w:t>Постановления Правительства РФ от 21.12.2020 № 2200</w:t>
        </w:r>
      </w:hyperlink>
      <w:r>
        <w:rPr>
          <w:sz w:val="24"/>
          <w:szCs w:val="24"/>
        </w:rPr>
        <w:t>);</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sz w:val="24"/>
          <w:szCs w:val="24"/>
        </w:rPr>
      </w:pPr>
      <w:r>
        <w:rPr>
          <w:sz w:val="24"/>
          <w:szCs w:val="24"/>
        </w:rPr>
        <w:t>Товарную накладную по форме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товарно-транспортную накладную формы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ред. </w:t>
      </w:r>
      <w:hyperlink r:id="rId3">
        <w:r>
          <w:rPr>
            <w:rStyle w:val="Hyperlink"/>
            <w:color w:val="auto"/>
            <w:sz w:val="24"/>
            <w:szCs w:val="24"/>
            <w:u w:val="none"/>
          </w:rPr>
          <w:t>Постановления Правительства РФ от 21.12.2020 № 2200</w:t>
        </w:r>
      </w:hyperlink>
      <w:r>
        <w:rPr>
          <w:rStyle w:val="Hyperlink"/>
          <w:color w:val="auto"/>
          <w:sz w:val="24"/>
          <w:szCs w:val="24"/>
          <w:u w:val="none"/>
        </w:rPr>
        <w:t>)</w:t>
      </w:r>
      <w:r>
        <w:rPr>
          <w:sz w:val="24"/>
          <w:szCs w:val="24"/>
        </w:rPr>
        <w:t>.</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Поставщику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или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ред. </w:t>
      </w:r>
      <w:hyperlink r:id="rId4">
        <w:r>
          <w:rPr>
            <w:rStyle w:val="Hyperlink"/>
            <w:color w:val="auto"/>
            <w:sz w:val="24"/>
            <w:szCs w:val="24"/>
            <w:u w:val="none"/>
          </w:rPr>
          <w:t>Постановления Правительства РФ от 21.12.2020 № 2200</w:t>
        </w:r>
      </w:hyperlink>
      <w:r>
        <w:rPr>
          <w:sz w:val="24"/>
          <w:szCs w:val="24"/>
        </w:rPr>
        <w:t>). В случае отсутствия замечаний Покупатель подписывает товарную накладную унифицированной формы ТОРГ-12.</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На Продукцию устанавливается гарантийный срок, равный не менее </w:t>
      </w:r>
      <w:r>
        <w:rPr>
          <w:color w:val="C9211E"/>
          <w:sz w:val="24"/>
          <w:szCs w:val="24"/>
        </w:rPr>
        <w:t>12 месяцев,</w:t>
      </w:r>
      <w:r>
        <w:rPr>
          <w:sz w:val="24"/>
          <w:szCs w:val="24"/>
        </w:rPr>
        <w:t xml:space="preserve"> исчисляемый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5"/>
      <w:bookmarkStart w:id="2" w:name="OLE_LINK6"/>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left="0" w:hanging="0"/>
        <w:jc w:val="center"/>
        <w:rPr>
          <w:sz w:val="24"/>
          <w:szCs w:val="24"/>
        </w:rPr>
      </w:pPr>
      <w:r>
        <w:rPr>
          <w:b/>
          <w:sz w:val="24"/>
          <w:szCs w:val="24"/>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shd w:val="clear" w:color="auto" w:fill="FFFFFF"/>
        <w:tabs>
          <w:tab w:val="clear" w:pos="720"/>
          <w:tab w:val="left" w:pos="1276" w:leader="none"/>
          <w:tab w:val="left" w:pos="1418" w:leader="none"/>
        </w:tabs>
        <w:spacing w:before="0" w:after="120"/>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sz w:val="24"/>
          <w:szCs w:val="24"/>
        </w:rPr>
      </w:pPr>
      <w:r>
        <w:rPr>
          <w:b/>
          <w:sz w:val="24"/>
          <w:szCs w:val="24"/>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left="0" w:firstLine="567"/>
        <w:contextualSpacing w:val="false"/>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shd w:val="clear" w:color="auto" w:fill="FFFFFF"/>
        <w:tabs>
          <w:tab w:val="clear" w:pos="720"/>
          <w:tab w:val="left" w:pos="1276" w:leader="none"/>
        </w:tabs>
        <w:spacing w:before="0" w:after="120"/>
        <w:ind w:left="360" w:hanging="0"/>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sz w:val="24"/>
          <w:szCs w:val="24"/>
        </w:rPr>
      </w:pPr>
      <w:r>
        <w:rPr>
          <w:b/>
          <w:sz w:val="24"/>
          <w:szCs w:val="24"/>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pPr>
        <w:pStyle w:val="Normal"/>
        <w:widowControl w:val="false"/>
        <w:numPr>
          <w:ilvl w:val="1"/>
          <w:numId w:val="6"/>
        </w:numPr>
        <w:shd w:val="clear" w:color="auto" w:fill="FFFFFF"/>
        <w:tabs>
          <w:tab w:val="clear" w:pos="720"/>
          <w:tab w:val="left" w:pos="567" w:leader="none"/>
        </w:tabs>
        <w:spacing w:before="0" w:after="120"/>
        <w:ind w:left="0" w:firstLine="567"/>
        <w:jc w:val="both"/>
        <w:rPr>
          <w:sz w:val="24"/>
          <w:szCs w:val="24"/>
        </w:rPr>
      </w:pPr>
      <w:r>
        <w:rPr>
          <w:sz w:val="24"/>
          <w:szCs w:val="24"/>
        </w:rPr>
        <w:t xml:space="preserve">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bookmarkStart w:id="3" w:name="_Hlk130023773"/>
      <w:r>
        <w:rPr>
          <w:sz w:val="24"/>
          <w:szCs w:val="24"/>
        </w:rPr>
        <w:t xml:space="preserve">В случае </w:t>
      </w:r>
      <w:bookmarkStart w:id="4" w:name="_Hlk130023740"/>
      <w:r>
        <w:rPr>
          <w:sz w:val="24"/>
          <w:szCs w:val="24"/>
        </w:rPr>
        <w:t xml:space="preserve">нарушения </w:t>
      </w:r>
      <w:bookmarkEnd w:id="4"/>
      <w:r>
        <w:rPr>
          <w:sz w:val="24"/>
          <w:szCs w:val="24"/>
        </w:rPr>
        <w:t>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w:t>
      </w:r>
      <w:bookmarkEnd w:id="3"/>
      <w:r>
        <w:rPr>
          <w:sz w:val="24"/>
          <w:szCs w:val="24"/>
        </w:rPr>
        <w:t xml:space="preserve">. </w:t>
      </w:r>
    </w:p>
    <w:p>
      <w:pPr>
        <w:pStyle w:val="Normal"/>
        <w:tabs>
          <w:tab w:val="clear" w:pos="720"/>
          <w:tab w:val="left" w:pos="1701" w:leader="none"/>
        </w:tabs>
        <w:jc w:val="both"/>
        <w:rPr>
          <w:sz w:val="24"/>
          <w:szCs w:val="24"/>
        </w:rPr>
      </w:pPr>
      <w:r>
        <w:rPr>
          <w:sz w:val="24"/>
          <w:szCs w:val="24"/>
        </w:rPr>
        <w:tab/>
      </w:r>
      <w:bookmarkStart w:id="5" w:name="_Hlk130023812"/>
      <w:r>
        <w:rPr>
          <w:sz w:val="24"/>
          <w:szCs w:val="24"/>
        </w:rPr>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pPr>
        <w:pStyle w:val="Normal"/>
        <w:numPr>
          <w:ilvl w:val="0"/>
          <w:numId w:val="14"/>
        </w:numPr>
        <w:tabs>
          <w:tab w:val="clear" w:pos="720"/>
          <w:tab w:val="left" w:pos="1701" w:leader="none"/>
        </w:tabs>
        <w:ind w:left="0" w:firstLine="709"/>
        <w:jc w:val="both"/>
        <w:rPr>
          <w:sz w:val="24"/>
          <w:szCs w:val="24"/>
        </w:rPr>
      </w:pPr>
      <w:r>
        <w:rPr>
          <w:rFonts w:eastAsia="Calibri"/>
          <w:bCs/>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влияющих на возможность эксплуатации (использования) </w:t>
      </w:r>
      <w:r>
        <w:rPr>
          <w:sz w:val="24"/>
          <w:szCs w:val="24"/>
        </w:rPr>
        <w:t>Продукции</w:t>
      </w:r>
      <w:r>
        <w:rPr>
          <w:rFonts w:eastAsia="Calibri"/>
          <w:bCs/>
          <w:sz w:val="24"/>
          <w:szCs w:val="24"/>
        </w:rPr>
        <w:t xml:space="preserve"> в целом;</w:t>
      </w:r>
    </w:p>
    <w:p>
      <w:pPr>
        <w:pStyle w:val="Normal"/>
        <w:numPr>
          <w:ilvl w:val="0"/>
          <w:numId w:val="14"/>
        </w:numPr>
        <w:tabs>
          <w:tab w:val="clear" w:pos="720"/>
          <w:tab w:val="left" w:pos="1701" w:leader="none"/>
        </w:tabs>
        <w:ind w:left="0" w:firstLine="709"/>
        <w:jc w:val="both"/>
        <w:rPr>
          <w:sz w:val="24"/>
          <w:szCs w:val="24"/>
        </w:rPr>
      </w:pPr>
      <w:r>
        <w:rPr>
          <w:rFonts w:eastAsia="Calibri"/>
          <w:bCs/>
          <w:sz w:val="24"/>
          <w:szCs w:val="24"/>
        </w:rPr>
        <w:t xml:space="preserve">неустойки в размере 0,1 (ноль целых и одна десятая) процента от стоимости некачественной </w:t>
      </w:r>
      <w:r>
        <w:rPr>
          <w:sz w:val="24"/>
          <w:szCs w:val="24"/>
        </w:rPr>
        <w:t>Продукции</w:t>
      </w:r>
      <w:r>
        <w:rPr>
          <w:rFonts w:eastAsia="Calibri"/>
          <w:bCs/>
          <w:sz w:val="24"/>
          <w:szCs w:val="24"/>
        </w:rPr>
        <w:t xml:space="preserve">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не влияющих на возможность эксплуатации (использования) </w:t>
      </w:r>
      <w:r>
        <w:rPr>
          <w:sz w:val="24"/>
          <w:szCs w:val="24"/>
        </w:rPr>
        <w:t>Продукции</w:t>
      </w:r>
      <w:r>
        <w:rPr>
          <w:rFonts w:eastAsia="Calibri"/>
          <w:bCs/>
          <w:sz w:val="24"/>
          <w:szCs w:val="24"/>
        </w:rPr>
        <w:t xml:space="preserve"> в целом</w:t>
      </w:r>
      <w:bookmarkEnd w:id="5"/>
      <w:r>
        <w:rPr>
          <w:rFonts w:eastAsia="Calibri"/>
          <w:bCs/>
          <w:sz w:val="24"/>
          <w:szCs w:val="24"/>
        </w:rPr>
        <w:t>.</w:t>
      </w:r>
      <w:r>
        <w:rPr>
          <w:sz w:val="24"/>
          <w:szCs w:val="24"/>
        </w:rPr>
        <w:t xml:space="preserve"> </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владельцев ценных бумаг;</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устав.</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учредительный договор или положение;</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 xml:space="preserve">решение и договор о создании. </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left="709" w:hanging="283"/>
        <w:outlineLvl w:val="0"/>
        <w:rPr>
          <w:sz w:val="24"/>
          <w:szCs w:val="24"/>
        </w:rPr>
      </w:pPr>
      <w:r>
        <w:rPr>
          <w:sz w:val="24"/>
          <w:szCs w:val="24"/>
        </w:rPr>
        <w:t>выписка из торгового реестра страны инкорпорации;</w:t>
      </w:r>
    </w:p>
    <w:p>
      <w:pPr>
        <w:pStyle w:val="Normal"/>
        <w:numPr>
          <w:ilvl w:val="0"/>
          <w:numId w:val="9"/>
        </w:numPr>
        <w:spacing w:before="0"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widowControl/>
        <w:numPr>
          <w:ilvl w:val="1"/>
          <w:numId w:val="6"/>
        </w:numPr>
        <w:shd w:val="clear" w:color="auto" w:fill="FFFFFF"/>
        <w:ind w:left="0" w:firstLine="567"/>
        <w:jc w:val="both"/>
        <w:rPr>
          <w:sz w:val="24"/>
          <w:szCs w:val="24"/>
        </w:rPr>
      </w:pPr>
      <w:r>
        <w:rPr>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shd w:val="clear" w:color="auto" w:fill="FFFFFF"/>
        <w:tabs>
          <w:tab w:val="clear" w:pos="720"/>
          <w:tab w:val="left" w:pos="840" w:leader="none"/>
        </w:tabs>
        <w:ind w:left="0" w:firstLine="567"/>
        <w:jc w:val="both"/>
        <w:rPr>
          <w:sz w:val="24"/>
          <w:szCs w:val="24"/>
        </w:rPr>
      </w:pPr>
      <w:r>
        <w:rPr>
          <w:bCs/>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shd w:val="clear" w:color="auto" w:fill="FFFFFF"/>
        <w:tabs>
          <w:tab w:val="clear" w:pos="720"/>
          <w:tab w:val="left" w:pos="840" w:leader="none"/>
        </w:tabs>
        <w:ind w:left="0" w:firstLine="567"/>
        <w:jc w:val="both"/>
        <w:rPr>
          <w:sz w:val="24"/>
          <w:szCs w:val="24"/>
        </w:rPr>
      </w:pPr>
      <w:r>
        <w:rPr>
          <w:bCs/>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shd w:val="clear" w:color="auto" w:fill="FFFFFF"/>
        <w:tabs>
          <w:tab w:val="clear" w:pos="720"/>
          <w:tab w:val="left" w:pos="840" w:leader="none"/>
        </w:tabs>
        <w:ind w:left="0" w:firstLine="567"/>
        <w:jc w:val="both"/>
        <w:rPr>
          <w:sz w:val="24"/>
          <w:szCs w:val="24"/>
        </w:rPr>
      </w:pPr>
      <w:r>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shd w:val="clear" w:color="auto" w:fill="FFFFFF"/>
        <w:tabs>
          <w:tab w:val="clear" w:pos="720"/>
          <w:tab w:val="left" w:pos="840" w:leader="none"/>
        </w:tabs>
        <w:ind w:left="0" w:firstLine="567"/>
        <w:jc w:val="both"/>
        <w:rPr>
          <w:sz w:val="24"/>
          <w:szCs w:val="24"/>
        </w:rPr>
      </w:pPr>
      <w:r>
        <w:rPr>
          <w:bCs/>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shd w:val="clear" w:color="auto" w:fill="FFFFFF"/>
        <w:tabs>
          <w:tab w:val="clear" w:pos="720"/>
          <w:tab w:val="left" w:pos="840" w:leader="none"/>
        </w:tabs>
        <w:ind w:left="0" w:firstLine="567"/>
        <w:jc w:val="both"/>
        <w:rPr>
          <w:sz w:val="24"/>
          <w:szCs w:val="24"/>
        </w:rPr>
      </w:pPr>
      <w:r>
        <w:rPr>
          <w:bCs/>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shd w:val="clear" w:color="auto" w:fill="FFFFFF"/>
        <w:tabs>
          <w:tab w:val="clear" w:pos="720"/>
          <w:tab w:val="left" w:pos="567" w:leader="none"/>
          <w:tab w:val="left" w:pos="840" w:leader="none"/>
        </w:tabs>
        <w:ind w:left="0" w:firstLine="567"/>
        <w:jc w:val="both"/>
        <w:rPr>
          <w:sz w:val="24"/>
          <w:szCs w:val="24"/>
        </w:rPr>
      </w:pPr>
      <w:r>
        <w:rPr>
          <w:sz w:val="24"/>
          <w:szCs w:val="24"/>
        </w:rPr>
        <w:t xml:space="preserve">Каналы связи Линия доверия Группы РусГидро: </w:t>
      </w:r>
    </w:p>
    <w:p>
      <w:pPr>
        <w:pStyle w:val="ListParagraph"/>
        <w:shd w:val="clear" w:color="auto" w:fill="FFFFFF"/>
        <w:tabs>
          <w:tab w:val="clear" w:pos="720"/>
          <w:tab w:val="left" w:pos="567" w:leader="none"/>
          <w:tab w:val="left" w:pos="840" w:leader="none"/>
        </w:tabs>
        <w:ind w:left="0" w:firstLine="567"/>
        <w:jc w:val="both"/>
        <w:rPr>
          <w:sz w:val="24"/>
          <w:szCs w:val="24"/>
        </w:rPr>
      </w:pPr>
      <w:r>
        <w:rPr>
          <w:sz w:val="24"/>
          <w:szCs w:val="24"/>
        </w:rPr>
        <w:t>Электронная почта: ld@rushydro.ru.</w:t>
      </w:r>
    </w:p>
    <w:p>
      <w:pPr>
        <w:pStyle w:val="ListParagraph"/>
        <w:shd w:val="clear" w:color="auto" w:fill="FFFFFF"/>
        <w:tabs>
          <w:tab w:val="clear" w:pos="720"/>
          <w:tab w:val="left" w:pos="567" w:leader="none"/>
          <w:tab w:val="left" w:pos="840" w:leader="none"/>
        </w:tabs>
        <w:ind w:left="0" w:firstLine="567"/>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numPr>
          <w:ilvl w:val="0"/>
          <w:numId w:val="0"/>
        </w:numPr>
        <w:tabs>
          <w:tab w:val="clear" w:pos="720"/>
          <w:tab w:val="left" w:pos="567" w:leader="none"/>
        </w:tabs>
        <w:spacing w:before="0" w:after="120"/>
        <w:ind w:left="0" w:hanging="0"/>
        <w:jc w:val="both"/>
        <w:outlineLvl w:val="0"/>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numPr>
          <w:ilvl w:val="0"/>
          <w:numId w:val="0"/>
        </w:numPr>
        <w:tabs>
          <w:tab w:val="clear" w:pos="720"/>
          <w:tab w:val="left" w:pos="567" w:leader="none"/>
        </w:tabs>
        <w:spacing w:before="0" w:after="120"/>
        <w:ind w:left="0" w:firstLine="567"/>
        <w:jc w:val="both"/>
        <w:outlineLvl w:val="0"/>
        <w:rPr>
          <w:sz w:val="24"/>
          <w:szCs w:val="24"/>
        </w:rPr>
      </w:pPr>
      <w:r>
        <w:rPr>
          <w:sz w:val="24"/>
          <w:szCs w:val="24"/>
        </w:rPr>
        <w:t>6.13 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Normal"/>
        <w:widowControl w:val="false"/>
        <w:numPr>
          <w:ilvl w:val="0"/>
          <w:numId w:val="6"/>
        </w:numPr>
        <w:shd w:val="clear" w:color="auto" w:fill="FFFFFF"/>
        <w:tabs>
          <w:tab w:val="clear" w:pos="720"/>
          <w:tab w:val="left" w:pos="426" w:leader="none"/>
          <w:tab w:val="left" w:pos="1276" w:leader="none"/>
        </w:tabs>
        <w:spacing w:before="0" w:after="120"/>
        <w:ind w:left="0" w:hanging="0"/>
        <w:jc w:val="center"/>
        <w:rPr>
          <w:sz w:val="24"/>
          <w:szCs w:val="24"/>
        </w:rPr>
      </w:pPr>
      <w:r>
        <w:rPr>
          <w:b/>
          <w:bCs/>
          <w:sz w:val="24"/>
          <w:szCs w:val="24"/>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5">
        <w:r>
          <w:rPr>
            <w:sz w:val="24"/>
            <w:szCs w:val="24"/>
          </w:rPr>
          <w:t>№ 18162/09</w:t>
        </w:r>
      </w:hyperlink>
      <w:r>
        <w:rPr>
          <w:sz w:val="24"/>
          <w:szCs w:val="24"/>
        </w:rPr>
        <w:t xml:space="preserve"> и от 25.05.2010 </w:t>
      </w:r>
      <w:hyperlink r:id="rId6">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7">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left="0" w:hanging="0"/>
        <w:jc w:val="center"/>
        <w:rPr>
          <w:sz w:val="24"/>
          <w:szCs w:val="24"/>
        </w:rPr>
      </w:pPr>
      <w:r>
        <w:rPr>
          <w:b/>
          <w:sz w:val="24"/>
          <w:szCs w:val="24"/>
        </w:rPr>
        <w:t>Форс</w:t>
      </w:r>
      <w:r>
        <w:rPr>
          <w:b/>
          <w:bCs/>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left="0" w:hanging="0"/>
        <w:jc w:val="center"/>
        <w:rPr>
          <w:sz w:val="24"/>
          <w:szCs w:val="24"/>
        </w:rPr>
      </w:pPr>
      <w:r>
        <w:rPr>
          <w:b/>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left="851" w:hanging="284"/>
        <w:jc w:val="both"/>
        <w:rPr>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left="851" w:hanging="284"/>
        <w:jc w:val="both"/>
        <w:rPr>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left="851" w:hanging="284"/>
        <w:jc w:val="both"/>
        <w:rPr>
          <w:sz w:val="24"/>
          <w:szCs w:val="24"/>
        </w:rPr>
      </w:pPr>
      <w:r>
        <w:rPr>
          <w:bCs/>
          <w:sz w:val="24"/>
          <w:szCs w:val="24"/>
        </w:rPr>
        <w:t>финансовую отчетность;</w:t>
      </w:r>
    </w:p>
    <w:p>
      <w:pPr>
        <w:pStyle w:val="Normal"/>
        <w:numPr>
          <w:ilvl w:val="0"/>
          <w:numId w:val="8"/>
        </w:numPr>
        <w:tabs>
          <w:tab w:val="clear" w:pos="720"/>
          <w:tab w:val="left" w:pos="0" w:leader="none"/>
        </w:tabs>
        <w:spacing w:before="0" w:after="120"/>
        <w:ind w:left="851" w:hanging="284"/>
        <w:jc w:val="both"/>
        <w:rPr>
          <w:sz w:val="24"/>
          <w:szCs w:val="24"/>
        </w:rPr>
      </w:pPr>
      <w:r>
        <w:rPr>
          <w:bCs/>
          <w:sz w:val="24"/>
          <w:szCs w:val="24"/>
        </w:rPr>
        <w:t>учетные регистры бухгалтерского учета;</w:t>
      </w:r>
    </w:p>
    <w:p>
      <w:pPr>
        <w:pStyle w:val="Normal"/>
        <w:numPr>
          <w:ilvl w:val="0"/>
          <w:numId w:val="8"/>
        </w:numPr>
        <w:tabs>
          <w:tab w:val="clear" w:pos="720"/>
          <w:tab w:val="left" w:pos="0" w:leader="none"/>
        </w:tabs>
        <w:spacing w:before="0" w:after="120"/>
        <w:ind w:left="851" w:hanging="284"/>
        <w:jc w:val="both"/>
        <w:rPr>
          <w:sz w:val="24"/>
          <w:szCs w:val="24"/>
        </w:rPr>
      </w:pPr>
      <w:r>
        <w:rPr>
          <w:bCs/>
          <w:sz w:val="24"/>
          <w:szCs w:val="24"/>
        </w:rPr>
        <w:t>бизнес-планы;</w:t>
      </w:r>
    </w:p>
    <w:p>
      <w:pPr>
        <w:pStyle w:val="Normal"/>
        <w:numPr>
          <w:ilvl w:val="0"/>
          <w:numId w:val="8"/>
        </w:numPr>
        <w:tabs>
          <w:tab w:val="clear" w:pos="720"/>
          <w:tab w:val="left" w:pos="0" w:leader="none"/>
        </w:tabs>
        <w:spacing w:before="0" w:after="120"/>
        <w:ind w:left="851" w:hanging="284"/>
        <w:jc w:val="both"/>
        <w:rPr>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left="851" w:hanging="284"/>
        <w:jc w:val="both"/>
        <w:rPr>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left="851" w:hanging="284"/>
        <w:jc w:val="both"/>
        <w:rPr>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left="851" w:hanging="284"/>
        <w:jc w:val="both"/>
        <w:rPr>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left="851" w:hanging="284"/>
        <w:jc w:val="both"/>
        <w:rPr>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left="851" w:hanging="284"/>
        <w:jc w:val="both"/>
        <w:rPr>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sz w:val="24"/>
          <w:szCs w:val="24"/>
        </w:rPr>
      </w:pPr>
      <w:r>
        <w:rPr>
          <w:b/>
          <w:sz w:val="24"/>
          <w:szCs w:val="24"/>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left="0" w:hanging="0"/>
        <w:jc w:val="center"/>
        <w:rPr>
          <w:sz w:val="24"/>
          <w:szCs w:val="24"/>
        </w:rPr>
      </w:pPr>
      <w:r>
        <w:rPr>
          <w:b/>
          <w:sz w:val="24"/>
          <w:szCs w:val="24"/>
        </w:rPr>
        <w:t>Разрешение споров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6" w:name="Par2"/>
      <w:bookmarkEnd w:id="6"/>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города Москвы.</w:t>
      </w:r>
    </w:p>
    <w:p>
      <w:pPr>
        <w:pStyle w:val="Normal"/>
        <w:widowControl w:val="false"/>
        <w:shd w:val="clear" w:color="auto" w:fill="FFFFFF"/>
        <w:tabs>
          <w:tab w:val="left" w:pos="720" w:leader="none"/>
        </w:tabs>
        <w:spacing w:before="0" w:after="120"/>
        <w:ind w:left="567" w:hanging="0"/>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sz w:val="24"/>
          <w:szCs w:val="24"/>
        </w:rPr>
      </w:pPr>
      <w:r>
        <w:rPr>
          <w:b/>
          <w:bCs/>
          <w:sz w:val="24"/>
          <w:szCs w:val="24"/>
        </w:rPr>
        <w:t>Прекращение (расторжение)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left="0" w:firstLine="567"/>
        <w:contextualSpacing w:val="false"/>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sz w:val="24"/>
          <w:szCs w:val="24"/>
        </w:rPr>
      </w:pPr>
      <w:r>
        <w:rPr>
          <w:b/>
          <w:bCs/>
          <w:sz w:val="24"/>
          <w:szCs w:val="24"/>
        </w:rPr>
        <w:t>Заверения</w:t>
      </w:r>
      <w:r>
        <w:rPr>
          <w:b/>
          <w:sz w:val="24"/>
          <w:szCs w:val="24"/>
        </w:rPr>
        <w:t xml:space="preserve"> Сторон</w:t>
      </w:r>
    </w:p>
    <w:p>
      <w:pPr>
        <w:pStyle w:val="ListParagraph"/>
        <w:numPr>
          <w:ilvl w:val="1"/>
          <w:numId w:val="6"/>
        </w:numPr>
        <w:shd w:val="clear" w:color="auto" w:fill="FFFFFF"/>
        <w:spacing w:before="0" w:after="120"/>
        <w:ind w:left="0" w:firstLine="567"/>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left="0" w:hanging="0"/>
        <w:jc w:val="center"/>
        <w:rPr>
          <w:sz w:val="24"/>
          <w:szCs w:val="24"/>
        </w:rPr>
      </w:pPr>
      <w:r>
        <w:rPr>
          <w:b/>
          <w:sz w:val="24"/>
          <w:szCs w:val="24"/>
        </w:rPr>
        <w:t>Заключительные положения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6"/>
        </w:numPr>
        <w:shd w:val="clear" w:color="auto" w:fill="FFFFFF"/>
        <w:spacing w:before="0" w:after="120"/>
        <w:ind w:left="0" w:firstLine="567"/>
        <w:contextualSpacing w:val="false"/>
        <w:jc w:val="both"/>
        <w:rPr>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left="0" w:firstLine="567"/>
        <w:contextualSpacing w:val="false"/>
        <w:jc w:val="both"/>
        <w:rPr>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tabs>
          <w:tab w:val="clear" w:pos="720"/>
          <w:tab w:val="left" w:pos="426" w:leader="none"/>
        </w:tabs>
        <w:spacing w:before="0" w:after="120"/>
        <w:ind w:left="0" w:hanging="0"/>
        <w:jc w:val="center"/>
        <w:rPr>
          <w:sz w:val="24"/>
          <w:szCs w:val="24"/>
        </w:rPr>
      </w:pPr>
      <w:r>
        <w:rPr>
          <w:b/>
          <w:sz w:val="24"/>
          <w:szCs w:val="24"/>
        </w:rPr>
        <w:t>Приложения к Договору</w:t>
      </w:r>
    </w:p>
    <w:p>
      <w:pPr>
        <w:pStyle w:val="Heading3"/>
        <w:keepNext w:val="false"/>
        <w:tabs>
          <w:tab w:val="clear" w:pos="0"/>
        </w:tabs>
        <w:spacing w:before="0" w:after="120"/>
        <w:ind w:left="567" w:hanging="0"/>
        <w:jc w:val="both"/>
        <w:textAlignment w:val="baseline"/>
        <w:rPr>
          <w:sz w:val="24"/>
          <w:szCs w:val="24"/>
        </w:rPr>
      </w:pPr>
      <w:r>
        <w:rPr>
          <w:b w:val="false"/>
          <w:sz w:val="24"/>
          <w:szCs w:val="24"/>
        </w:rPr>
        <w:t>- Приложение № 1 – Спецификация.</w:t>
      </w:r>
    </w:p>
    <w:p>
      <w:pPr>
        <w:pStyle w:val="Normal"/>
        <w:spacing w:before="0" w:after="120"/>
        <w:ind w:left="567" w:hanging="567"/>
        <w:rPr>
          <w:sz w:val="24"/>
          <w:szCs w:val="24"/>
        </w:rPr>
      </w:pPr>
      <w:bookmarkStart w:id="7" w:name="sub_1"/>
      <w:r>
        <w:rPr>
          <w:sz w:val="24"/>
          <w:szCs w:val="24"/>
        </w:rPr>
        <w:tab/>
      </w:r>
      <w:bookmarkEnd w:id="7"/>
    </w:p>
    <w:p>
      <w:pPr>
        <w:pStyle w:val="Normal"/>
        <w:widowControl w:val="false"/>
        <w:numPr>
          <w:ilvl w:val="0"/>
          <w:numId w:val="6"/>
        </w:numPr>
        <w:shd w:val="clear" w:color="auto" w:fill="FFFFFF"/>
        <w:tabs>
          <w:tab w:val="clear" w:pos="720"/>
          <w:tab w:val="left" w:pos="426" w:leader="none"/>
        </w:tabs>
        <w:spacing w:before="0" w:after="120"/>
        <w:ind w:left="0" w:hanging="0"/>
        <w:jc w:val="center"/>
        <w:rPr>
          <w:sz w:val="24"/>
          <w:szCs w:val="24"/>
        </w:rPr>
      </w:pPr>
      <w:r>
        <w:rPr>
          <w:b/>
          <w:sz w:val="24"/>
          <w:szCs w:val="24"/>
        </w:rPr>
        <w:t xml:space="preserve">Адреса, реквизиты и подписи Сторон </w:t>
      </w:r>
    </w:p>
    <w:tbl>
      <w:tblPr>
        <w:tblW w:w="9714"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4927"/>
        <w:gridCol w:w="4786"/>
      </w:tblGrid>
      <w:tr>
        <w:trPr/>
        <w:tc>
          <w:tcPr>
            <w:tcW w:w="4927" w:type="dxa"/>
            <w:tcBorders/>
          </w:tcPr>
          <w:p>
            <w:pPr>
              <w:pStyle w:val="Normal"/>
              <w:widowControl w:val="false"/>
              <w:rPr>
                <w:sz w:val="24"/>
                <w:szCs w:val="24"/>
              </w:rPr>
            </w:pPr>
            <w:r>
              <w:rPr>
                <w:b/>
                <w:sz w:val="24"/>
                <w:szCs w:val="24"/>
                <w:u w:val="single"/>
              </w:rPr>
              <w:t>Покупатель:</w:t>
            </w:r>
          </w:p>
        </w:tc>
        <w:tc>
          <w:tcPr>
            <w:tcW w:w="4786" w:type="dxa"/>
            <w:tcBorders/>
          </w:tcPr>
          <w:p>
            <w:pPr>
              <w:pStyle w:val="Normal"/>
              <w:widowControl w:val="false"/>
              <w:rPr>
                <w:b/>
                <w:sz w:val="24"/>
                <w:szCs w:val="24"/>
                <w:u w:val="single"/>
              </w:rPr>
            </w:pPr>
            <w:r>
              <w:rPr>
                <w:b/>
                <w:sz w:val="24"/>
                <w:szCs w:val="24"/>
                <w:u w:val="single"/>
              </w:rPr>
              <w:t>Поставщик:</w:t>
            </w:r>
          </w:p>
          <w:p>
            <w:pPr>
              <w:pStyle w:val="Normal"/>
              <w:widowControl w:val="false"/>
              <w:rPr>
                <w:sz w:val="24"/>
                <w:szCs w:val="24"/>
              </w:rPr>
            </w:pPr>
            <w:r>
              <w:rPr>
                <w:sz w:val="24"/>
                <w:szCs w:val="24"/>
              </w:rPr>
            </w:r>
          </w:p>
        </w:tc>
      </w:tr>
      <w:tr>
        <w:trPr/>
        <w:tc>
          <w:tcPr>
            <w:tcW w:w="4927" w:type="dxa"/>
            <w:tcBorders/>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tc>
        <w:tc>
          <w:tcPr>
            <w:tcW w:w="4786" w:type="dxa"/>
            <w:tcBorders/>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tc>
      </w:tr>
      <w:tr>
        <w:trPr/>
        <w:tc>
          <w:tcPr>
            <w:tcW w:w="4927" w:type="dxa"/>
            <w:tcBorders/>
          </w:tcPr>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 А.В. Нарваев</w:t>
            </w:r>
          </w:p>
          <w:p>
            <w:pPr>
              <w:pStyle w:val="Normal"/>
              <w:widowControl w:val="false"/>
              <w:rPr>
                <w:sz w:val="24"/>
                <w:szCs w:val="24"/>
              </w:rPr>
            </w:pPr>
            <w:r>
              <w:rPr>
                <w:sz w:val="24"/>
                <w:szCs w:val="24"/>
              </w:rPr>
            </w:r>
          </w:p>
          <w:p>
            <w:pPr>
              <w:pStyle w:val="Normal"/>
              <w:widowControl w:val="false"/>
              <w:rPr>
                <w:sz w:val="24"/>
                <w:szCs w:val="24"/>
              </w:rPr>
            </w:pPr>
            <w:r>
              <w:rPr>
                <w:sz w:val="24"/>
                <w:szCs w:val="24"/>
              </w:rPr>
              <w:t>м.п.</w:t>
            </w:r>
          </w:p>
        </w:tc>
        <w:tc>
          <w:tcPr>
            <w:tcW w:w="4786" w:type="dxa"/>
            <w:tcBorders/>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 /</w:t>
            </w:r>
          </w:p>
          <w:p>
            <w:pPr>
              <w:pStyle w:val="Normal"/>
              <w:widowControl w:val="false"/>
              <w:rPr>
                <w:sz w:val="24"/>
                <w:szCs w:val="24"/>
              </w:rPr>
            </w:pPr>
            <w:r>
              <w:rPr>
                <w:sz w:val="24"/>
                <w:szCs w:val="24"/>
              </w:rPr>
              <w:t>м.п.</w:t>
            </w:r>
          </w:p>
        </w:tc>
      </w:tr>
    </w:tbl>
    <w:p>
      <w:pPr>
        <w:sectPr>
          <w:headerReference w:type="default" r:id="rId8"/>
          <w:footerReference w:type="even" r:id="rId9"/>
          <w:footerReference w:type="default" r:id="rId10"/>
          <w:footerReference w:type="first" r:id="rId11"/>
          <w:type w:val="nextPage"/>
          <w:pgSz w:w="11906" w:h="16838"/>
          <w:pgMar w:left="1701" w:right="849" w:gutter="0" w:header="720" w:top="1134" w:footer="720" w:bottom="1134"/>
          <w:pgNumType w:fmt="decimal"/>
          <w:formProt w:val="false"/>
          <w:textDirection w:val="lrTb"/>
          <w:docGrid w:type="default" w:linePitch="100" w:charSpace="24576"/>
        </w:sectPr>
      </w:pPr>
    </w:p>
    <w:p>
      <w:pPr>
        <w:pStyle w:val="BodyText"/>
        <w:numPr>
          <w:ilvl w:val="0"/>
          <w:numId w:val="0"/>
        </w:numPr>
        <w:spacing w:before="0" w:after="120"/>
        <w:ind w:left="0" w:right="-709" w:firstLine="567"/>
        <w:jc w:val="right"/>
        <w:outlineLvl w:val="0"/>
        <w:rPr>
          <w:sz w:val="24"/>
          <w:szCs w:val="24"/>
        </w:rPr>
      </w:pPr>
      <w:r>
        <w:rPr>
          <w:b/>
          <w:bCs/>
          <w:sz w:val="24"/>
          <w:szCs w:val="24"/>
        </w:rPr>
        <w:t>Приложение № 1</w:t>
      </w:r>
    </w:p>
    <w:p>
      <w:pPr>
        <w:pStyle w:val="BodyText"/>
        <w:spacing w:before="0" w:after="120"/>
        <w:ind w:right="-709" w:firstLine="567"/>
        <w:jc w:val="right"/>
        <w:rPr>
          <w:sz w:val="24"/>
          <w:szCs w:val="24"/>
        </w:rPr>
      </w:pPr>
      <w:r>
        <w:rPr>
          <w:bCs/>
          <w:sz w:val="24"/>
          <w:szCs w:val="24"/>
        </w:rPr>
        <w:t xml:space="preserve">к договору поставки </w:t>
      </w:r>
      <w:r>
        <w:rPr>
          <w:sz w:val="24"/>
          <w:szCs w:val="24"/>
        </w:rPr>
        <w:t>№</w:t>
      </w:r>
      <w:r>
        <w:rPr>
          <w:bCs/>
          <w:sz w:val="24"/>
          <w:szCs w:val="24"/>
        </w:rPr>
        <w:t xml:space="preserve"> 39/2026 от «22» мая 2026 г.</w:t>
      </w:r>
    </w:p>
    <w:p>
      <w:pPr>
        <w:pStyle w:val="Normal"/>
        <w:numPr>
          <w:ilvl w:val="0"/>
          <w:numId w:val="0"/>
        </w:numPr>
        <w:spacing w:before="0" w:after="120"/>
        <w:ind w:left="0" w:firstLine="567"/>
        <w:jc w:val="center"/>
        <w:outlineLvl w:val="0"/>
        <w:rPr>
          <w:sz w:val="24"/>
          <w:szCs w:val="24"/>
        </w:rPr>
      </w:pPr>
      <w:r>
        <w:rPr>
          <w:b/>
          <w:sz w:val="24"/>
          <w:szCs w:val="24"/>
        </w:rPr>
        <w:t>Спецификация № 1.</w:t>
      </w:r>
    </w:p>
    <w:tbl>
      <w:tblPr>
        <w:tblW w:w="10320" w:type="dxa"/>
        <w:jc w:val="left"/>
        <w:tblInd w:w="-176" w:type="dxa"/>
        <w:tblLayout w:type="fixed"/>
        <w:tblCellMar>
          <w:top w:w="0" w:type="dxa"/>
          <w:left w:w="108" w:type="dxa"/>
          <w:bottom w:w="0" w:type="dxa"/>
          <w:right w:w="108" w:type="dxa"/>
        </w:tblCellMar>
        <w:tblLook w:val="04a0" w:noVBand="1" w:noHBand="0" w:lastColumn="0" w:firstColumn="1" w:lastRow="0" w:firstRow="1"/>
      </w:tblPr>
      <w:tblGrid>
        <w:gridCol w:w="682"/>
        <w:gridCol w:w="3997"/>
        <w:gridCol w:w="1531"/>
        <w:gridCol w:w="708"/>
        <w:gridCol w:w="595"/>
        <w:gridCol w:w="1275"/>
        <w:gridCol w:w="1531"/>
      </w:tblGrid>
      <w:tr>
        <w:trPr>
          <w:trHeight w:val="510" w:hRule="atLeast"/>
        </w:trPr>
        <w:tc>
          <w:tcPr>
            <w:tcW w:w="6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lang w:eastAsia="en-US"/>
              </w:rPr>
            </w:pPr>
            <w:r>
              <w:rPr>
                <w:sz w:val="24"/>
                <w:szCs w:val="24"/>
                <w:lang w:eastAsia="en-US"/>
              </w:rPr>
              <w:t>Поз. №</w:t>
            </w:r>
          </w:p>
        </w:tc>
        <w:tc>
          <w:tcPr>
            <w:tcW w:w="39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lang w:eastAsia="en-US"/>
              </w:rPr>
            </w:pPr>
            <w:r>
              <w:rPr>
                <w:sz w:val="24"/>
                <w:szCs w:val="24"/>
                <w:lang w:eastAsia="en-US"/>
              </w:rPr>
              <w:t>Наименование</w:t>
            </w:r>
          </w:p>
        </w:tc>
        <w:tc>
          <w:tcPr>
            <w:tcW w:w="153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lang w:eastAsia="en-US"/>
              </w:rPr>
            </w:pPr>
            <w:r>
              <w:rPr>
                <w:sz w:val="24"/>
                <w:szCs w:val="24"/>
                <w:lang w:eastAsia="en-US"/>
              </w:rPr>
              <w:t>Страна происхождения Продукции / цифровой код страны</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lang w:eastAsia="en-US"/>
              </w:rPr>
            </w:pPr>
            <w:r>
              <w:rPr>
                <w:sz w:val="24"/>
                <w:szCs w:val="24"/>
                <w:lang w:eastAsia="en-US"/>
              </w:rPr>
              <w:t>Ед. изм.</w:t>
            </w:r>
          </w:p>
        </w:tc>
        <w:tc>
          <w:tcPr>
            <w:tcW w:w="5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lang w:eastAsia="en-US"/>
              </w:rPr>
            </w:pPr>
            <w:r>
              <w:rPr>
                <w:sz w:val="24"/>
                <w:szCs w:val="24"/>
                <w:lang w:eastAsia="en-US"/>
              </w:rPr>
              <w:t>Кол-во</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lang w:eastAsia="en-US"/>
              </w:rPr>
            </w:pPr>
            <w:r>
              <w:rPr>
                <w:sz w:val="24"/>
                <w:szCs w:val="24"/>
                <w:lang w:eastAsia="en-US"/>
              </w:rPr>
              <w:t>Цена  за единицу (руб., с НДС 22 %)</w:t>
            </w:r>
          </w:p>
        </w:tc>
        <w:tc>
          <w:tcPr>
            <w:tcW w:w="1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lang w:eastAsia="en-US"/>
              </w:rPr>
            </w:pPr>
            <w:r>
              <w:rPr>
                <w:sz w:val="24"/>
                <w:szCs w:val="24"/>
                <w:lang w:eastAsia="en-US"/>
              </w:rPr>
              <w:t>Сумма (руб., с НДС 22 %)</w:t>
            </w:r>
          </w:p>
        </w:tc>
      </w:tr>
      <w:tr>
        <w:trPr>
          <w:trHeight w:val="523" w:hRule="atLeast"/>
        </w:trPr>
        <w:tc>
          <w:tcPr>
            <w:tcW w:w="68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lang w:eastAsia="en-US"/>
              </w:rPr>
            </w:pPr>
            <w:r>
              <w:rPr>
                <w:sz w:val="24"/>
                <w:szCs w:val="24"/>
                <w:lang w:eastAsia="en-US"/>
              </w:rPr>
              <w:t>1.</w:t>
            </w:r>
          </w:p>
        </w:tc>
        <w:tc>
          <w:tcPr>
            <w:tcW w:w="399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lang w:eastAsia="en-US"/>
              </w:rPr>
            </w:pPr>
            <w:r>
              <w:rPr>
                <w:sz w:val="24"/>
                <w:szCs w:val="24"/>
                <w:lang w:eastAsia="en-US"/>
              </w:rPr>
            </w:r>
          </w:p>
        </w:tc>
        <w:tc>
          <w:tcPr>
            <w:tcW w:w="1531"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52"/>
              <w:jc w:val="center"/>
              <w:rPr>
                <w:sz w:val="24"/>
                <w:szCs w:val="24"/>
                <w:lang w:eastAsia="en-US"/>
              </w:rPr>
            </w:pPr>
            <w:r>
              <w:rPr>
                <w:sz w:val="24"/>
                <w:szCs w:val="24"/>
                <w:lang w:eastAsia="en-US"/>
              </w:rPr>
              <w:t>Россия/ 643</w:t>
            </w:r>
          </w:p>
        </w:tc>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52"/>
              <w:jc w:val="center"/>
              <w:rPr>
                <w:sz w:val="24"/>
                <w:szCs w:val="24"/>
                <w:lang w:eastAsia="en-US"/>
              </w:rPr>
            </w:pPr>
            <w:r>
              <w:rPr>
                <w:sz w:val="24"/>
                <w:szCs w:val="24"/>
                <w:lang w:eastAsia="en-US"/>
              </w:rPr>
              <w:t>кг</w:t>
            </w:r>
          </w:p>
        </w:tc>
        <w:tc>
          <w:tcPr>
            <w:tcW w:w="59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lineRule="auto" w:line="252"/>
              <w:jc w:val="center"/>
              <w:rPr>
                <w:sz w:val="24"/>
                <w:szCs w:val="24"/>
                <w:lang w:eastAsia="en-US"/>
              </w:rPr>
            </w:pPr>
            <w:r>
              <w:rPr>
                <w:sz w:val="24"/>
                <w:szCs w:val="24"/>
                <w:lang w:eastAsia="en-US"/>
              </w:rPr>
            </w:r>
          </w:p>
        </w:tc>
        <w:tc>
          <w:tcPr>
            <w:tcW w:w="127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lineRule="auto" w:line="252"/>
              <w:jc w:val="center"/>
              <w:rPr>
                <w:sz w:val="24"/>
                <w:szCs w:val="24"/>
                <w:lang w:eastAsia="en-US"/>
              </w:rPr>
            </w:pPr>
            <w:r>
              <w:rPr>
                <w:sz w:val="24"/>
                <w:szCs w:val="24"/>
                <w:lang w:eastAsia="en-US"/>
              </w:rPr>
            </w:r>
          </w:p>
        </w:tc>
        <w:tc>
          <w:tcPr>
            <w:tcW w:w="153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lineRule="auto" w:line="252"/>
              <w:jc w:val="center"/>
              <w:rPr>
                <w:sz w:val="24"/>
                <w:szCs w:val="24"/>
                <w:lang w:eastAsia="en-US"/>
              </w:rPr>
            </w:pPr>
            <w:r>
              <w:rPr>
                <w:sz w:val="24"/>
                <w:szCs w:val="24"/>
                <w:lang w:eastAsia="en-US"/>
              </w:rPr>
            </w:r>
          </w:p>
        </w:tc>
      </w:tr>
      <w:tr>
        <w:trPr>
          <w:trHeight w:val="523" w:hRule="atLeast"/>
        </w:trPr>
        <w:tc>
          <w:tcPr>
            <w:tcW w:w="68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lang w:eastAsia="en-US"/>
              </w:rPr>
            </w:pPr>
            <w:r>
              <w:rPr>
                <w:sz w:val="24"/>
                <w:szCs w:val="24"/>
                <w:lang w:eastAsia="en-US"/>
              </w:rPr>
              <w:t>2.</w:t>
            </w:r>
          </w:p>
        </w:tc>
        <w:tc>
          <w:tcPr>
            <w:tcW w:w="399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jc w:val="center"/>
              <w:rPr>
                <w:sz w:val="24"/>
                <w:szCs w:val="24"/>
                <w:lang w:eastAsia="en-US"/>
              </w:rPr>
            </w:pPr>
            <w:r>
              <w:rPr>
                <w:sz w:val="24"/>
                <w:szCs w:val="24"/>
                <w:lang w:eastAsia="en-US"/>
              </w:rPr>
            </w:r>
          </w:p>
        </w:tc>
        <w:tc>
          <w:tcPr>
            <w:tcW w:w="1531"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52"/>
              <w:jc w:val="center"/>
              <w:rPr>
                <w:sz w:val="24"/>
                <w:szCs w:val="24"/>
                <w:lang w:eastAsia="en-US"/>
              </w:rPr>
            </w:pPr>
            <w:r>
              <w:rPr>
                <w:sz w:val="24"/>
                <w:szCs w:val="24"/>
                <w:lang w:eastAsia="en-US"/>
              </w:rPr>
              <w:t>Россия/ 643</w:t>
            </w:r>
          </w:p>
        </w:tc>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lineRule="auto" w:line="252"/>
              <w:jc w:val="center"/>
              <w:rPr>
                <w:sz w:val="24"/>
                <w:szCs w:val="24"/>
                <w:lang w:eastAsia="en-US"/>
              </w:rPr>
            </w:pPr>
            <w:r>
              <w:rPr>
                <w:sz w:val="24"/>
                <w:szCs w:val="24"/>
                <w:lang w:eastAsia="en-US"/>
              </w:rPr>
              <w:t>кг</w:t>
            </w:r>
          </w:p>
        </w:tc>
        <w:tc>
          <w:tcPr>
            <w:tcW w:w="59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lineRule="auto" w:line="252"/>
              <w:jc w:val="center"/>
              <w:rPr>
                <w:sz w:val="24"/>
                <w:szCs w:val="24"/>
                <w:lang w:eastAsia="en-US"/>
              </w:rPr>
            </w:pPr>
            <w:r>
              <w:rPr>
                <w:sz w:val="24"/>
                <w:szCs w:val="24"/>
                <w:lang w:eastAsia="en-US"/>
              </w:rPr>
            </w:r>
          </w:p>
        </w:tc>
        <w:tc>
          <w:tcPr>
            <w:tcW w:w="127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lineRule="auto" w:line="252"/>
              <w:jc w:val="center"/>
              <w:rPr>
                <w:sz w:val="24"/>
                <w:szCs w:val="24"/>
                <w:lang w:eastAsia="en-US"/>
              </w:rPr>
            </w:pPr>
            <w:r>
              <w:rPr>
                <w:sz w:val="24"/>
                <w:szCs w:val="24"/>
                <w:lang w:eastAsia="en-US"/>
              </w:rPr>
            </w:r>
          </w:p>
        </w:tc>
        <w:tc>
          <w:tcPr>
            <w:tcW w:w="153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lineRule="auto" w:line="252"/>
              <w:jc w:val="center"/>
              <w:rPr>
                <w:sz w:val="24"/>
                <w:szCs w:val="24"/>
                <w:lang w:eastAsia="en-US"/>
              </w:rPr>
            </w:pPr>
            <w:r>
              <w:rPr>
                <w:sz w:val="24"/>
                <w:szCs w:val="24"/>
                <w:lang w:eastAsia="en-US"/>
              </w:rPr>
            </w:r>
          </w:p>
        </w:tc>
      </w:tr>
      <w:tr>
        <w:trPr>
          <w:trHeight w:val="523" w:hRule="atLeast"/>
        </w:trPr>
        <w:tc>
          <w:tcPr>
            <w:tcW w:w="8788" w:type="dxa"/>
            <w:gridSpan w:val="6"/>
            <w:tcBorders>
              <w:top w:val="single" w:sz="4" w:space="0" w:color="000000"/>
            </w:tcBorders>
            <w:shd w:color="auto" w:fill="FFFFFF" w:themeFill="background1" w:val="clear"/>
            <w:vAlign w:val="center"/>
          </w:tcPr>
          <w:p>
            <w:pPr>
              <w:pStyle w:val="Normal"/>
              <w:widowControl w:val="false"/>
              <w:spacing w:lineRule="auto" w:line="252"/>
              <w:jc w:val="right"/>
              <w:rPr>
                <w:b/>
                <w:sz w:val="24"/>
                <w:szCs w:val="24"/>
                <w:lang w:eastAsia="en-US"/>
              </w:rPr>
            </w:pPr>
            <w:r>
              <w:rPr>
                <w:rStyle w:val="Docdata"/>
                <w:b/>
                <w:sz w:val="24"/>
                <w:szCs w:val="24"/>
                <w:shd w:fill="FFFFFF" w:val="clear"/>
              </w:rPr>
              <w:t>Итого с учетом НДС 22%</w:t>
            </w:r>
          </w:p>
        </w:tc>
        <w:tc>
          <w:tcPr>
            <w:tcW w:w="1531" w:type="dxa"/>
            <w:tcBorders>
              <w:top w:val="single" w:sz="4" w:space="0" w:color="000000"/>
            </w:tcBorders>
            <w:shd w:color="auto" w:fill="FFFFFF" w:themeFill="background1" w:val="clear"/>
            <w:vAlign w:val="center"/>
          </w:tcPr>
          <w:p>
            <w:pPr>
              <w:pStyle w:val="Normal"/>
              <w:widowControl w:val="false"/>
              <w:spacing w:lineRule="auto" w:line="252"/>
              <w:jc w:val="center"/>
              <w:rPr>
                <w:b/>
                <w:sz w:val="24"/>
                <w:szCs w:val="24"/>
                <w:lang w:eastAsia="en-US"/>
              </w:rPr>
            </w:pPr>
            <w:r>
              <w:rPr>
                <w:b/>
                <w:sz w:val="24"/>
                <w:szCs w:val="24"/>
                <w:lang w:eastAsia="en-US"/>
              </w:rPr>
            </w:r>
          </w:p>
        </w:tc>
      </w:tr>
      <w:tr>
        <w:trPr>
          <w:trHeight w:val="120" w:hRule="atLeast"/>
        </w:trPr>
        <w:tc>
          <w:tcPr>
            <w:tcW w:w="8788" w:type="dxa"/>
            <w:gridSpan w:val="6"/>
            <w:tcBorders/>
            <w:shd w:color="auto" w:fill="FFFFFF" w:themeFill="background1" w:val="clear"/>
            <w:vAlign w:val="center"/>
          </w:tcPr>
          <w:p>
            <w:pPr>
              <w:pStyle w:val="Normal"/>
              <w:widowControl w:val="false"/>
              <w:spacing w:lineRule="auto" w:line="252"/>
              <w:jc w:val="right"/>
              <w:rPr>
                <w:rStyle w:val="Docdata"/>
                <w:b/>
                <w:sz w:val="24"/>
                <w:szCs w:val="24"/>
                <w:shd w:fill="FFFFFF" w:val="clear"/>
              </w:rPr>
            </w:pPr>
            <w:r>
              <w:rPr>
                <w:rStyle w:val="Docdata"/>
                <w:b/>
                <w:sz w:val="24"/>
                <w:szCs w:val="24"/>
                <w:shd w:fill="FFFFFF" w:val="clear"/>
              </w:rPr>
              <w:t>Сумма НДС 22%</w:t>
            </w:r>
          </w:p>
        </w:tc>
        <w:tc>
          <w:tcPr>
            <w:tcW w:w="1531" w:type="dxa"/>
            <w:tcBorders/>
            <w:shd w:color="auto" w:fill="FFFFFF" w:themeFill="background1" w:val="clear"/>
            <w:vAlign w:val="center"/>
          </w:tcPr>
          <w:p>
            <w:pPr>
              <w:pStyle w:val="Normal"/>
              <w:widowControl w:val="false"/>
              <w:spacing w:lineRule="auto" w:line="252"/>
              <w:jc w:val="center"/>
              <w:rPr>
                <w:b/>
                <w:sz w:val="24"/>
                <w:szCs w:val="24"/>
                <w:lang w:eastAsia="en-US"/>
              </w:rPr>
            </w:pPr>
            <w:r>
              <w:rPr>
                <w:b/>
                <w:sz w:val="24"/>
                <w:szCs w:val="24"/>
                <w:lang w:eastAsia="en-US"/>
              </w:rPr>
            </w:r>
          </w:p>
        </w:tc>
      </w:tr>
    </w:tbl>
    <w:p>
      <w:pPr>
        <w:pStyle w:val="BodyText"/>
        <w:spacing w:before="0" w:after="120"/>
        <w:rPr>
          <w:sz w:val="24"/>
          <w:szCs w:val="24"/>
        </w:rPr>
      </w:pPr>
      <w:r>
        <w:rPr>
          <w:b/>
          <w:bCs/>
          <w:i/>
          <w:sz w:val="24"/>
          <w:szCs w:val="24"/>
        </w:rPr>
        <w:t xml:space="preserve">     </w:t>
      </w:r>
      <w:r>
        <w:rPr>
          <w:b/>
          <w:bCs/>
          <w:i/>
          <w:sz w:val="24"/>
          <w:szCs w:val="24"/>
        </w:rPr>
        <w:t>Условия поставки:</w:t>
      </w:r>
    </w:p>
    <w:p>
      <w:pPr>
        <w:pStyle w:val="Normal"/>
        <w:widowControl w:val="false"/>
        <w:numPr>
          <w:ilvl w:val="0"/>
          <w:numId w:val="19"/>
        </w:numPr>
        <w:tabs>
          <w:tab w:val="left" w:pos="720" w:leader="none"/>
        </w:tabs>
        <w:spacing w:before="0" w:after="120"/>
        <w:ind w:left="0" w:right="-850" w:firstLine="284"/>
        <w:jc w:val="both"/>
        <w:rPr>
          <w:sz w:val="24"/>
          <w:szCs w:val="24"/>
        </w:rPr>
      </w:pPr>
      <w:r>
        <w:rPr>
          <w:bCs/>
          <w:sz w:val="24"/>
          <w:szCs w:val="24"/>
        </w:rPr>
        <w:t>Общая сумма Спецификации составляет ___</w:t>
      </w:r>
    </w:p>
    <w:p>
      <w:pPr>
        <w:pStyle w:val="Normal"/>
        <w:widowControl w:val="false"/>
        <w:numPr>
          <w:ilvl w:val="0"/>
          <w:numId w:val="20"/>
        </w:numPr>
        <w:tabs>
          <w:tab w:val="left" w:pos="720" w:leader="none"/>
        </w:tabs>
        <w:spacing w:before="0" w:after="120"/>
        <w:ind w:left="0" w:right="-850" w:firstLine="284"/>
        <w:jc w:val="both"/>
        <w:rPr>
          <w:sz w:val="24"/>
          <w:szCs w:val="24"/>
        </w:rPr>
      </w:pPr>
      <w:r>
        <w:rPr>
          <w:sz w:val="24"/>
          <w:szCs w:val="24"/>
        </w:rPr>
        <w:t>Срок поставки Продукции: в течение 35 календарных дней с даты подписания Договора.</w:t>
      </w:r>
    </w:p>
    <w:p>
      <w:pPr>
        <w:pStyle w:val="Normal"/>
        <w:widowControl w:val="false"/>
        <w:numPr>
          <w:ilvl w:val="0"/>
          <w:numId w:val="21"/>
        </w:numPr>
        <w:tabs>
          <w:tab w:val="left" w:pos="720" w:leader="none"/>
        </w:tabs>
        <w:spacing w:before="0" w:after="120"/>
        <w:ind w:left="0" w:right="-850" w:firstLine="284"/>
        <w:jc w:val="both"/>
        <w:rPr>
          <w:sz w:val="24"/>
          <w:szCs w:val="24"/>
        </w:rPr>
      </w:pPr>
      <w:r>
        <w:rPr>
          <w:sz w:val="24"/>
          <w:szCs w:val="24"/>
        </w:rPr>
        <w:t>На поставляемую Продукцию Поставщик предоставляет следующие документы: счет-фактура, УПД, транспортная накладная, сертификат о происхождении Продукции, паспорт качества, нормативные документы (ГОСТ, ОСТ, ТУ и т.п.), применимые к продукции.</w:t>
      </w:r>
    </w:p>
    <w:p>
      <w:pPr>
        <w:pStyle w:val="BodyText"/>
        <w:numPr>
          <w:ilvl w:val="0"/>
          <w:numId w:val="0"/>
        </w:numPr>
        <w:spacing w:before="0" w:after="120"/>
        <w:ind w:left="0" w:right="-850" w:hanging="0"/>
        <w:outlineLvl w:val="0"/>
        <w:rPr>
          <w:sz w:val="24"/>
          <w:szCs w:val="24"/>
        </w:rPr>
      </w:pPr>
      <w:r>
        <w:rPr>
          <w:sz w:val="24"/>
          <w:szCs w:val="24"/>
        </w:rPr>
      </w:r>
    </w:p>
    <w:tbl>
      <w:tblPr>
        <w:tblW w:w="9714" w:type="dxa"/>
        <w:jc w:val="left"/>
        <w:tblInd w:w="108" w:type="dxa"/>
        <w:tblLayout w:type="fixed"/>
        <w:tblCellMar>
          <w:top w:w="0" w:type="dxa"/>
          <w:left w:w="108" w:type="dxa"/>
          <w:bottom w:w="0" w:type="dxa"/>
          <w:right w:w="108" w:type="dxa"/>
        </w:tblCellMar>
        <w:tblLook w:val="01e0" w:noVBand="0" w:noHBand="0" w:lastColumn="1" w:firstColumn="1" w:lastRow="1" w:firstRow="1"/>
      </w:tblPr>
      <w:tblGrid>
        <w:gridCol w:w="6271"/>
        <w:gridCol w:w="3442"/>
      </w:tblGrid>
      <w:tr>
        <w:trPr/>
        <w:tc>
          <w:tcPr>
            <w:tcW w:w="6271" w:type="dxa"/>
            <w:tcBorders/>
          </w:tcPr>
          <w:p>
            <w:pPr>
              <w:pStyle w:val="Normal"/>
              <w:widowControl w:val="false"/>
              <w:ind w:right="-850" w:hanging="0"/>
              <w:rPr>
                <w:sz w:val="24"/>
                <w:szCs w:val="24"/>
              </w:rPr>
            </w:pPr>
            <w:r>
              <w:rPr>
                <w:sz w:val="24"/>
                <w:szCs w:val="24"/>
              </w:rPr>
            </w:r>
          </w:p>
          <w:p>
            <w:pPr>
              <w:pStyle w:val="Normal"/>
              <w:widowControl w:val="false"/>
              <w:ind w:right="-850" w:hanging="0"/>
              <w:rPr>
                <w:sz w:val="24"/>
                <w:szCs w:val="24"/>
              </w:rPr>
            </w:pPr>
            <w:r>
              <w:rPr>
                <w:sz w:val="24"/>
                <w:szCs w:val="24"/>
              </w:rPr>
            </w:r>
          </w:p>
          <w:p>
            <w:pPr>
              <w:pStyle w:val="Normal"/>
              <w:widowControl w:val="false"/>
              <w:ind w:right="-850" w:hanging="0"/>
              <w:rPr>
                <w:sz w:val="24"/>
                <w:szCs w:val="24"/>
              </w:rPr>
            </w:pPr>
            <w:r>
              <w:rPr>
                <w:sz w:val="24"/>
                <w:szCs w:val="24"/>
              </w:rPr>
              <w:t>______________________ А.В. Нарваев</w:t>
            </w:r>
          </w:p>
          <w:p>
            <w:pPr>
              <w:pStyle w:val="Normal"/>
              <w:widowControl w:val="false"/>
              <w:ind w:right="-850" w:hanging="0"/>
              <w:rPr>
                <w:sz w:val="24"/>
                <w:szCs w:val="24"/>
              </w:rPr>
            </w:pPr>
            <w:r>
              <w:rPr>
                <w:sz w:val="24"/>
                <w:szCs w:val="24"/>
              </w:rPr>
              <w:t>м.п.</w:t>
            </w:r>
          </w:p>
        </w:tc>
        <w:tc>
          <w:tcPr>
            <w:tcW w:w="3442" w:type="dxa"/>
            <w:tcBorders/>
          </w:tcPr>
          <w:p>
            <w:pPr>
              <w:pStyle w:val="Normal"/>
              <w:widowControl w:val="false"/>
              <w:ind w:right="-850" w:hanging="0"/>
              <w:rPr>
                <w:sz w:val="24"/>
                <w:szCs w:val="24"/>
              </w:rPr>
            </w:pPr>
            <w:r>
              <w:rPr>
                <w:sz w:val="24"/>
                <w:szCs w:val="24"/>
              </w:rPr>
            </w:r>
          </w:p>
          <w:p>
            <w:pPr>
              <w:pStyle w:val="Normal"/>
              <w:widowControl w:val="false"/>
              <w:ind w:right="-850" w:hanging="0"/>
              <w:rPr>
                <w:sz w:val="24"/>
                <w:szCs w:val="24"/>
              </w:rPr>
            </w:pPr>
            <w:r>
              <w:rPr>
                <w:sz w:val="24"/>
                <w:szCs w:val="24"/>
              </w:rPr>
            </w:r>
          </w:p>
          <w:p>
            <w:pPr>
              <w:pStyle w:val="Normal"/>
              <w:widowControl w:val="false"/>
              <w:ind w:right="-850" w:hanging="0"/>
              <w:rPr>
                <w:sz w:val="24"/>
                <w:szCs w:val="24"/>
              </w:rPr>
            </w:pPr>
            <w:r>
              <w:rPr>
                <w:sz w:val="24"/>
                <w:szCs w:val="24"/>
              </w:rPr>
              <w:t>_______________ / /</w:t>
            </w:r>
          </w:p>
          <w:p>
            <w:pPr>
              <w:pStyle w:val="Normal"/>
              <w:widowControl w:val="false"/>
              <w:ind w:right="-850" w:hanging="0"/>
              <w:rPr>
                <w:sz w:val="24"/>
                <w:szCs w:val="24"/>
              </w:rPr>
            </w:pPr>
            <w:r>
              <w:rPr>
                <w:sz w:val="24"/>
                <w:szCs w:val="24"/>
              </w:rPr>
              <w:t>м.п.</w:t>
            </w:r>
          </w:p>
        </w:tc>
      </w:tr>
    </w:tbl>
    <w:p>
      <w:pPr>
        <w:pStyle w:val="BodyText"/>
        <w:numPr>
          <w:ilvl w:val="0"/>
          <w:numId w:val="0"/>
        </w:numPr>
        <w:spacing w:before="0" w:after="120"/>
        <w:ind w:left="0" w:hanging="0"/>
        <w:outlineLvl w:val="0"/>
        <w:rPr>
          <w:sz w:val="24"/>
          <w:szCs w:val="24"/>
        </w:rPr>
      </w:pPr>
      <w:r>
        <w:rPr/>
      </w:r>
    </w:p>
    <w:sectPr>
      <w:headerReference w:type="default" r:id="rId12"/>
      <w:headerReference w:type="first" r:id="rId13"/>
      <w:footerReference w:type="even" r:id="rId14"/>
      <w:footerReference w:type="default" r:id="rId15"/>
      <w:footerReference w:type="first" r:id="rId16"/>
      <w:type w:val="nextPage"/>
      <w:pgSz w:w="11906" w:h="16838"/>
      <w:pgMar w:left="1134" w:right="1416" w:gutter="0" w:header="720" w:top="777" w:footer="720" w:bottom="1134"/>
      <w:pgNumType w:fmt="decimal"/>
      <w:formProt w:val="false"/>
      <w:textDirection w:val="lrTb"/>
      <w:docGrid w:type="default" w:linePitch="10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0"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0" distT="0" distB="0" distL="0" distR="0" simplePos="0" locked="0" layoutInCell="0" allowOverlap="1" relativeHeight="40">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0" distT="0" distB="0" distL="0" distR="0" simplePos="0" locked="0" layoutInCell="0" allowOverlap="1" relativeHeight="40">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0" distT="0" distB="0" distL="0" distR="0" simplePos="0" locked="0" layoutInCell="0" allowOverlap="1" relativeHeight="3">
              <wp:simplePos x="0" y="0"/>
              <wp:positionH relativeFrom="margin">
                <wp:align>right</wp:align>
              </wp:positionH>
              <wp:positionV relativeFrom="paragraph">
                <wp:posOffset>635</wp:posOffset>
              </wp:positionV>
              <wp:extent cx="14605" cy="14605"/>
              <wp:effectExtent l="0" t="0" r="0" b="0"/>
              <wp:wrapSquare wrapText="bothSides"/>
              <wp:docPr id="7"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0" distT="0" distB="0" distL="0" distR="0" simplePos="0" locked="0" layoutInCell="0" allowOverlap="1" relativeHeight="5">
              <wp:simplePos x="0" y="0"/>
              <wp:positionH relativeFrom="margin">
                <wp:align>right</wp:align>
              </wp:positionH>
              <wp:positionV relativeFrom="paragraph">
                <wp:posOffset>635</wp:posOffset>
              </wp:positionV>
              <wp:extent cx="127635" cy="145415"/>
              <wp:effectExtent l="0" t="0" r="0" b="0"/>
              <wp:wrapSquare wrapText="bothSides"/>
              <wp:docPr id="9"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0" distT="0" distB="0" distL="0" distR="0" simplePos="0" locked="0" layoutInCell="0" allowOverlap="1" relativeHeight="5">
              <wp:simplePos x="0" y="0"/>
              <wp:positionH relativeFrom="margin">
                <wp:align>right</wp:align>
              </wp:positionH>
              <wp:positionV relativeFrom="paragraph">
                <wp:posOffset>635</wp:posOffset>
              </wp:positionV>
              <wp:extent cx="127635" cy="145415"/>
              <wp:effectExtent l="0" t="0" r="0" b="0"/>
              <wp:wrapSquare wrapText="bothSides"/>
              <wp:docPr id="11"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4"/>
        <w:b w:val="false"/>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7">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5"/>
    <w:lvlOverride w:ilvl="0">
      <w:startOverride w:val="1"/>
    </w:lvlOverride>
  </w:num>
  <w:num w:numId="20">
    <w:abstractNumId w:val="15"/>
  </w:num>
  <w:num w:numId="21">
    <w:abstractNumId w:val="15"/>
  </w:num>
</w:numbering>
</file>

<file path=word/settings.xml><?xml version="1.0" encoding="utf-8"?>
<w:settings xmlns:w="http://schemas.openxmlformats.org/wordprocessingml/2006/main">
  <w:zoom w:percent="110"/>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left="3119" w:hanging="0"/>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uiPriority w:val="34"/>
    <w:qFormat/>
    <w:locked/>
    <w:rsid w:val="00b11d27"/>
    <w:rPr/>
  </w:style>
  <w:style w:type="character" w:styleId="1" w:customStyle="1">
    <w:name w:val="1. Статья Знак"/>
    <w:link w:val="12"/>
    <w:qFormat/>
    <w:rsid w:val="00b11d27"/>
    <w:rPr>
      <w:sz w:val="24"/>
      <w:szCs w:val="24"/>
      <w:lang w:val="x-none" w:eastAsia="x-none"/>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character" w:styleId="Docdata" w:customStyle="1">
    <w:name w:val="docdata"/>
    <w:basedOn w:val="DefaultParagraphFont"/>
    <w:qFormat/>
    <w:rsid w:val="00f957dc"/>
    <w:rPr/>
  </w:style>
  <w:style w:type="paragraph" w:styleId="Style14">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5">
    <w:name w:val="Указатель"/>
    <w:basedOn w:val="Normal"/>
    <w:qFormat/>
    <w:pPr>
      <w:suppressLineNumbers/>
    </w:pPr>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NormalWeb">
    <w:name w:val="Normal (Web)"/>
    <w:basedOn w:val="Normal"/>
    <w:qFormat/>
    <w:rsid w:val="00e42745"/>
    <w:pPr>
      <w:spacing w:beforeAutospacing="1" w:afterAutospacing="1"/>
      <w:ind w:right="150" w:hanging="0"/>
    </w:pPr>
    <w:rPr>
      <w:rFonts w:ascii="Tahoma" w:hAnsi="Tahoma" w:cs="Tahoma"/>
      <w:color w:val="000000"/>
    </w:rPr>
  </w:style>
  <w:style w:type="paragraph" w:styleId="BodyText2">
    <w:name w:val="Body Text 2"/>
    <w:basedOn w:val="Normal"/>
    <w:qFormat/>
    <w:rsid w:val="00e42745"/>
    <w:pPr>
      <w:jc w:val="both"/>
    </w:pPr>
    <w:rPr/>
  </w:style>
  <w:style w:type="paragraph" w:styleId="Style16"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left="1843" w:hanging="0"/>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left="720" w:hanging="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left="851" w:hanging="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2" w:customStyle="1">
    <w:name w:val="1. Статья"/>
    <w:basedOn w:val="Heading3"/>
    <w:link w:val="1"/>
    <w:qFormat/>
    <w:rsid w:val="00b11d27"/>
    <w:pPr>
      <w:keepNext w:val="false"/>
      <w:widowControl w:val="false"/>
      <w:numPr>
        <w:ilvl w:val="0"/>
        <w:numId w:val="10"/>
      </w:numPr>
      <w:tabs>
        <w:tab w:val="left" w:pos="0" w:leader="none"/>
        <w:tab w:val="left" w:pos="2340" w:leader="none"/>
      </w:tabs>
      <w:ind w:right="1462" w:hanging="0"/>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numPr>
        <w:ilvl w:val="1"/>
        <w:numId w:val="10"/>
      </w:numPr>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10"/>
      </w:numPr>
      <w:tabs>
        <w:tab w:val="left" w:pos="0" w:leader="none"/>
        <w:tab w:val="left" w:pos="1620" w:leader="none"/>
      </w:tabs>
      <w:jc w:val="both"/>
      <w:textAlignment w:val="baseline"/>
    </w:pPr>
    <w:rPr>
      <w:bCs/>
      <w:sz w:val="24"/>
      <w:szCs w:val="24"/>
      <w:lang w:val="x-none" w:eastAsia="x-none"/>
    </w:rPr>
  </w:style>
  <w:style w:type="paragraph" w:styleId="Style21" w:customStyle="1">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b">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onsultant.ru/document/cons_doc_LAW_371981/" TargetMode="External"/><Relationship Id="rId3" Type="http://schemas.openxmlformats.org/officeDocument/2006/relationships/hyperlink" Target="https://www.consultant.ru/document/cons_doc_LAW_371981/" TargetMode="External"/><Relationship Id="rId4" Type="http://schemas.openxmlformats.org/officeDocument/2006/relationships/hyperlink" Target="https://www.consultant.ru/document/cons_doc_LAW_371981/" TargetMode="External"/><Relationship Id="rId5" Type="http://schemas.openxmlformats.org/officeDocument/2006/relationships/hyperlink" Target="consultantplus://offline/ref=94D5CE8889791A29DE57299515463A9D6134D8237B999C803E6F853513x2A2P" TargetMode="External"/><Relationship Id="rId6" Type="http://schemas.openxmlformats.org/officeDocument/2006/relationships/hyperlink" Target="consultantplus://offline/ref=94D5CE8889791A29DE57299515463A9D6135D2287D929C803E6F853513x2A2P" TargetMode="External"/><Relationship Id="rId7" Type="http://schemas.openxmlformats.org/officeDocument/2006/relationships/hyperlink" Target="consultantplus://offline/ref=79440D5123ABA6A25F43346AB59DBAAC7032C8E1556DA64FAED62E167F76889C2B7C475C32EFC59BJ8rDH"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footer" Target="footer6.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D8E39B-578F-4216-918D-93A2E34DD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Application>AlterOffice/3.4.0.9$Linux_X86_64 LibreOffice_project/b8daf9e823b1a5463a2f48435ddc2e8696e7d4fc</Application>
  <AppVersion>15.0000</AppVersion>
  <Pages>18</Pages>
  <Words>6511</Words>
  <Characters>45760</Characters>
  <CharactersWithSpaces>51908</CharactersWithSpaces>
  <Paragraphs>278</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2026-05-27T10:35:00Z</dcterms:created>
  <dc:creator>Света &amp; Алла (Twix)</dc:creator>
  <dc:description/>
  <dc:language>ru-RU</dc:language>
  <cp:lastModifiedBy>kuzmichevatav@corp.gidroogk.com</cp:lastModifiedBy>
  <cp:lastPrinted>2017-11-07T14:48:00Z</cp:lastPrinted>
  <dcterms:modified xsi:type="dcterms:W3CDTF">2026-09-21T16:39:35Z</dcterms:modified>
  <cp:revision>13</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