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firstLine="567" w:start="5670"/>
        <w:jc w:val="end"/>
        <w:rPr/>
      </w:pPr>
      <w:r>
        <w:rPr/>
      </w:r>
    </w:p>
    <w:p>
      <w:pPr>
        <w:pStyle w:val="Normal"/>
        <w:spacing w:before="280" w:after="0"/>
        <w:ind w:firstLine="567" w:start="5670"/>
        <w:rPr/>
      </w:pPr>
      <w:r>
        <w:rPr/>
      </w:r>
    </w:p>
    <w:p>
      <w:pPr>
        <w:pStyle w:val="ListParagraph"/>
        <w:tabs>
          <w:tab w:val="clear" w:pos="708"/>
          <w:tab w:val="left" w:pos="1843" w:leader="none"/>
        </w:tabs>
        <w:spacing w:before="280" w:after="0"/>
        <w:ind w:firstLine="567" w:start="0"/>
        <w:contextualSpacing/>
        <w:jc w:val="center"/>
        <w:rPr>
          <w:b/>
          <w:sz w:val="28"/>
        </w:rPr>
      </w:pPr>
      <w:r>
        <w:rPr>
          <w:b/>
          <w:sz w:val="28"/>
        </w:rPr>
        <w:t>Техническое задание</w:t>
      </w:r>
    </w:p>
    <w:p>
      <w:pPr>
        <w:pStyle w:val="ListParagraph"/>
        <w:tabs>
          <w:tab w:val="clear" w:pos="708"/>
          <w:tab w:val="left" w:pos="1843" w:leader="none"/>
        </w:tabs>
        <w:spacing w:before="280" w:after="0"/>
        <w:ind w:firstLine="567" w:start="0"/>
        <w:contextualSpacing/>
        <w:jc w:val="center"/>
        <w:rPr>
          <w:b/>
          <w:sz w:val="28"/>
        </w:rPr>
      </w:pPr>
      <w:r>
        <w:rPr/>
        <w:t>на выполнение работ по устройству наружного искусственного освещения освещения автодороги Р-132 в Ивановской области</w:t>
      </w:r>
    </w:p>
    <w:p>
      <w:pPr>
        <w:pStyle w:val="ListParagraph"/>
        <w:tabs>
          <w:tab w:val="clear" w:pos="708"/>
          <w:tab w:val="left" w:pos="1843" w:leader="none"/>
        </w:tabs>
        <w:spacing w:before="280" w:after="0"/>
        <w:ind w:firstLine="567" w:start="0"/>
        <w:contextualSpacing/>
        <w:jc w:val="center"/>
        <w:rPr>
          <w:b/>
        </w:rPr>
      </w:pPr>
      <w:r>
        <w:rPr>
          <w:b/>
        </w:rPr>
      </w:r>
    </w:p>
    <w:p>
      <w:pPr>
        <w:pStyle w:val="Normal"/>
        <w:numPr>
          <w:ilvl w:val="0"/>
          <w:numId w:val="1"/>
        </w:numPr>
        <w:spacing w:before="280" w:after="0"/>
        <w:contextualSpacing/>
        <w:jc w:val="center"/>
        <w:rPr>
          <w:b/>
        </w:rPr>
      </w:pPr>
      <w:r>
        <w:rPr>
          <w:b/>
        </w:rPr>
        <w:t>Общие сведения</w:t>
      </w:r>
    </w:p>
    <w:p>
      <w:pPr>
        <w:pStyle w:val="Normal"/>
        <w:spacing w:before="280" w:after="0"/>
        <w:contextualSpacing/>
        <w:jc w:val="both"/>
        <w:rPr/>
      </w:pPr>
      <w:r>
        <w:rPr/>
      </w:r>
    </w:p>
    <w:p>
      <w:pPr>
        <w:pStyle w:val="Normal"/>
        <w:widowControl w:val="false"/>
        <w:spacing w:before="280" w:after="0"/>
        <w:ind w:firstLine="709"/>
        <w:contextualSpacing/>
        <w:jc w:val="both"/>
        <w:rPr/>
      </w:pPr>
      <w:r>
        <w:rPr/>
        <w:t>1.1. Место расположения объекта: Участки автомобильной дороги  Р-132 «Золотое кольцо» в Ивановской области .</w:t>
      </w:r>
    </w:p>
    <w:p>
      <w:pPr>
        <w:pStyle w:val="Normal"/>
        <w:widowControl w:val="false"/>
        <w:spacing w:before="280" w:after="0"/>
        <w:ind w:firstLine="709"/>
        <w:contextualSpacing/>
        <w:jc w:val="both"/>
        <w:rPr/>
      </w:pPr>
      <w:r>
        <w:rPr/>
        <w:t>1.2. Сроки выполнения работ:</w:t>
      </w:r>
    </w:p>
    <w:p>
      <w:pPr>
        <w:pStyle w:val="Normal"/>
        <w:spacing w:before="280" w:after="0"/>
        <w:ind w:firstLine="709"/>
        <w:contextualSpacing/>
        <w:jc w:val="both"/>
        <w:rPr/>
      </w:pPr>
      <w:r>
        <w:rPr/>
        <w:t>Начало выполнения работ – с момента заключения договора.</w:t>
      </w:r>
    </w:p>
    <w:p>
      <w:pPr>
        <w:pStyle w:val="Normal"/>
        <w:spacing w:before="280" w:after="0"/>
        <w:ind w:firstLine="709"/>
        <w:contextualSpacing/>
        <w:jc w:val="both"/>
        <w:rPr/>
      </w:pPr>
      <w:r>
        <w:rPr/>
        <w:t>Окончание выполнения работ – «15» декабря 2026 г.</w:t>
      </w:r>
    </w:p>
    <w:p>
      <w:pPr>
        <w:pStyle w:val="Normal"/>
        <w:spacing w:before="280" w:after="0"/>
        <w:ind w:firstLine="709"/>
        <w:contextualSpacing/>
        <w:jc w:val="both"/>
        <w:rPr/>
      </w:pPr>
      <w:r>
        <w:rPr/>
        <w:t>1.3. Основные условия исполнения договора:</w:t>
      </w:r>
    </w:p>
    <w:p>
      <w:pPr>
        <w:pStyle w:val="BodyTextIndent"/>
        <w:spacing w:before="280" w:after="0"/>
        <w:ind w:firstLine="709" w:start="0"/>
        <w:contextualSpacing/>
        <w:jc w:val="both"/>
        <w:rPr/>
      </w:pPr>
      <w:r>
        <w:rPr/>
        <w:t xml:space="preserve">Все виды и объёмы работ (услуг) должны быть выполнены (оказаны) в полном соответствии с действующими нормативными документами, требованиями аукционной документацией и Техническим заданием. </w:t>
      </w:r>
    </w:p>
    <w:p>
      <w:pPr>
        <w:pStyle w:val="BodyTextIndent"/>
        <w:spacing w:before="280" w:after="0"/>
        <w:ind w:firstLine="709" w:start="0"/>
        <w:contextualSpacing/>
        <w:jc w:val="both"/>
        <w:rPr/>
      </w:pPr>
      <w:r>
        <w:rPr/>
        <w:t>При оказании услуг (выполнении работ) и принятии строительных и технологических решений Исполнителем должны неукоснительно соблюдаться требования нормативных документов.</w:t>
      </w:r>
    </w:p>
    <w:p>
      <w:pPr>
        <w:pStyle w:val="BodyTextIndent"/>
        <w:spacing w:before="280" w:after="0"/>
        <w:ind w:firstLine="709" w:start="0"/>
        <w:contextualSpacing/>
        <w:jc w:val="both"/>
        <w:rPr/>
      </w:pPr>
      <w:r>
        <w:rPr/>
        <w:t>Качество выполняемых работ, применяемых материалов и готовой продукции, должны соответствовать требованиям действующего законодательства, нормативных документов. Все материалы и изделия, включенные в перечни дорожно-строительных материалов и изделий, подлежащих подтверждению соответствия в форме декларирования и сертификации в соответствии с техническим регламентом Таможенного союза «Безопасность автомобильных дорог» (ТР ТС 014/2011 ), используемые при производстве работ, должны иметь декларации, сертификаты ТР ТС 014/2011, материалы, конструкции и изделия не включенные в указанные перечни должны иметь сертификаты соответствия РФ, паспорта заводов - изготовителей и другие документы, подтверждающие их качество, экологическую безопасность.</w:t>
      </w:r>
    </w:p>
    <w:p>
      <w:pPr>
        <w:pStyle w:val="BodyTextIndent"/>
        <w:spacing w:before="280" w:after="0"/>
        <w:ind w:firstLine="709" w:start="0"/>
        <w:contextualSpacing/>
        <w:jc w:val="both"/>
        <w:rPr/>
      </w:pPr>
      <w:r>
        <w:rPr/>
        <w:t>Дорожно-строительные материалы и изделия, применяемые при выполнении работ, должны сопровождаться документами о качестве.</w:t>
      </w:r>
    </w:p>
    <w:p>
      <w:pPr>
        <w:pStyle w:val="BodyTextIndent"/>
        <w:spacing w:before="280" w:after="0"/>
        <w:ind w:firstLine="709" w:start="0"/>
        <w:contextualSpacing/>
        <w:jc w:val="center"/>
        <w:rPr/>
      </w:pPr>
      <w:r>
        <w:rPr>
          <w:b/>
        </w:rPr>
        <w:t>2. Общие требования</w:t>
      </w:r>
    </w:p>
    <w:p>
      <w:pPr>
        <w:pStyle w:val="BodyTextIndent"/>
        <w:spacing w:before="280" w:after="0"/>
        <w:ind w:firstLine="709" w:start="0"/>
        <w:contextualSpacing/>
        <w:jc w:val="both"/>
        <w:rPr/>
      </w:pPr>
      <w:r>
        <w:rPr/>
        <w:t>Все материалы и оборудование должны соответствовать требованиям Технического регламента Таможенного союза ТР ТС 014/2011 «Безопасность автомобильных дорог».</w:t>
      </w:r>
    </w:p>
    <w:p>
      <w:pPr>
        <w:pStyle w:val="BodyTextIndent"/>
        <w:spacing w:before="280" w:after="0"/>
        <w:ind w:firstLine="709" w:start="0"/>
        <w:contextualSpacing/>
        <w:jc w:val="center"/>
        <w:rPr>
          <w:b/>
        </w:rPr>
      </w:pPr>
      <w:r>
        <w:rPr>
          <w:b/>
        </w:rPr>
        <w:t>3. Состав работ</w:t>
      </w:r>
    </w:p>
    <w:p>
      <w:pPr>
        <w:pStyle w:val="BodyTextIndent"/>
        <w:spacing w:before="280" w:after="0"/>
        <w:ind w:firstLine="709" w:start="0"/>
        <w:contextualSpacing/>
        <w:jc w:val="both"/>
        <w:rPr>
          <w:b/>
        </w:rPr>
      </w:pPr>
      <w:r>
        <w:rPr>
          <w:b/>
        </w:rPr>
        <w:t>Устройство наружного искусственного освещения:</w:t>
      </w:r>
    </w:p>
    <w:p>
      <w:pPr>
        <w:pStyle w:val="BodyTextIndent"/>
        <w:spacing w:before="280" w:after="0"/>
        <w:ind w:firstLine="709" w:start="0"/>
        <w:contextualSpacing/>
        <w:jc w:val="both"/>
        <w:rPr/>
      </w:pPr>
      <w:r>
        <w:rPr/>
        <w:t>Исполнителю необходимо выполнить работы по устройству наружного искусственного освещения на следующих участках:</w:t>
      </w:r>
    </w:p>
    <w:p>
      <w:pPr>
        <w:pStyle w:val="BodyTextIndent"/>
        <w:spacing w:before="280" w:after="0"/>
        <w:ind w:firstLine="709" w:start="0"/>
        <w:contextualSpacing/>
        <w:jc w:val="end"/>
        <w:rPr/>
      </w:pPr>
      <w:r>
        <w:rPr/>
        <w:t>Таблица №1</w:t>
      </w:r>
    </w:p>
    <w:tbl>
      <w:tblPr>
        <w:tblStyle w:val="afc"/>
        <w:tblW w:w="1020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703"/>
        <w:gridCol w:w="7655"/>
        <w:gridCol w:w="993"/>
        <w:gridCol w:w="850"/>
      </w:tblGrid>
      <w:tr>
        <w:trPr>
          <w:trHeight w:val="1279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№</w:t>
            </w:r>
          </w:p>
        </w:tc>
        <w:tc>
          <w:tcPr>
            <w:tcW w:w="765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Наименование работ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Ед. изм.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Объем</w:t>
            </w:r>
          </w:p>
        </w:tc>
      </w:tr>
      <w:tr>
        <w:trPr>
          <w:trHeight w:val="227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9498" w:type="dxa"/>
            <w:gridSpan w:val="3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i/>
                <w:sz w:val="2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Устройство наружного освещения на участке км 158+000 – км 161+000 автомобильной дороги Р-132 «Золотое кольцо» Ярославль - Кострома - Иваново - Владимир - Гусь-Хрустальный - Рязань - Михайлов - Тула - Калуга - Вязьма - Ржев - Тверь - Углич - Ярославль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1.1</w:t>
            </w:r>
          </w:p>
        </w:tc>
        <w:tc>
          <w:tcPr>
            <w:tcW w:w="765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Установка закладных деталей ЗФ-24/8/Д310-2,5-6 и опор освещения типа СФГ-400-9,0-01-ц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54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1.2</w:t>
            </w:r>
          </w:p>
        </w:tc>
        <w:tc>
          <w:tcPr>
            <w:tcW w:w="765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Установка закладных деталей ЗФ-30/8/Д380-2,5-6 и опор освещения типа СФГ-700-9,0-01-ц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32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1.3</w:t>
            </w:r>
          </w:p>
        </w:tc>
        <w:tc>
          <w:tcPr>
            <w:tcW w:w="765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Монтаж кронштейнов крепления светильников 1К1-1,5х1,5-01-Ц (однорожковый) с прокладкой кабеля марки ВВГ-Пнг(А)LS 3х2,5-0,66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86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1.4</w:t>
            </w:r>
          </w:p>
        </w:tc>
        <w:tc>
          <w:tcPr>
            <w:tcW w:w="765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Подвеска на опорах освещения Провод СИП-2 3х35+1х50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3 000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1.5</w:t>
            </w:r>
          </w:p>
        </w:tc>
        <w:tc>
          <w:tcPr>
            <w:tcW w:w="765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Установка светильника светодиодного 120Вт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86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1.6</w:t>
            </w:r>
          </w:p>
        </w:tc>
        <w:tc>
          <w:tcPr>
            <w:tcW w:w="765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Установка вертикальной разметки 2.1.3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86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1.7</w:t>
            </w:r>
          </w:p>
        </w:tc>
        <w:tc>
          <w:tcPr>
            <w:tcW w:w="765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Установка табличек нумерации опор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86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1.8</w:t>
            </w:r>
          </w:p>
        </w:tc>
        <w:tc>
          <w:tcPr>
            <w:tcW w:w="765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Монтаж ШУНО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1.9</w:t>
            </w:r>
          </w:p>
        </w:tc>
        <w:tc>
          <w:tcPr>
            <w:tcW w:w="765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Устройство КТП-Т-В/В-16/10/0,4 киоскового типа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1.10</w:t>
            </w:r>
          </w:p>
        </w:tc>
        <w:tc>
          <w:tcPr>
            <w:tcW w:w="765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Установка опоры ж/б СВ 110-3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9498" w:type="dxa"/>
            <w:gridSpan w:val="3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0"/>
                <w:highlight w:val="yellow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Устройство наружного освещения на участке км 195+900 – км 197+750 автомобильной дороги Р-132 «Золотое кольцо» Ярославль - Кострома - Иваново - Владимир - Гусь-Хрустальный - Рязань - Михайлов - Тула - Калуга - Вязьма - Ржев - Тверь - Углич - Ярославль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2.1</w:t>
            </w:r>
          </w:p>
        </w:tc>
        <w:tc>
          <w:tcPr>
            <w:tcW w:w="765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Установка закладных деталей ЗФ-24/8/Д310-2,5-6 и опор освещения типа СФГ-400-9,0-01-ц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52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2.2</w:t>
            </w:r>
          </w:p>
        </w:tc>
        <w:tc>
          <w:tcPr>
            <w:tcW w:w="765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Установка закладных деталей ЗФ-30/8/Д380-2,5-6 и опор освещения типа СФГ-700-9,0-01-ц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36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2.3</w:t>
            </w:r>
          </w:p>
        </w:tc>
        <w:tc>
          <w:tcPr>
            <w:tcW w:w="765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Монтаж кронштейнов крепления светильников 1К1-1,5х1,5-01-Ц (однорожковый) с прокладкой кабеля марки ВВГ-Пнг(А)LS 3х2,5-0,66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84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2.4</w:t>
            </w:r>
          </w:p>
        </w:tc>
        <w:tc>
          <w:tcPr>
            <w:tcW w:w="765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Монтаж кронштейнов крепления светильников К17(45)-1,5х1,5 (двухрожковый) с прокладкой кабеля марки ВВГ-Пнг(А)LS 3х2,5-0,66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2.5</w:t>
            </w:r>
          </w:p>
        </w:tc>
        <w:tc>
          <w:tcPr>
            <w:tcW w:w="765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Подвеска на опорах освещения Провод СИП-2 4х35+1х54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3 075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2.6</w:t>
            </w:r>
          </w:p>
        </w:tc>
        <w:tc>
          <w:tcPr>
            <w:tcW w:w="765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Установка светильника светодиодного 120Вт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88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2.7</w:t>
            </w:r>
          </w:p>
        </w:tc>
        <w:tc>
          <w:tcPr>
            <w:tcW w:w="765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Установка светильника светодиодного 100Вт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2.8</w:t>
            </w:r>
          </w:p>
        </w:tc>
        <w:tc>
          <w:tcPr>
            <w:tcW w:w="765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Установка вертикальной разметки 2.1.3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92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2.9</w:t>
            </w:r>
          </w:p>
        </w:tc>
        <w:tc>
          <w:tcPr>
            <w:tcW w:w="765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Установка табличек нумерации опор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92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2.10</w:t>
            </w:r>
          </w:p>
        </w:tc>
        <w:tc>
          <w:tcPr>
            <w:tcW w:w="765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Монтаж ШУНО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2.11</w:t>
            </w:r>
          </w:p>
        </w:tc>
        <w:tc>
          <w:tcPr>
            <w:tcW w:w="765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Устройство КТП-Т-В/В-16/10/0,4 киоскового типа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2.12</w:t>
            </w:r>
          </w:p>
        </w:tc>
        <w:tc>
          <w:tcPr>
            <w:tcW w:w="765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Установка опоры ж/б СВ 110-3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</w:tbl>
    <w:p>
      <w:pPr>
        <w:pStyle w:val="BodyTextIndent"/>
        <w:spacing w:before="280" w:after="0"/>
        <w:ind w:firstLine="709" w:start="0"/>
        <w:contextualSpacing/>
        <w:jc w:val="both"/>
        <w:rPr/>
      </w:pPr>
      <w:r>
        <w:rPr/>
      </w:r>
    </w:p>
    <w:p>
      <w:pPr>
        <w:pStyle w:val="BodyTextIndent"/>
        <w:spacing w:before="280" w:after="0"/>
        <w:ind w:firstLine="709" w:start="0"/>
        <w:contextualSpacing/>
        <w:jc w:val="both"/>
        <w:rPr/>
      </w:pPr>
      <w:r>
        <w:rPr/>
        <w:t>В ходе выполнения работ по устройству наружного искусственного освещения на вышеперечисленных участках Подрядчику предстоит выполнить:</w:t>
      </w:r>
    </w:p>
    <w:p>
      <w:pPr>
        <w:pStyle w:val="BodyTextIndent"/>
        <w:spacing w:before="280" w:after="0"/>
        <w:ind w:firstLine="709" w:start="0"/>
        <w:contextualSpacing/>
        <w:jc w:val="both"/>
        <w:rPr/>
      </w:pPr>
      <w:r>
        <w:rPr/>
        <w:t>- Провести обследования, подготовить исходных данных для разработки проекта производства работ (далее – ППР) и иную техническую документацию, предусмотренную Договором.</w:t>
      </w:r>
    </w:p>
    <w:p>
      <w:pPr>
        <w:pStyle w:val="BodyTextIndent"/>
        <w:spacing w:before="280" w:after="0"/>
        <w:ind w:firstLine="709" w:start="0"/>
        <w:contextualSpacing/>
        <w:jc w:val="both"/>
        <w:rPr/>
      </w:pPr>
      <w:r>
        <w:rPr/>
        <w:t>- Подготовить материалы для подачи заявки на технологическое присоединение к электрическим сетям.</w:t>
      </w:r>
    </w:p>
    <w:p>
      <w:pPr>
        <w:pStyle w:val="BodyTextIndent"/>
        <w:spacing w:before="280" w:after="0"/>
        <w:ind w:firstLine="709" w:start="0"/>
        <w:contextualSpacing/>
        <w:jc w:val="both"/>
        <w:rPr/>
      </w:pPr>
      <w:r>
        <w:rPr/>
        <w:t>- Оплатить полученные счета на технологическое присоединение.</w:t>
      </w:r>
    </w:p>
    <w:p>
      <w:pPr>
        <w:pStyle w:val="BodyTextIndent"/>
        <w:spacing w:before="280" w:after="0"/>
        <w:ind w:firstLine="709" w:start="0"/>
        <w:contextualSpacing/>
        <w:jc w:val="both"/>
        <w:rPr/>
      </w:pPr>
      <w:r>
        <w:rPr/>
        <w:t>- Установить наружное искусственное освещение в виде опор освещения, кронштейнов, светильников, провода СИП, шкафа управления наружным освещением (ШУНО), автоматической системы управления наружным освещением (АСУНО), силового трансформатора, линейного разъединителя и других элементов.</w:t>
      </w:r>
    </w:p>
    <w:p>
      <w:pPr>
        <w:pStyle w:val="BodyTextIndent"/>
        <w:spacing w:before="280" w:after="0"/>
        <w:ind w:firstLine="709" w:start="0"/>
        <w:contextualSpacing/>
        <w:jc w:val="both"/>
        <w:rPr/>
      </w:pPr>
      <w:r>
        <w:rPr/>
        <w:t>- Выполнить пуско-наладку установленных элементов освещения под управлением АСУНО.</w:t>
      </w:r>
    </w:p>
    <w:p>
      <w:pPr>
        <w:pStyle w:val="BodyTextIndent"/>
        <w:spacing w:before="280" w:after="0"/>
        <w:ind w:firstLine="709" w:start="0"/>
        <w:contextualSpacing/>
        <w:jc w:val="both"/>
        <w:rPr>
          <w:b/>
        </w:rPr>
      </w:pPr>
      <w:r>
        <w:rPr>
          <w:b/>
        </w:rPr>
      </w:r>
    </w:p>
    <w:p>
      <w:pPr>
        <w:pStyle w:val="BodyTextIndent"/>
        <w:spacing w:before="280" w:after="0"/>
        <w:ind w:firstLine="709" w:start="0"/>
        <w:contextualSpacing/>
        <w:jc w:val="both"/>
        <w:rPr/>
      </w:pPr>
      <w:r>
        <w:rPr/>
        <w:t xml:space="preserve">Опоры должны соответствовать требованию ГОСТ 32947-2014 «Дороги автомобильные общего пользования. Опоры стационарного электрического освещения. Технические требования» </w:t>
      </w:r>
    </w:p>
    <w:p>
      <w:pPr>
        <w:pStyle w:val="BodyTextIndent"/>
        <w:spacing w:before="280" w:after="0"/>
        <w:ind w:firstLine="709" w:start="0"/>
        <w:contextualSpacing/>
        <w:jc w:val="both"/>
        <w:rPr/>
      </w:pPr>
      <w:r>
        <w:rPr/>
        <w:t>Закладные детали фундаментов должны соответствовать требованию ГОСТ Р 57997-2017 «Арматурные и закладные изделия сварные, соединения сварные арматуры и закладных изделий железобетонных конструкций. Общие технические условия»</w:t>
      </w:r>
    </w:p>
    <w:p>
      <w:pPr>
        <w:pStyle w:val="BodyTextIndent"/>
        <w:spacing w:before="280" w:after="0"/>
        <w:ind w:firstLine="709" w:start="0"/>
        <w:contextualSpacing/>
        <w:jc w:val="both"/>
        <w:rPr/>
      </w:pPr>
      <w:r>
        <w:rPr/>
        <w:t>Сталь для элементов конструкции опор должна выбираться исходя из климатического района эксплуатации согласно СП 16.13330.2017 «Стальные конструкции. Актуализированная редакция СНиП II-23-81*».</w:t>
      </w:r>
    </w:p>
    <w:p>
      <w:pPr>
        <w:pStyle w:val="BodyTextIndent"/>
        <w:spacing w:before="280" w:after="0"/>
        <w:ind w:firstLine="709" w:start="0"/>
        <w:contextualSpacing/>
        <w:jc w:val="both"/>
        <w:rPr/>
      </w:pPr>
      <w:r>
        <w:rPr/>
        <w:t>Антикоррозийное покрытие опор должно соответствовать ГОСТ 9.307-2021 «Единая система защиты от коррозии и старения. Покрытия цинковые горячие. Общие требования и методы контроля».</w:t>
      </w:r>
    </w:p>
    <w:p>
      <w:pPr>
        <w:pStyle w:val="BodyTextIndent"/>
        <w:spacing w:before="280" w:after="0"/>
        <w:ind w:firstLine="709" w:start="0"/>
        <w:contextualSpacing/>
        <w:jc w:val="both"/>
        <w:rPr/>
      </w:pPr>
      <w:r>
        <w:rPr/>
        <w:t>Светильники должны соответствовать требованиям ГОСТ 34819-2021 «Приборы осветительные. Светотехнические требования и методы испытаний» и требованиям Постановления Правительства РФ от 24.12.2020 № 2255 «Об утверждении требований к осветительным устройствам и электрическим лампам, используемым в цепях переменного тока в целях освещения».</w:t>
      </w:r>
    </w:p>
    <w:p>
      <w:pPr>
        <w:pStyle w:val="BodyTextIndent"/>
        <w:spacing w:before="280" w:after="0"/>
        <w:ind w:firstLine="709" w:start="0"/>
        <w:contextualSpacing/>
        <w:jc w:val="both"/>
        <w:rPr/>
      </w:pPr>
      <w:r>
        <w:rPr/>
        <w:t>СИП должен соответствовать требованиям ГОСТ 31946-2012 «Провода самонесущие изолированные и защищенные для воздушных линий электропередачи».</w:t>
      </w:r>
    </w:p>
    <w:p>
      <w:pPr>
        <w:pStyle w:val="BodyTextIndent"/>
        <w:spacing w:before="280" w:after="0"/>
        <w:ind w:firstLine="709" w:start="0"/>
        <w:contextualSpacing/>
        <w:jc w:val="both"/>
        <w:rPr/>
      </w:pPr>
      <w:r>
        <w:rPr/>
        <w:t xml:space="preserve">Провода должны быть стойкими к воздействию температуры окружающей в диапазоне от -50 °С до +50 °С. </w:t>
      </w:r>
    </w:p>
    <w:p>
      <w:pPr>
        <w:pStyle w:val="BodyTextIndent"/>
        <w:spacing w:before="280" w:after="0"/>
        <w:ind w:firstLine="709" w:start="0"/>
        <w:contextualSpacing/>
        <w:jc w:val="both"/>
        <w:rPr/>
      </w:pPr>
      <w:r>
        <w:rPr/>
        <w:t>Сталь для заземляющих устройств должна соответствовать ГОСТ 2590-2006 «Прокат сортовой стальной горячекатаный круглый. Сортамент».</w:t>
      </w:r>
    </w:p>
    <w:p>
      <w:pPr>
        <w:pStyle w:val="BodyTextIndent"/>
        <w:spacing w:before="280" w:after="0"/>
        <w:ind w:firstLine="709" w:start="0"/>
        <w:contextualSpacing/>
        <w:jc w:val="both"/>
        <w:rPr/>
      </w:pPr>
      <w:r>
        <w:rPr/>
        <w:t>Антикоррозийное покрытие заземляющих устройств должно соответствовать требованиям ГОСТ 9.307-2021 «Единая система защиты от коррозии и старения. Покрытия цинковые горячие. Общие требования и методы контроля».</w:t>
      </w:r>
    </w:p>
    <w:p>
      <w:pPr>
        <w:pStyle w:val="Normal"/>
        <w:widowControl w:val="false"/>
        <w:spacing w:before="280" w:after="0"/>
        <w:ind w:firstLine="709"/>
        <w:jc w:val="center"/>
        <w:rPr>
          <w:b/>
        </w:rPr>
      </w:pPr>
      <w:r>
        <w:rPr>
          <w:b/>
        </w:rPr>
        <w:t>4. Общие требования организации движения, ограждения мест производства работ</w:t>
      </w:r>
    </w:p>
    <w:p>
      <w:pPr>
        <w:pStyle w:val="Normal"/>
        <w:widowControl w:val="false"/>
        <w:spacing w:before="280" w:after="0"/>
        <w:ind w:firstLine="709"/>
        <w:jc w:val="both"/>
        <w:rPr>
          <w:b/>
        </w:rPr>
      </w:pPr>
      <w:r>
        <w:rPr/>
        <w:t>Для организации и обеспечения безопасности дорожного движения в местах производства работ в течении 5 (пяти) дней с даты заключения настоящего договора Исполнитель должен разработать схему организации дорожного движения и ограждения места производства дорожных работ, руководствуясь соответствующими правилами дорожного движения, требованиями технических регламентов, национальных стандартов, правил, отраслевых дорожных методик, настоящим Техническим заданием по организации и обеспечению безопасности движения на автомобильных дорогах с соблюдением требований по охране труда, установленными действующими нормативными правовыми актами.</w:t>
      </w:r>
    </w:p>
    <w:p>
      <w:pPr>
        <w:pStyle w:val="Normal"/>
        <w:numPr>
          <w:ilvl w:val="0"/>
          <w:numId w:val="0"/>
        </w:numPr>
        <w:spacing w:before="280" w:after="0"/>
        <w:ind w:firstLine="709"/>
        <w:jc w:val="both"/>
        <w:outlineLvl w:val="0"/>
        <w:rPr/>
      </w:pPr>
      <w:r>
        <w:rPr/>
        <w:t>Исполнитель разрабатывает схему организации движения и ограждения мест производства дорожных работ, в соответствии с ГОСТ Р 58350-2019, ОДМ 218.6.019-2016, и «Регламенту об утверждении и мониторинге схем организации движения и ограждения мест производства работ на сети автомобильных дорог подведомственной федеральному казенному учреждению «Федеральное управление автомобильных дорог «Центральная Россия» Федерального дорожного агентства» (ФКУ «Центравтомагистраль»), утвержденного приказом ФКУ «Центравтомагистраль» от 23.05.2022 № 194 (наст. ФКУ Упрдор «Россия»), в соответствующем масштабе для участка временного изменения движения. Проведение дорожных работ осуществляется при наличии утвержденных ФКУ Упрдор «Россия» схем (проекта) организации движения и ограждения места производства дорожных работ.</w:t>
      </w:r>
    </w:p>
    <w:p>
      <w:pPr>
        <w:pStyle w:val="Normal"/>
        <w:numPr>
          <w:ilvl w:val="0"/>
          <w:numId w:val="0"/>
        </w:numPr>
        <w:spacing w:before="280" w:after="0"/>
        <w:ind w:firstLine="709"/>
        <w:jc w:val="both"/>
        <w:outlineLvl w:val="0"/>
        <w:rPr/>
      </w:pPr>
      <w:r>
        <w:rPr/>
        <w:t xml:space="preserve">Уполномоченные лица Исполнителя регулярно, в том числе перед началом и во время проведения работ, а также после окончания рабочей смены должны проверять наличие технических средств организации дорожного движения, ограждающих и направляющих устройств, предусмотренных схемой организации движения и ограждения мест производства работ. При необходимости заменяют пришедшие в негодность или устанавливают отсутствующие технические средства. </w:t>
      </w:r>
    </w:p>
    <w:p>
      <w:pPr>
        <w:pStyle w:val="Normal"/>
        <w:spacing w:before="280" w:after="0"/>
        <w:ind w:firstLine="709"/>
        <w:jc w:val="both"/>
        <w:rPr/>
      </w:pPr>
      <w:r>
        <w:rPr/>
        <w:t>Механизаторы, дорожные рабочие и специалисты, задействованные при производстве работ на федеральных дорогах, должны быть обеспечены спецодеждой (средствами индивидуальной защиты) соответствующего цвета, соответствующей, в том числе, требованиям Технического регламента Таможенного союза, со светоотражающими элементами и с фирменным логотипом Исполнителя.</w:t>
      </w:r>
    </w:p>
    <w:p>
      <w:pPr>
        <w:pStyle w:val="Normal"/>
        <w:spacing w:before="280" w:after="0"/>
        <w:ind w:firstLine="709"/>
        <w:jc w:val="both"/>
        <w:rPr/>
      </w:pPr>
      <w:r>
        <w:rPr/>
        <w:t>Исполнитель несет предусмотренную законодательством РФ ответственность за обеспечение безопасности движения в местах ведения работ в течение всего периода времени их выполнения.</w:t>
      </w:r>
    </w:p>
    <w:p>
      <w:pPr>
        <w:pStyle w:val="Normal"/>
        <w:tabs>
          <w:tab w:val="clear" w:pos="708"/>
          <w:tab w:val="left" w:pos="900" w:leader="none"/>
        </w:tabs>
        <w:spacing w:before="280" w:after="280"/>
        <w:ind w:firstLine="709"/>
        <w:contextualSpacing/>
        <w:jc w:val="both"/>
        <w:rPr/>
      </w:pPr>
      <w:r>
        <w:rPr/>
      </w:r>
    </w:p>
    <w:p>
      <w:pPr>
        <w:pStyle w:val="Normal"/>
        <w:spacing w:before="280" w:after="280"/>
        <w:ind w:firstLine="709" w:end="403"/>
        <w:contextualSpacing/>
        <w:jc w:val="both"/>
        <w:rPr>
          <w:b/>
        </w:rPr>
      </w:pPr>
      <w:r>
        <w:rPr>
          <w:b/>
        </w:rPr>
        <w:t>Все материалы, применяемые при оказании услуг (выполнении работ), должны сопровождаться документами о качестве.</w:t>
      </w:r>
    </w:p>
    <w:p>
      <w:pPr>
        <w:pStyle w:val="Normal"/>
        <w:rPr/>
      </w:pPr>
      <w:r>
        <w:rPr/>
        <w:t>Сдача-приёмка работ осуществляется уполномоченными представителями Сторон в соответствии с требованиями настоящего технического задания и условиями, предусмотренными Договором.</w:t>
      </w:r>
    </w:p>
    <w:p>
      <w:pPr>
        <w:pStyle w:val="Normal"/>
        <w:tabs>
          <w:tab w:val="clear" w:pos="708"/>
          <w:tab w:val="left" w:pos="993" w:leader="none"/>
        </w:tabs>
        <w:spacing w:before="280" w:after="0"/>
        <w:ind w:firstLine="709"/>
        <w:contextualSpacing/>
        <w:jc w:val="both"/>
        <w:rPr/>
      </w:pPr>
      <w:r>
        <w:rPr/>
        <w:t>Оформление оказанных услуг (выполненных работ) осуществляется с составлением соответствующих актов освидетельствования скрытых работ и ответственных конструкций.</w:t>
      </w:r>
    </w:p>
    <w:p>
      <w:pPr>
        <w:pStyle w:val="Normal"/>
        <w:tabs>
          <w:tab w:val="clear" w:pos="708"/>
          <w:tab w:val="left" w:pos="993" w:leader="none"/>
        </w:tabs>
        <w:spacing w:before="280" w:after="0"/>
        <w:ind w:firstLine="709"/>
        <w:contextualSpacing/>
        <w:jc w:val="both"/>
        <w:rPr/>
      </w:pPr>
      <w:r>
        <w:rPr/>
        <w:t>Исполнитель обязан вести с момента начала работ на Объекте и до их завершения, оформленные и заверенные в установленном порядке общие журналы работ, журналы входного, операционного и лабораторных контролей, а также оформлять акты освидетельствования скрытых работ и ответственных конструкций, на русском языке по формам, согласованным с Заказчиком.</w:t>
      </w:r>
    </w:p>
    <w:p>
      <w:pPr>
        <w:pStyle w:val="Normal"/>
        <w:rPr/>
      </w:pPr>
      <w:r>
        <w:rPr/>
        <w:t>Услуги оплачиваются исходя из фактически оказанных услуг, с учётом расчёта стоимости контрактной цены.</w:t>
      </w:r>
    </w:p>
    <w:p>
      <w:pPr>
        <w:pStyle w:val="Normal"/>
        <w:rPr/>
      </w:pPr>
      <w:r>
        <w:rPr/>
        <w:t>Услуги принимаются и оплачиваются, только если их качество и количество подтверждаются исполнительной документацией.</w:t>
      </w:r>
    </w:p>
    <w:p>
      <w:pPr>
        <w:pStyle w:val="Title"/>
        <w:spacing w:before="280" w:after="280"/>
        <w:contextualSpacing/>
        <w:rPr/>
      </w:pPr>
      <w:r>
        <w:rPr/>
      </w:r>
    </w:p>
    <w:p>
      <w:pPr>
        <w:pStyle w:val="Normal"/>
        <w:spacing w:before="280" w:after="0"/>
        <w:rPr/>
      </w:pPr>
      <w:r>
        <w:rPr/>
      </w:r>
    </w:p>
    <w:p>
      <w:pPr>
        <w:pStyle w:val="Normal"/>
        <w:spacing w:before="280" w:after="0"/>
        <w:ind w:firstLine="567"/>
        <w:jc w:val="both"/>
        <w:rPr/>
      </w:pPr>
      <w:r>
        <w:rPr/>
      </w:r>
    </w:p>
    <w:p>
      <w:pPr>
        <w:pStyle w:val="Normal"/>
        <w:spacing w:before="280" w:after="0"/>
        <w:ind w:firstLine="567"/>
        <w:jc w:val="both"/>
        <w:rPr/>
      </w:pPr>
      <w:r>
        <w:rPr/>
      </w:r>
    </w:p>
    <w:sectPr>
      <w:type w:val="nextPage"/>
      <w:pgSz w:w="11906" w:h="16838"/>
      <w:pgMar w:left="1134" w:right="566" w:gutter="0" w:header="0" w:top="993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XO Thames">
    <w:charset w:val="01" w:characterSet="utf-8"/>
    <w:family w:val="roman"/>
    <w:pitch w:val="variable"/>
  </w:font>
  <w:font w:name="Segoe UI">
    <w:charset w:val="01" w:characterSet="utf-8"/>
    <w:family w:val="swiss"/>
    <w:pitch w:val="variable"/>
  </w:font>
  <w:font w:name="Calibri"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Verdana">
    <w:charset w:val="01" w:characterSet="utf-8"/>
    <w:family w:val="swiss"/>
    <w:pitch w:val="variable"/>
  </w:font>
  <w:font w:name="Cambria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360"/>
      </w:pPr>
      <w:rPr/>
    </w:lvl>
  </w:abstractNum>
  <w:abstractNum w:abstractNumId="2">
    <w:lvl w:ilvl="0">
      <w:start w:val="8"/>
      <w:numFmt w:val="decimal"/>
      <w:lvlText w:val="%1."/>
      <w:lvlJc w:val="start"/>
      <w:pPr>
        <w:tabs>
          <w:tab w:val="num" w:pos="0"/>
        </w:tabs>
        <w:ind w:start="450" w:hanging="450"/>
      </w:pPr>
      <w:rPr>
        <w:b/>
      </w:r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1004" w:hanging="72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color w:val="000000"/>
        <w:spacing w:val="0"/>
        <w:sz w:val="24"/>
        <w:u w:val="none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862" w:hanging="720"/>
      </w:pPr>
      <w:rPr>
        <w:b w:val="false"/>
      </w:r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2160" w:hanging="1080"/>
      </w:pPr>
      <w:rPr>
        <w:b w:val="false"/>
      </w:rPr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2520" w:hanging="1080"/>
      </w:pPr>
      <w:rPr>
        <w:b w:val="false"/>
      </w:rPr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3240" w:hanging="1440"/>
      </w:pPr>
      <w:rPr>
        <w:b w:val="false"/>
      </w:rPr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3960" w:hanging="1800"/>
      </w:pPr>
      <w:rPr>
        <w:b w:val="false"/>
      </w:rPr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4320" w:hanging="1800"/>
      </w:pPr>
      <w:rPr>
        <w:b w:val="false"/>
      </w:rPr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5040" w:hanging="2160"/>
      </w:pPr>
      <w:rPr>
        <w:b w:val="false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link w:val="1"/>
    <w:qFormat/>
    <w:pPr>
      <w:widowControl/>
      <w:bidi w:val="0"/>
      <w:spacing w:lineRule="auto" w:line="240" w:beforeAutospacing="1" w:afterAutospacing="1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Heading1">
    <w:name w:val="heading 1"/>
    <w:basedOn w:val="Normal"/>
    <w:link w:val="11"/>
    <w:uiPriority w:val="9"/>
    <w:qFormat/>
    <w:pPr>
      <w:outlineLvl w:val="0"/>
    </w:pPr>
    <w:rPr>
      <w:b/>
      <w:sz w:val="48"/>
    </w:rPr>
  </w:style>
  <w:style w:type="paragraph" w:styleId="Heading2">
    <w:name w:val="heading 2"/>
    <w:next w:val="Normal"/>
    <w:link w:val="21"/>
    <w:uiPriority w:val="9"/>
    <w:qFormat/>
    <w:pPr>
      <w:widowControl/>
      <w:bidi w:val="0"/>
      <w:spacing w:lineRule="auto" w:line="276" w:before="120" w:after="120"/>
      <w:jc w:val="both"/>
      <w:outlineLvl w:val="1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Heading3">
    <w:name w:val="heading 3"/>
    <w:next w:val="Normal"/>
    <w:link w:val="3"/>
    <w:uiPriority w:val="9"/>
    <w:qFormat/>
    <w:pPr>
      <w:widowControl/>
      <w:bidi w:val="0"/>
      <w:spacing w:lineRule="auto" w:line="276" w:before="120" w:after="120"/>
      <w:jc w:val="both"/>
      <w:outlineLvl w:val="2"/>
    </w:pPr>
    <w:rPr>
      <w:rFonts w:ascii="XO Thames" w:hAnsi="XO Thames" w:eastAsia="Times New Roman" w:cs="Times New Roman"/>
      <w:b/>
      <w:color w:val="000000"/>
      <w:kern w:val="0"/>
      <w:sz w:val="26"/>
      <w:szCs w:val="20"/>
      <w:lang w:val="ru-RU" w:eastAsia="ru-RU" w:bidi="ar-SA"/>
    </w:rPr>
  </w:style>
  <w:style w:type="paragraph" w:styleId="Heading4">
    <w:name w:val="heading 4"/>
    <w:next w:val="Normal"/>
    <w:link w:val="41"/>
    <w:uiPriority w:val="9"/>
    <w:qFormat/>
    <w:pPr>
      <w:widowControl/>
      <w:bidi w:val="0"/>
      <w:spacing w:lineRule="auto" w:line="276" w:before="120" w:after="120"/>
      <w:jc w:val="both"/>
      <w:outlineLvl w:val="3"/>
    </w:pPr>
    <w:rPr>
      <w:rFonts w:ascii="XO Thames" w:hAnsi="XO Thames" w:eastAsia="Times New Roman" w:cs="Times New Roman"/>
      <w:b/>
      <w:color w:val="000000"/>
      <w:kern w:val="0"/>
      <w:sz w:val="24"/>
      <w:szCs w:val="20"/>
      <w:lang w:val="ru-RU" w:eastAsia="ru-RU" w:bidi="ar-SA"/>
    </w:rPr>
  </w:style>
  <w:style w:type="paragraph" w:styleId="Heading5">
    <w:name w:val="heading 5"/>
    <w:next w:val="Normal"/>
    <w:link w:val="5"/>
    <w:uiPriority w:val="9"/>
    <w:qFormat/>
    <w:pPr>
      <w:widowControl/>
      <w:bidi w:val="0"/>
      <w:spacing w:lineRule="auto" w:line="276"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qFormat/>
    <w:rPr>
      <w:rFonts w:ascii="Times New Roman" w:hAnsi="Times New Roman"/>
      <w:sz w:val="24"/>
    </w:rPr>
  </w:style>
  <w:style w:type="character" w:styleId="2" w:customStyle="1">
    <w:name w:val="Оглавление 2 Знак"/>
    <w:qFormat/>
    <w:rPr>
      <w:rFonts w:ascii="XO Thames" w:hAnsi="XO Thames"/>
      <w:sz w:val="28"/>
    </w:rPr>
  </w:style>
  <w:style w:type="character" w:styleId="4" w:customStyle="1">
    <w:name w:val="Оглавление 4 Знак"/>
    <w:qFormat/>
    <w:rPr>
      <w:rFonts w:ascii="XO Thames" w:hAnsi="XO Thames"/>
      <w:sz w:val="28"/>
    </w:rPr>
  </w:style>
  <w:style w:type="character" w:styleId="Style9" w:customStyle="1">
    <w:name w:val="Абзац списка Знак"/>
    <w:basedOn w:val="1"/>
    <w:link w:val="ListParagraph"/>
    <w:qFormat/>
    <w:rPr>
      <w:rFonts w:ascii="Times New Roman" w:hAnsi="Times New Roman"/>
      <w:sz w:val="24"/>
    </w:rPr>
  </w:style>
  <w:style w:type="character" w:styleId="6" w:customStyle="1">
    <w:name w:val="Оглавление 6 Знак"/>
    <w:qFormat/>
    <w:rPr>
      <w:rFonts w:ascii="XO Thames" w:hAnsi="XO Thames"/>
      <w:sz w:val="28"/>
    </w:rPr>
  </w:style>
  <w:style w:type="character" w:styleId="7" w:customStyle="1">
    <w:name w:val="Оглавление 7 Знак"/>
    <w:qFormat/>
    <w:rPr>
      <w:rFonts w:ascii="XO Thames" w:hAnsi="XO Thames"/>
      <w:sz w:val="28"/>
    </w:rPr>
  </w:style>
  <w:style w:type="character" w:styleId="Endnote" w:customStyle="1">
    <w:name w:val="Endnote"/>
    <w:link w:val="Endnote1"/>
    <w:qFormat/>
    <w:rPr>
      <w:rFonts w:ascii="XO Thames" w:hAnsi="XO Thames"/>
      <w:sz w:val="22"/>
    </w:rPr>
  </w:style>
  <w:style w:type="character" w:styleId="3" w:customStyle="1">
    <w:name w:val="Заголовок 3 Знак"/>
    <w:qFormat/>
    <w:rPr>
      <w:rFonts w:ascii="XO Thames" w:hAnsi="XO Thames"/>
      <w:b/>
      <w:sz w:val="26"/>
    </w:rPr>
  </w:style>
  <w:style w:type="character" w:styleId="9" w:customStyle="1">
    <w:name w:val="Основной текст9"/>
    <w:link w:val="911"/>
    <w:qFormat/>
    <w:rPr>
      <w:rFonts w:ascii="Times New Roman" w:hAnsi="Times New Roman"/>
      <w:sz w:val="21"/>
    </w:rPr>
  </w:style>
  <w:style w:type="character" w:styleId="Style11" w:customStyle="1">
    <w:name w:val="Style1"/>
    <w:basedOn w:val="1"/>
    <w:link w:val="Style111"/>
    <w:qFormat/>
    <w:rPr>
      <w:rFonts w:ascii="Times New Roman" w:hAnsi="Times New Roman"/>
      <w:sz w:val="24"/>
    </w:rPr>
  </w:style>
  <w:style w:type="character" w:styleId="Style10" w:customStyle="1">
    <w:name w:val="Основной текст с отступом Знак"/>
    <w:basedOn w:val="1"/>
    <w:qFormat/>
    <w:rPr>
      <w:rFonts w:ascii="Times New Roman" w:hAnsi="Times New Roman"/>
      <w:sz w:val="24"/>
    </w:rPr>
  </w:style>
  <w:style w:type="character" w:styleId="Style12" w:customStyle="1">
    <w:name w:val="Текст выноски Знак"/>
    <w:basedOn w:val="1"/>
    <w:link w:val="BalloonText"/>
    <w:qFormat/>
    <w:rPr>
      <w:rFonts w:ascii="Segoe UI" w:hAnsi="Segoe UI"/>
      <w:sz w:val="18"/>
    </w:rPr>
  </w:style>
  <w:style w:type="character" w:styleId="Style13" w:customStyle="1">
    <w:name w:val="нумерация и равнение налево"/>
    <w:basedOn w:val="1"/>
    <w:link w:val="14"/>
    <w:qFormat/>
    <w:rPr>
      <w:rFonts w:ascii="Calibri" w:hAnsi="Calibri" w:asciiTheme="minorHAnsi" w:hAnsiTheme="minorHAnsi"/>
      <w:sz w:val="22"/>
    </w:rPr>
  </w:style>
  <w:style w:type="character" w:styleId="31" w:customStyle="1">
    <w:name w:val="Оглавление 3 Знак"/>
    <w:qFormat/>
    <w:rPr>
      <w:rFonts w:ascii="XO Thames" w:hAnsi="XO Thames"/>
      <w:sz w:val="28"/>
    </w:rPr>
  </w:style>
  <w:style w:type="character" w:styleId="Style14" w:customStyle="1">
    <w:name w:val="Без интервала Знак"/>
    <w:link w:val="NoSpacing"/>
    <w:qFormat/>
    <w:rPr>
      <w:rFonts w:ascii="Calibri" w:hAnsi="Calibri"/>
    </w:rPr>
  </w:style>
  <w:style w:type="character" w:styleId="FontStyle12" w:customStyle="1">
    <w:name w:val="Font Style12"/>
    <w:basedOn w:val="DefaultParagraphFont"/>
    <w:link w:val="FontStyle121"/>
    <w:qFormat/>
    <w:rPr>
      <w:rFonts w:ascii="Times New Roman" w:hAnsi="Times New Roman"/>
    </w:rPr>
  </w:style>
  <w:style w:type="character" w:styleId="Style15" w:customStyle="1">
    <w:name w:val="Обычный (веб) Знак"/>
    <w:basedOn w:val="1"/>
    <w:link w:val="NormalWeb"/>
    <w:qFormat/>
    <w:rPr>
      <w:rFonts w:ascii="Times New Roman" w:hAnsi="Times New Roman"/>
      <w:sz w:val="24"/>
    </w:rPr>
  </w:style>
  <w:style w:type="character" w:styleId="5" w:customStyle="1">
    <w:name w:val="Заголовок 5 Знак"/>
    <w:qFormat/>
    <w:rPr>
      <w:rFonts w:ascii="XO Thames" w:hAnsi="XO Thames"/>
      <w:b/>
      <w:sz w:val="22"/>
    </w:rPr>
  </w:style>
  <w:style w:type="character" w:styleId="11" w:customStyle="1">
    <w:name w:val="Заголовок 1 Знак"/>
    <w:basedOn w:val="1"/>
    <w:qFormat/>
    <w:rPr>
      <w:rFonts w:ascii="Times New Roman" w:hAnsi="Times New Roman"/>
      <w:b/>
      <w:sz w:val="48"/>
    </w:rPr>
  </w:style>
  <w:style w:type="character" w:styleId="Hyperlink">
    <w:name w:val="Hyperlink"/>
    <w:link w:val="15"/>
    <w:rPr>
      <w:color w:val="0000FF"/>
      <w:u w:val="single"/>
    </w:rPr>
  </w:style>
  <w:style w:type="character" w:styleId="Footnote" w:customStyle="1">
    <w:name w:val="Footnote"/>
    <w:link w:val="Footnote1"/>
    <w:qFormat/>
    <w:rPr>
      <w:rFonts w:ascii="XO Thames" w:hAnsi="XO Thames"/>
      <w:sz w:val="22"/>
    </w:rPr>
  </w:style>
  <w:style w:type="character" w:styleId="12" w:customStyle="1">
    <w:name w:val="Оглавление 1 Знак"/>
    <w:qFormat/>
    <w:rPr>
      <w:rFonts w:ascii="XO Thames" w:hAnsi="XO Thames"/>
      <w:b/>
      <w:sz w:val="28"/>
    </w:rPr>
  </w:style>
  <w:style w:type="character" w:styleId="HeaderandFooter" w:customStyle="1">
    <w:name w:val="Header and Footer"/>
    <w:qFormat/>
    <w:rPr>
      <w:rFonts w:ascii="XO Thames" w:hAnsi="XO Thames"/>
      <w:sz w:val="28"/>
    </w:rPr>
  </w:style>
  <w:style w:type="character" w:styleId="Default" w:customStyle="1">
    <w:name w:val="Default"/>
    <w:link w:val="Default1"/>
    <w:qFormat/>
    <w:rPr>
      <w:rFonts w:ascii="Times New Roman" w:hAnsi="Times New Roman"/>
      <w:color w:val="000000"/>
      <w:sz w:val="24"/>
    </w:rPr>
  </w:style>
  <w:style w:type="character" w:styleId="Style71" w:customStyle="1">
    <w:name w:val="Style7"/>
    <w:basedOn w:val="1"/>
    <w:link w:val="Style711"/>
    <w:qFormat/>
    <w:rPr>
      <w:rFonts w:ascii="Times New Roman" w:hAnsi="Times New Roman"/>
      <w:sz w:val="24"/>
    </w:rPr>
  </w:style>
  <w:style w:type="character" w:styleId="91" w:customStyle="1">
    <w:name w:val="Оглавление 9 Знак"/>
    <w:qFormat/>
    <w:rPr>
      <w:rFonts w:ascii="XO Thames" w:hAnsi="XO Thames"/>
      <w:sz w:val="28"/>
    </w:rPr>
  </w:style>
  <w:style w:type="character" w:styleId="formattexttopleveltext" w:customStyle="1">
    <w:name w:val="formattext topleveltext"/>
    <w:basedOn w:val="1"/>
    <w:link w:val="formattexttopleveltext1"/>
    <w:qFormat/>
    <w:rPr>
      <w:rFonts w:ascii="Times New Roman" w:hAnsi="Times New Roman"/>
      <w:sz w:val="24"/>
    </w:rPr>
  </w:style>
  <w:style w:type="character" w:styleId="Style16" w:customStyle="1">
    <w:name w:val="обычн БО"/>
    <w:basedOn w:val="1"/>
    <w:link w:val="16"/>
    <w:qFormat/>
    <w:rPr>
      <w:rFonts w:ascii="Arial" w:hAnsi="Arial"/>
      <w:sz w:val="24"/>
    </w:rPr>
  </w:style>
  <w:style w:type="character" w:styleId="CharChar" w:customStyle="1">
    <w:name w:val="Знак Знак Char Char"/>
    <w:basedOn w:val="1"/>
    <w:link w:val="CharChar1"/>
    <w:qFormat/>
    <w:rPr>
      <w:rFonts w:ascii="Verdana" w:hAnsi="Verdana"/>
      <w:sz w:val="24"/>
    </w:rPr>
  </w:style>
  <w:style w:type="character" w:styleId="8" w:customStyle="1">
    <w:name w:val="Оглавление 8 Знак"/>
    <w:qFormat/>
    <w:rPr>
      <w:rFonts w:ascii="XO Thames" w:hAnsi="XO Thames"/>
      <w:sz w:val="28"/>
    </w:rPr>
  </w:style>
  <w:style w:type="character" w:styleId="Style101" w:customStyle="1">
    <w:name w:val="Style10"/>
    <w:basedOn w:val="1"/>
    <w:link w:val="Style1011"/>
    <w:qFormat/>
    <w:rPr>
      <w:rFonts w:ascii="Times New Roman" w:hAnsi="Times New Roman"/>
      <w:sz w:val="24"/>
    </w:rPr>
  </w:style>
  <w:style w:type="character" w:styleId="Style17" w:customStyle="1">
    <w:name w:val="Основной текст Знак"/>
    <w:basedOn w:val="1"/>
    <w:qFormat/>
    <w:rPr>
      <w:rFonts w:ascii="Times New Roman" w:hAnsi="Times New Roman"/>
      <w:sz w:val="24"/>
    </w:rPr>
  </w:style>
  <w:style w:type="character" w:styleId="51" w:customStyle="1">
    <w:name w:val="Оглавление 5 Знак"/>
    <w:qFormat/>
    <w:rPr>
      <w:rFonts w:ascii="XO Thames" w:hAnsi="XO Thames"/>
      <w:sz w:val="28"/>
    </w:rPr>
  </w:style>
  <w:style w:type="character" w:styleId="Style18" w:customStyle="1">
    <w:name w:val="Подзаголовок Знак"/>
    <w:qFormat/>
    <w:rPr>
      <w:rFonts w:ascii="XO Thames" w:hAnsi="XO Thames"/>
      <w:i/>
      <w:sz w:val="24"/>
    </w:rPr>
  </w:style>
  <w:style w:type="character" w:styleId="Style19" w:customStyle="1">
    <w:name w:val="Заголовок Знак"/>
    <w:basedOn w:val="1"/>
    <w:qFormat/>
    <w:rPr>
      <w:rFonts w:ascii="Cambria" w:hAnsi="Cambria" w:asciiTheme="majorHAnsi" w:hAnsiTheme="majorHAnsi"/>
      <w:spacing w:val="-10"/>
      <w:sz w:val="56"/>
    </w:rPr>
  </w:style>
  <w:style w:type="character" w:styleId="41" w:customStyle="1">
    <w:name w:val="Заголовок 4 Знак"/>
    <w:qFormat/>
    <w:rPr>
      <w:rFonts w:ascii="XO Thames" w:hAnsi="XO Thames"/>
      <w:b/>
      <w:sz w:val="24"/>
    </w:rPr>
  </w:style>
  <w:style w:type="character" w:styleId="21" w:customStyle="1">
    <w:name w:val="Заголовок 2 Знак"/>
    <w:qFormat/>
    <w:rPr>
      <w:rFonts w:ascii="XO Thames" w:hAnsi="XO Thames"/>
      <w:b/>
      <w:sz w:val="28"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link w:val="Style17"/>
    <w:pPr>
      <w:spacing w:before="280" w:after="12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Noto Sans"/>
    </w:rPr>
  </w:style>
  <w:style w:type="paragraph" w:styleId="TOC2">
    <w:name w:val="toc 2"/>
    <w:next w:val="Normal"/>
    <w:link w:val="2"/>
    <w:uiPriority w:val="39"/>
    <w:pPr>
      <w:widowControl/>
      <w:bidi w:val="0"/>
      <w:spacing w:lineRule="auto" w:line="276" w:before="0" w:after="200"/>
      <w:ind w:start="2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4">
    <w:name w:val="toc 4"/>
    <w:next w:val="Normal"/>
    <w:link w:val="4"/>
    <w:uiPriority w:val="39"/>
    <w:pPr>
      <w:widowControl/>
      <w:bidi w:val="0"/>
      <w:spacing w:lineRule="auto" w:line="276" w:before="0" w:after="200"/>
      <w:ind w:start="6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ListParagraph">
    <w:name w:val="List Paragraph"/>
    <w:basedOn w:val="Normal"/>
    <w:link w:val="Style9"/>
    <w:qFormat/>
    <w:pPr>
      <w:spacing w:before="280" w:after="280"/>
      <w:ind w:start="720"/>
      <w:contextualSpacing/>
    </w:pPr>
    <w:rPr/>
  </w:style>
  <w:style w:type="paragraph" w:styleId="TOC6">
    <w:name w:val="toc 6"/>
    <w:next w:val="Normal"/>
    <w:link w:val="6"/>
    <w:uiPriority w:val="39"/>
    <w:pPr>
      <w:widowControl/>
      <w:bidi w:val="0"/>
      <w:spacing w:lineRule="auto" w:line="276" w:before="0" w:after="200"/>
      <w:ind w:start="10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7">
    <w:name w:val="toc 7"/>
    <w:next w:val="Normal"/>
    <w:link w:val="7"/>
    <w:uiPriority w:val="39"/>
    <w:pPr>
      <w:widowControl/>
      <w:bidi w:val="0"/>
      <w:spacing w:lineRule="auto" w:line="276" w:before="0" w:after="200"/>
      <w:ind w:start="12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Endnote1" w:customStyle="1">
    <w:name w:val="Endnote1"/>
    <w:link w:val="Endnote"/>
    <w:qFormat/>
    <w:pPr>
      <w:widowControl/>
      <w:bidi w:val="0"/>
      <w:spacing w:lineRule="auto" w:line="276" w:before="0" w:after="20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13" w:customStyle="1">
    <w:name w:val="Основной шрифт абзаца1"/>
    <w:link w:val="9"/>
    <w:qFormat/>
    <w:pPr>
      <w:widowControl/>
      <w:bidi w:val="0"/>
      <w:spacing w:lineRule="auto" w:line="276" w:before="0" w:after="200"/>
      <w:jc w:val="star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911" w:customStyle="1">
    <w:name w:val="Основной текст91"/>
    <w:link w:val="9"/>
    <w:qFormat/>
    <w:pPr>
      <w:widowControl/>
      <w:bidi w:val="0"/>
      <w:spacing w:lineRule="auto" w:line="276" w:before="0" w:after="200"/>
      <w:jc w:val="start"/>
    </w:pPr>
    <w:rPr>
      <w:rFonts w:ascii="Times New Roman" w:hAnsi="Times New Roman" w:eastAsia="Times New Roman" w:cs="Times New Roman"/>
      <w:color w:val="000000"/>
      <w:kern w:val="0"/>
      <w:sz w:val="21"/>
      <w:szCs w:val="20"/>
      <w:highlight w:val="white"/>
      <w:lang w:val="ru-RU" w:eastAsia="ru-RU" w:bidi="ar-SA"/>
    </w:rPr>
  </w:style>
  <w:style w:type="paragraph" w:styleId="Style111" w:customStyle="1">
    <w:name w:val="Style11"/>
    <w:basedOn w:val="Normal"/>
    <w:link w:val="Style11"/>
    <w:qFormat/>
    <w:pPr>
      <w:spacing w:lineRule="exact" w:line="275" w:before="280" w:after="0"/>
      <w:jc w:val="both"/>
    </w:pPr>
    <w:rPr/>
  </w:style>
  <w:style w:type="paragraph" w:styleId="BodyTextIndent">
    <w:name w:val="Body Text Indent"/>
    <w:basedOn w:val="Normal"/>
    <w:link w:val="Style10"/>
    <w:pPr>
      <w:spacing w:before="280" w:after="120"/>
      <w:ind w:start="283"/>
    </w:pPr>
    <w:rPr/>
  </w:style>
  <w:style w:type="paragraph" w:styleId="BalloonText">
    <w:name w:val="Balloon Text"/>
    <w:basedOn w:val="Normal"/>
    <w:link w:val="Style12"/>
    <w:qFormat/>
    <w:pPr>
      <w:spacing w:before="280" w:after="0"/>
    </w:pPr>
    <w:rPr>
      <w:rFonts w:ascii="Segoe UI" w:hAnsi="Segoe UI"/>
      <w:sz w:val="18"/>
    </w:rPr>
  </w:style>
  <w:style w:type="paragraph" w:styleId="14" w:customStyle="1">
    <w:name w:val="нумерация и равнение налево1"/>
    <w:basedOn w:val="Normal"/>
    <w:link w:val="Style13"/>
    <w:qFormat/>
    <w:pPr>
      <w:numPr>
        <w:ilvl w:val="1"/>
        <w:numId w:val="2"/>
      </w:numPr>
      <w:spacing w:lineRule="auto" w:line="276" w:before="280" w:after="0"/>
      <w:ind w:end="-81"/>
      <w:jc w:val="both"/>
    </w:pPr>
    <w:rPr>
      <w:rFonts w:ascii="Calibri" w:hAnsi="Calibri" w:asciiTheme="minorHAnsi" w:hAnsiTheme="minorHAnsi"/>
      <w:sz w:val="22"/>
    </w:rPr>
  </w:style>
  <w:style w:type="paragraph" w:styleId="TOC3">
    <w:name w:val="toc 3"/>
    <w:next w:val="Normal"/>
    <w:link w:val="31"/>
    <w:uiPriority w:val="39"/>
    <w:pPr>
      <w:widowControl/>
      <w:bidi w:val="0"/>
      <w:spacing w:lineRule="auto" w:line="276" w:before="0" w:after="200"/>
      <w:ind w:start="4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NoSpacing">
    <w:name w:val="No Spacing"/>
    <w:link w:val="Style14"/>
    <w:qFormat/>
    <w:pPr>
      <w:widowControl/>
      <w:bidi w:val="0"/>
      <w:spacing w:lineRule="auto" w:line="240" w:before="0" w:after="0"/>
      <w:jc w:val="star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FontStyle121" w:customStyle="1">
    <w:name w:val="Font Style121"/>
    <w:basedOn w:val="13"/>
    <w:link w:val="FontStyle12"/>
    <w:qFormat/>
    <w:pPr/>
    <w:rPr>
      <w:rFonts w:ascii="Times New Roman" w:hAnsi="Times New Roman"/>
    </w:rPr>
  </w:style>
  <w:style w:type="paragraph" w:styleId="NormalWeb">
    <w:name w:val="Normal (Web)"/>
    <w:basedOn w:val="Normal"/>
    <w:link w:val="Style15"/>
    <w:qFormat/>
    <w:pPr/>
    <w:rPr/>
  </w:style>
  <w:style w:type="paragraph" w:styleId="15" w:customStyle="1">
    <w:name w:val="Гиперссылка1"/>
    <w:qFormat/>
    <w:pPr>
      <w:widowControl/>
      <w:bidi w:val="0"/>
      <w:spacing w:lineRule="auto" w:line="276" w:before="0" w:after="200"/>
      <w:jc w:val="start"/>
    </w:pPr>
    <w:rPr>
      <w:rFonts w:ascii="Calibri" w:hAnsi="Calibri" w:eastAsia="Times New Roman" w:cs="Times New Roman"/>
      <w:color w:val="0000FF"/>
      <w:kern w:val="0"/>
      <w:sz w:val="22"/>
      <w:szCs w:val="20"/>
      <w:u w:val="single"/>
      <w:lang w:val="ru-RU" w:eastAsia="ru-RU" w:bidi="ar-SA"/>
    </w:rPr>
  </w:style>
  <w:style w:type="paragraph" w:styleId="Footnote1" w:customStyle="1">
    <w:name w:val="Footnote1"/>
    <w:link w:val="Footnote"/>
    <w:qFormat/>
    <w:pPr>
      <w:widowControl/>
      <w:bidi w:val="0"/>
      <w:spacing w:lineRule="auto" w:line="276" w:before="0" w:after="20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TOC1">
    <w:name w:val="toc 1"/>
    <w:next w:val="Normal"/>
    <w:link w:val="12"/>
    <w:uiPriority w:val="39"/>
    <w:pPr>
      <w:widowControl/>
      <w:bidi w:val="0"/>
      <w:spacing w:lineRule="auto" w:line="276" w:before="0" w:after="200"/>
      <w:jc w:val="star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Style22" w:customStyle="1">
    <w:name w:val="Колонтитулы"/>
    <w:qFormat/>
    <w:pPr>
      <w:widowControl/>
      <w:bidi w:val="0"/>
      <w:spacing w:lineRule="auto" w:line="240" w:before="0" w:after="200"/>
      <w:jc w:val="both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Default1" w:customStyle="1">
    <w:name w:val="Default1"/>
    <w:link w:val="Default"/>
    <w:qFormat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Style711" w:customStyle="1">
    <w:name w:val="Style71"/>
    <w:basedOn w:val="Normal"/>
    <w:link w:val="Style71"/>
    <w:qFormat/>
    <w:pPr>
      <w:spacing w:lineRule="exact" w:line="274" w:before="280" w:after="0"/>
      <w:jc w:val="both"/>
    </w:pPr>
    <w:rPr/>
  </w:style>
  <w:style w:type="paragraph" w:styleId="TOC9">
    <w:name w:val="toc 9"/>
    <w:next w:val="Normal"/>
    <w:link w:val="91"/>
    <w:uiPriority w:val="39"/>
    <w:pPr>
      <w:widowControl/>
      <w:bidi w:val="0"/>
      <w:spacing w:lineRule="auto" w:line="276" w:before="0" w:after="200"/>
      <w:ind w:start="16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formattexttopleveltext1" w:customStyle="1">
    <w:name w:val="formattext topleveltext1"/>
    <w:basedOn w:val="Normal"/>
    <w:link w:val="formattexttopleveltext"/>
    <w:qFormat/>
    <w:pPr/>
    <w:rPr/>
  </w:style>
  <w:style w:type="paragraph" w:styleId="16" w:customStyle="1">
    <w:name w:val="обычн БО1"/>
    <w:basedOn w:val="Normal"/>
    <w:link w:val="Style16"/>
    <w:qFormat/>
    <w:pPr>
      <w:widowControl w:val="false"/>
      <w:spacing w:before="280" w:after="0"/>
      <w:jc w:val="both"/>
    </w:pPr>
    <w:rPr>
      <w:rFonts w:ascii="Arial" w:hAnsi="Arial"/>
    </w:rPr>
  </w:style>
  <w:style w:type="paragraph" w:styleId="CharChar1" w:customStyle="1">
    <w:name w:val="Знак Знак Char Char1"/>
    <w:basedOn w:val="Normal"/>
    <w:link w:val="CharChar"/>
    <w:qFormat/>
    <w:pPr>
      <w:spacing w:lineRule="exact" w:line="240" w:before="280" w:after="160"/>
    </w:pPr>
    <w:rPr>
      <w:rFonts w:ascii="Verdana" w:hAnsi="Verdana"/>
    </w:rPr>
  </w:style>
  <w:style w:type="paragraph" w:styleId="TOC8">
    <w:name w:val="toc 8"/>
    <w:next w:val="Normal"/>
    <w:link w:val="8"/>
    <w:uiPriority w:val="39"/>
    <w:pPr>
      <w:widowControl/>
      <w:bidi w:val="0"/>
      <w:spacing w:lineRule="auto" w:line="276" w:before="0" w:after="200"/>
      <w:ind w:start="14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tyle1011" w:customStyle="1">
    <w:name w:val="Style101"/>
    <w:basedOn w:val="Normal"/>
    <w:link w:val="Style101"/>
    <w:qFormat/>
    <w:pPr>
      <w:spacing w:lineRule="exact" w:line="278" w:before="280" w:after="0"/>
      <w:jc w:val="both"/>
    </w:pPr>
    <w:rPr/>
  </w:style>
  <w:style w:type="paragraph" w:styleId="TOC5">
    <w:name w:val="toc 5"/>
    <w:next w:val="Normal"/>
    <w:link w:val="51"/>
    <w:uiPriority w:val="39"/>
    <w:pPr>
      <w:widowControl/>
      <w:bidi w:val="0"/>
      <w:spacing w:lineRule="auto" w:line="276" w:before="0" w:after="200"/>
      <w:ind w:start="8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ubtitle">
    <w:name w:val="Subtitle"/>
    <w:next w:val="Normal"/>
    <w:link w:val="Style18"/>
    <w:uiPriority w:val="11"/>
    <w:qFormat/>
    <w:pPr>
      <w:widowControl/>
      <w:bidi w:val="0"/>
      <w:spacing w:lineRule="auto" w:line="276" w:before="0" w:after="20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Title">
    <w:name w:val="Title"/>
    <w:basedOn w:val="Normal"/>
    <w:next w:val="Normal"/>
    <w:link w:val="Style19"/>
    <w:uiPriority w:val="10"/>
    <w:qFormat/>
    <w:pPr>
      <w:spacing w:before="280" w:after="0"/>
      <w:contextualSpacing/>
    </w:pPr>
    <w:rPr>
      <w:rFonts w:ascii="Cambria" w:hAnsi="Cambria" w:asciiTheme="majorHAnsi" w:hAnsiTheme="majorHAnsi"/>
      <w:spacing w:val="-10"/>
      <w:sz w:val="56"/>
    </w:rPr>
  </w:style>
  <w:style w:type="numbering" w:styleId="Style23" w:default="1">
    <w:name w:val="Без списка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2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Application>LibreOffice/25.8.7.3$Linux_X86_64 LibreOffice_project/30742500f2d3eb4366ac312fa33d3dcabdb3eba5</Application>
  <AppVersion>15.0000</AppVersion>
  <Pages>4</Pages>
  <Words>1216</Words>
  <Characters>8870</Characters>
  <CharactersWithSpaces>9954</CharactersWithSpaces>
  <Paragraphs>141</Paragraphs>
  <Company>vdi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2026-09-17T06:00:00Z</dcterms:created>
  <dc:creator/>
  <dc:description/>
  <dc:language>ru-RU</dc:language>
  <cp:lastModifiedBy/>
  <dcterms:modified xsi:type="dcterms:W3CDTF">2026-09-21T11:52:47Z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