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3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6023" w:leader="none"/>
        </w:tabs>
        <w:rPr>
          <w:sz w:val="24"/>
          <w:szCs w:val="24"/>
        </w:rPr>
      </w:pPr>
      <w:r>
        <w:rPr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tabs>
          <w:tab w:val="clear" w:pos="708"/>
          <w:tab w:val="left" w:pos="7669" w:leader="none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№1 </w:t>
      </w:r>
    </w:p>
    <w:p>
      <w:pPr>
        <w:pStyle w:val="Normal"/>
        <w:jc w:val="center"/>
        <w:rPr>
          <w:sz w:val="22"/>
          <w:szCs w:val="22"/>
        </w:rPr>
      </w:pPr>
      <w:r>
        <w:rPr>
          <w:rFonts w:eastAsia="Calibri"/>
          <w:color w:val="2C2D2E"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к техническим требованиям </w:t>
      </w:r>
    </w:p>
    <w:p>
      <w:pPr>
        <w:pStyle w:val="Normal"/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>на оказание услуг</w:t>
      </w:r>
    </w:p>
    <w:p>
      <w:pPr>
        <w:pStyle w:val="Normal"/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по медицинскому обслуживанию                </w:t>
      </w:r>
    </w:p>
    <w:p>
      <w:pPr>
        <w:pStyle w:val="Normal"/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персонала Чиркейской ГЭС                      </w:t>
      </w:r>
    </w:p>
    <w:p>
      <w:pPr>
        <w:pStyle w:val="Normal"/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Ирганайской ГЭС </w:t>
      </w:r>
      <w:r>
        <w:rPr>
          <w:rFonts w:eastAsia="Calibri"/>
          <w:color w:val="2C2D2E"/>
          <w:sz w:val="22"/>
          <w:szCs w:val="22"/>
        </w:rPr>
        <w:t xml:space="preserve">                                                                                                                                                               </w:t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</w:t>
      </w:r>
    </w:p>
    <w:p>
      <w:pPr>
        <w:pStyle w:val="Normal"/>
        <w:jc w:val="right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</w:r>
    </w:p>
    <w:p>
      <w:pPr>
        <w:pStyle w:val="42"/>
        <w:keepNext w:val="true"/>
        <w:keepLines/>
        <w:shd w:val="clear" w:color="auto" w:fill="auto"/>
        <w:spacing w:lineRule="auto" w:line="240" w:before="0" w:after="0"/>
        <w:ind w:left="80" w:firstLine="640"/>
        <w:rPr>
          <w:rFonts w:ascii="Times New Roman" w:hAnsi="Times New Roman" w:eastAsia="Times New Roman" w:cs="Times New Roman"/>
          <w:b/>
          <w:sz w:val="24"/>
          <w:szCs w:val="24"/>
        </w:rPr>
      </w:pPr>
      <w:bookmarkStart w:id="2" w:name="_Toc182917777"/>
      <w:bookmarkStart w:id="3" w:name="bookmark18"/>
      <w:r>
        <w:rPr>
          <w:rFonts w:eastAsia="Times New Roman" w:cs="Times New Roman" w:ascii="Times New Roman" w:hAnsi="Times New Roman"/>
          <w:b/>
          <w:sz w:val="24"/>
          <w:szCs w:val="24"/>
        </w:rPr>
        <w:t>Перечень нормативных документов, регламентирующих деятельность здравпунктов</w:t>
      </w:r>
      <w:bookmarkEnd w:id="2"/>
      <w:bookmarkEnd w:id="3"/>
    </w:p>
    <w:p>
      <w:pPr>
        <w:pStyle w:val="42"/>
        <w:keepNext w:val="true"/>
        <w:keepLines/>
        <w:numPr>
          <w:ilvl w:val="0"/>
          <w:numId w:val="7"/>
        </w:numPr>
        <w:shd w:val="clear" w:color="auto" w:fill="auto"/>
        <w:spacing w:lineRule="auto" w:line="240" w:before="0" w:after="0"/>
        <w:ind w:left="0" w:firstLine="851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cs="Times New Roman" w:ascii="Times New Roman" w:hAnsi="Times New Roman"/>
          <w:sz w:val="22"/>
          <w:szCs w:val="22"/>
          <w:lang w:eastAsia="en-US"/>
        </w:rPr>
        <w:t>Трудовой кодекс Российской Федерации;</w:t>
      </w:r>
    </w:p>
    <w:p>
      <w:pPr>
        <w:pStyle w:val="42"/>
        <w:keepNext w:val="true"/>
        <w:keepLines/>
        <w:numPr>
          <w:ilvl w:val="0"/>
          <w:numId w:val="7"/>
        </w:numPr>
        <w:shd w:val="clear" w:color="auto" w:fill="auto"/>
        <w:spacing w:lineRule="auto" w:line="240" w:before="0" w:after="0"/>
        <w:ind w:left="0" w:firstLine="851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cs="Times New Roman" w:ascii="Times New Roman" w:hAnsi="Times New Roman"/>
          <w:sz w:val="22"/>
          <w:szCs w:val="22"/>
          <w:lang w:eastAsia="en-US"/>
        </w:rPr>
        <w:t>Федеральный закон «Об основах охраны здоровья граждан в РФ» от 21.11.2011 г. № 323-Ф3;</w:t>
      </w:r>
    </w:p>
    <w:p>
      <w:pPr>
        <w:pStyle w:val="42"/>
        <w:keepNext w:val="true"/>
        <w:keepLines/>
        <w:numPr>
          <w:ilvl w:val="0"/>
          <w:numId w:val="7"/>
        </w:numPr>
        <w:shd w:val="clear" w:color="auto" w:fill="auto"/>
        <w:spacing w:lineRule="auto" w:line="240" w:before="0" w:after="0"/>
        <w:ind w:left="0" w:firstLine="851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cs="Times New Roman" w:ascii="Times New Roman" w:hAnsi="Times New Roman"/>
          <w:sz w:val="22"/>
          <w:szCs w:val="22"/>
          <w:lang w:eastAsia="en-US"/>
        </w:rPr>
        <w:t xml:space="preserve">Федеральный закон </w:t>
      </w:r>
      <w:r>
        <w:rPr>
          <w:rFonts w:ascii="Times New Roman" w:hAnsi="Times New Roman"/>
          <w:sz w:val="22"/>
          <w:szCs w:val="22"/>
        </w:rPr>
        <w:t>«О персональных данных» от 27.07.2006 №152-ФЗ;</w:t>
      </w:r>
    </w:p>
    <w:p>
      <w:pPr>
        <w:pStyle w:val="42"/>
        <w:keepNext w:val="true"/>
        <w:keepLines/>
        <w:numPr>
          <w:ilvl w:val="0"/>
          <w:numId w:val="7"/>
        </w:numPr>
        <w:shd w:val="clear" w:color="auto" w:fill="auto"/>
        <w:spacing w:lineRule="auto" w:line="240" w:before="0" w:after="0"/>
        <w:ind w:left="0" w:firstLine="851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cs="Times New Roman" w:ascii="Times New Roman" w:hAnsi="Times New Roman"/>
          <w:sz w:val="22"/>
          <w:szCs w:val="22"/>
          <w:lang w:eastAsia="en-US"/>
        </w:rPr>
        <w:t>Федеральный Закон «О санитарно-эпидемиологическом благополучия населения» от 30.03.1999г. № 52-ФЗ;</w:t>
      </w:r>
    </w:p>
    <w:p>
      <w:pPr>
        <w:pStyle w:val="42"/>
        <w:keepNext w:val="true"/>
        <w:keepLines/>
        <w:numPr>
          <w:ilvl w:val="0"/>
          <w:numId w:val="7"/>
        </w:numPr>
        <w:shd w:val="clear" w:color="auto" w:fill="auto"/>
        <w:spacing w:lineRule="auto" w:line="240" w:before="0" w:after="0"/>
        <w:ind w:left="0" w:firstLine="851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cs="Times New Roman" w:ascii="Times New Roman" w:hAnsi="Times New Roman"/>
          <w:sz w:val="22"/>
          <w:szCs w:val="22"/>
          <w:lang w:eastAsia="en-US"/>
        </w:rPr>
        <w:t>Федеральный Закон «О защите прав потребителей» от 07.02.1992 г. № 2300-1;</w:t>
      </w:r>
    </w:p>
    <w:p>
      <w:pPr>
        <w:pStyle w:val="42"/>
        <w:keepNext w:val="true"/>
        <w:keepLines/>
        <w:numPr>
          <w:ilvl w:val="0"/>
          <w:numId w:val="7"/>
        </w:numPr>
        <w:shd w:val="clear" w:color="auto" w:fill="auto"/>
        <w:spacing w:lineRule="auto" w:line="240" w:before="0" w:after="0"/>
        <w:ind w:left="0" w:firstLine="851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cs="Times New Roman" w:ascii="Times New Roman" w:hAnsi="Times New Roman"/>
          <w:sz w:val="22"/>
          <w:szCs w:val="22"/>
          <w:lang w:eastAsia="en-US"/>
        </w:rPr>
        <w:t>Федеральный закон № 99-ФЗ от 04.05.2011 г. «О лицензировании отдельных видов деятельности»;</w:t>
      </w:r>
    </w:p>
    <w:p>
      <w:pPr>
        <w:pStyle w:val="42"/>
        <w:keepNext w:val="true"/>
        <w:keepLines/>
        <w:numPr>
          <w:ilvl w:val="0"/>
          <w:numId w:val="7"/>
        </w:numPr>
        <w:shd w:val="clear" w:color="auto" w:fill="auto"/>
        <w:spacing w:lineRule="auto" w:line="240" w:before="0" w:after="0"/>
        <w:ind w:left="0" w:firstLine="851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cs="Times New Roman" w:ascii="Times New Roman" w:hAnsi="Times New Roman"/>
          <w:sz w:val="22"/>
          <w:szCs w:val="22"/>
        </w:rPr>
        <w:t>Федерального закона от 17 сентября 1998 г. N 157-ФЗ. «Об иммунопрофилактике инфекционных болезней»;</w:t>
      </w:r>
    </w:p>
    <w:p>
      <w:pPr>
        <w:pStyle w:val="42"/>
        <w:keepNext w:val="true"/>
        <w:keepLines/>
        <w:numPr>
          <w:ilvl w:val="0"/>
          <w:numId w:val="7"/>
        </w:numPr>
        <w:shd w:val="clear" w:color="auto" w:fill="auto"/>
        <w:spacing w:lineRule="auto" w:line="240" w:before="0" w:after="0"/>
        <w:ind w:left="0" w:firstLine="851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cs="Times New Roman" w:ascii="Times New Roman" w:hAnsi="Times New Roman"/>
          <w:sz w:val="22"/>
          <w:szCs w:val="22"/>
          <w:lang w:eastAsia="en-US"/>
        </w:rPr>
        <w:t>Приказ Минздравсоцразвития от 13 ноября 2012 г. N 911н «Об утверждении порядка оказания медицинской помощи при острых и хронических профессиональных заболеваниях»;</w:t>
      </w:r>
    </w:p>
    <w:p>
      <w:pPr>
        <w:pStyle w:val="ListParagraph"/>
        <w:numPr>
          <w:ilvl w:val="0"/>
          <w:numId w:val="7"/>
        </w:numPr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t>Приказ Минздрава РФ от 13.11.2012 г. №911н «Об утверждении порядка оказания медицинской помощи при острых и хронических профессиональных заболеваниях»;</w:t>
      </w:r>
    </w:p>
    <w:p>
      <w:pPr>
        <w:pStyle w:val="ListParagraph"/>
        <w:numPr>
          <w:ilvl w:val="0"/>
          <w:numId w:val="7"/>
        </w:numPr>
        <w:ind w:left="0" w:firstLine="851"/>
        <w:jc w:val="both"/>
        <w:rPr>
          <w:sz w:val="22"/>
          <w:szCs w:val="22"/>
        </w:rPr>
      </w:pPr>
      <w:r>
        <w:rPr>
          <w:rFonts w:eastAsia="Tahoma"/>
          <w:sz w:val="22"/>
          <w:szCs w:val="22"/>
          <w:lang w:eastAsia="en-US"/>
        </w:rPr>
        <w:t>Приказ Минздравсоцразвития от 19 августа 2021 г. N 866н «Об утверждении классификатора работ (услуг), составляющих медицинскую деятельность»;</w:t>
      </w:r>
    </w:p>
    <w:p>
      <w:pPr>
        <w:pStyle w:val="ListParagraph"/>
        <w:numPr>
          <w:ilvl w:val="0"/>
          <w:numId w:val="7"/>
        </w:numPr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t>Приказ Минздравсоцразвития РФ от 23.08.2010 г. №706н «Об утверждении правил хранения лекарственных средств»;</w:t>
      </w:r>
    </w:p>
    <w:p>
      <w:pPr>
        <w:pStyle w:val="ListParagraph"/>
        <w:numPr>
          <w:ilvl w:val="0"/>
          <w:numId w:val="7"/>
        </w:numPr>
        <w:suppressAutoHyphens w:val="false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Приказ Минздравсоцразвития России от 23.07.2010 N 541н (ред. от 09.04.2018)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здравоохранения";</w:t>
      </w:r>
    </w:p>
    <w:p>
      <w:pPr>
        <w:pStyle w:val="ListParagraph"/>
        <w:numPr>
          <w:ilvl w:val="0"/>
          <w:numId w:val="7"/>
        </w:numPr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t>Приказ Минздрава РФ от 3 мая 2024 г. № 220н «Об утверждении порядка оказания первой помощи»;</w:t>
      </w:r>
    </w:p>
    <w:p>
      <w:pPr>
        <w:pStyle w:val="ListParagraph"/>
        <w:numPr>
          <w:ilvl w:val="0"/>
          <w:numId w:val="7"/>
        </w:numPr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t>Приказ Минздрава РФ от 30.12.2002 № 413 «Об утверждении учетной и отчетной медицинской документации»;</w:t>
      </w:r>
    </w:p>
    <w:p>
      <w:pPr>
        <w:pStyle w:val="ListParagraph"/>
        <w:numPr>
          <w:ilvl w:val="0"/>
          <w:numId w:val="7"/>
        </w:numPr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t>Приказ Министерства энергетики РФ от 31.08.2011 №390 «Об утверждении порядка проведения медицинских осмотров (обследований) работников, непосредственно занятых на работах, связанных с обслуживанием объектов электроэнергетики»;</w:t>
      </w:r>
    </w:p>
    <w:p>
      <w:pPr>
        <w:pStyle w:val="ListParagraph"/>
        <w:numPr>
          <w:ilvl w:val="0"/>
          <w:numId w:val="7"/>
        </w:numPr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t>Приказ Минздрава РФ от 30.05.2023 №266н «Об утверждении порядка и периодичности проведения предсменных, предрейсовых, послесменных, послерейсовых медицинских осмотров в течение рабочего дня (смены) и перечня включаемых в них исследований»:</w:t>
      </w:r>
    </w:p>
    <w:p>
      <w:pPr>
        <w:pStyle w:val="ListParagraph"/>
        <w:numPr>
          <w:ilvl w:val="0"/>
          <w:numId w:val="7"/>
        </w:numPr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  <w:lang w:eastAsia="en-US"/>
        </w:rPr>
        <w:t>Приказ Минздрава России от 28.01.2021 № 29н «Об утверждении Порядка проведения обязательных предварительных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осмотры»;</w:t>
      </w:r>
    </w:p>
    <w:p>
      <w:pPr>
        <w:pStyle w:val="ListParagraph"/>
        <w:numPr>
          <w:ilvl w:val="0"/>
          <w:numId w:val="7"/>
        </w:numPr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  <w:lang w:eastAsia="en-US"/>
        </w:rPr>
        <w:t>Постановление Правительства Российской Федерации от 1 июня 2021 г. N 852 «О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 и признании утратившими силу некоторых актов Правительства Российской Федерации».</w:t>
      </w:r>
    </w:p>
    <w:p>
      <w:pPr>
        <w:pStyle w:val="42"/>
        <w:keepNext w:val="true"/>
        <w:keepLines/>
        <w:shd w:val="clear" w:color="auto" w:fill="auto"/>
        <w:spacing w:lineRule="auto" w:line="240" w:before="0" w:after="0"/>
        <w:ind w:firstLine="851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42"/>
        <w:keepNext w:val="true"/>
        <w:keepLines/>
        <w:shd w:val="clear" w:color="auto" w:fill="auto"/>
        <w:spacing w:lineRule="auto" w:line="240" w:before="0" w:after="0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4" w:name="_Toc182917778"/>
      <w:r>
        <w:rPr>
          <w:rFonts w:cs="Times New Roman" w:ascii="Times New Roman" w:hAnsi="Times New Roman"/>
          <w:b/>
          <w:sz w:val="22"/>
          <w:szCs w:val="22"/>
        </w:rPr>
        <w:t>Перечень НТД не является окончательным, при необходимости перечень расширяется согласно действующему законодательству.</w:t>
      </w:r>
      <w:bookmarkEnd w:id="4"/>
    </w:p>
    <w:p>
      <w:pPr>
        <w:pStyle w:val="42"/>
        <w:keepNext w:val="true"/>
        <w:keepLines/>
        <w:shd w:val="clear" w:color="auto" w:fill="auto"/>
        <w:spacing w:lineRule="auto" w:line="240" w:before="0" w:after="0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Normal"/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Лицензирования медицинской деятельности</w:t>
      </w:r>
    </w:p>
    <w:p>
      <w:pPr>
        <w:pStyle w:val="Normal"/>
        <w:ind w:firstLine="567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Лицензирование осуществляется в соответствии со стандартной процедурой получения лицензии, установленной Постановлением Правительства РФ от 01.06.2021 № 852 «О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 и признании утратившими силу некоторых актов Правительства Российской Федерации" (вместе с «Положением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«Сколково»)»)</w:t>
      </w:r>
    </w:p>
    <w:p>
      <w:pPr>
        <w:pStyle w:val="Normal"/>
        <w:widowControl w:val="false"/>
        <w:ind w:firstLine="567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Нормативные требования: </w:t>
      </w:r>
    </w:p>
    <w:p>
      <w:pPr>
        <w:pStyle w:val="Normal"/>
        <w:widowControl w:val="false"/>
        <w:ind w:firstLine="567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Положение о лицензировании медицинской деятельности (утв. Постановлением правительства №852 от 01.06.2021 г.)</w:t>
      </w:r>
    </w:p>
    <w:p>
      <w:pPr>
        <w:pStyle w:val="Normal"/>
        <w:widowControl w:val="false"/>
        <w:ind w:firstLine="567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Пункт 11: при намерении лицензиата осуществлять медицинскую деятельность по адресу, не указанному в реестре лицензий, и (или) выполнять работы (услуги), составляющие медицинскую деятельность, не предусмотренные реестром лицензий, в заявлении о внесении изменений в реестр лицензий указываются этот адрес и (или) работы (услуги), которые лицензиат намерен выполнять, а также соответствующие сведения (документы), предусмотренные пунктом 8 настоящего Положения.</w:t>
      </w:r>
    </w:p>
    <w:p>
      <w:pPr>
        <w:pStyle w:val="Normal"/>
        <w:widowControl w:val="false"/>
        <w:ind w:firstLine="567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Выполнение работ (услуг), предусмотренных приложением к настоящему Положению, может осуществляться лицензиатом, в структуре которого организована мобильная медицинская бригада для оказания первичной медико-санитарной помощи населению, проведения профилактического медицинского осмотра, диспансеризации по месту нахождения мобильной медицинской бригады, не указанному в реестре лицензий в качестве адреса (адресов) места осуществления медицинской деятельности, и не требует внесения изменений в реестр лицензий.</w:t>
      </w:r>
    </w:p>
    <w:p>
      <w:pPr>
        <w:pStyle w:val="Normal"/>
        <w:widowControl w:val="false"/>
        <w:ind w:firstLine="567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В соответствии со стандартом оснащения мобильной бригады (п.6 Приложения №8 Приказа Минздрава №543 от 15.05.2012 г.) она должны быть оснащена передвижными медицинскими комплексами.</w:t>
      </w:r>
    </w:p>
    <w:p>
      <w:pPr>
        <w:pStyle w:val="Normal"/>
        <w:widowControl w:val="false"/>
        <w:ind w:firstLine="567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Подтверждающие документы, на основании ч.4 ст.38 ФЗ №323-ФЗ «Об основах охраны здоровья граждан в Российской Федерации» от 21.11.2011 г.: </w:t>
      </w:r>
    </w:p>
    <w:p>
      <w:pPr>
        <w:pStyle w:val="Normal"/>
        <w:ind w:firstLine="567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копия регистрационного удостоверения на передвижной медицинский комплекс, выданного Росздравнадзором, а также копия паспорта/сертификата транспортного средства, с указанием, что данное транспортное средство является передвижным медицинским комплексом.</w:t>
      </w:r>
    </w:p>
    <w:p>
      <w:pPr>
        <w:pStyle w:val="42"/>
        <w:keepNext w:val="true"/>
        <w:keepLines/>
        <w:shd w:val="clear" w:color="auto" w:fill="auto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42"/>
        <w:keepNext w:val="true"/>
        <w:keepLines/>
        <w:shd w:val="clear" w:color="auto" w:fill="auto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b/>
          <w:sz w:val="22"/>
          <w:szCs w:val="22"/>
        </w:rPr>
      </w:pPr>
      <w:r>
        <w:rPr>
          <w:rFonts w:eastAsia="Times New Roman" w:cs="Times New Roman" w:ascii="Times New Roman" w:hAnsi="Times New Roman"/>
          <w:b/>
          <w:sz w:val="22"/>
          <w:szCs w:val="22"/>
        </w:rPr>
      </w:r>
    </w:p>
    <w:p>
      <w:pPr>
        <w:pStyle w:val="42"/>
        <w:keepNext w:val="true"/>
        <w:keepLines/>
        <w:shd w:val="clear" w:color="auto" w:fill="auto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b/>
          <w:sz w:val="22"/>
          <w:szCs w:val="22"/>
        </w:rPr>
      </w:pPr>
      <w:bookmarkStart w:id="5" w:name="_Toc182917779"/>
      <w:bookmarkStart w:id="6" w:name="bookmark19"/>
      <w:r>
        <w:rPr>
          <w:rFonts w:eastAsia="Times New Roman" w:cs="Times New Roman" w:ascii="Times New Roman" w:hAnsi="Times New Roman"/>
          <w:b/>
          <w:sz w:val="22"/>
          <w:szCs w:val="22"/>
        </w:rPr>
        <w:t xml:space="preserve">Перечень НТД, определяющих требования к помещениям и оснащению </w:t>
      </w:r>
      <w:bookmarkEnd w:id="5"/>
      <w:bookmarkEnd w:id="6"/>
      <w:r>
        <w:rPr>
          <w:rFonts w:eastAsia="Times New Roman" w:cs="Times New Roman" w:ascii="Times New Roman" w:hAnsi="Times New Roman"/>
          <w:b/>
          <w:sz w:val="24"/>
          <w:szCs w:val="24"/>
        </w:rPr>
        <w:t>здравпунктов</w:t>
      </w:r>
    </w:p>
    <w:p>
      <w:pPr>
        <w:pStyle w:val="ListParagraph"/>
        <w:numPr>
          <w:ilvl w:val="0"/>
          <w:numId w:val="6"/>
        </w:numPr>
        <w:ind w:left="0" w:firstLine="851"/>
        <w:jc w:val="both"/>
        <w:rPr>
          <w:rFonts w:eastAsia="Tahoma"/>
          <w:sz w:val="22"/>
          <w:szCs w:val="22"/>
          <w:lang w:eastAsia="en-US"/>
        </w:rPr>
      </w:pPr>
      <w:r>
        <w:rPr>
          <w:rFonts w:eastAsia="Tahoma"/>
          <w:sz w:val="22"/>
          <w:szCs w:val="22"/>
          <w:lang w:eastAsia="en-US"/>
        </w:rPr>
        <w:t xml:space="preserve">Приказ </w:t>
      </w:r>
      <w:r>
        <w:rPr>
          <w:rFonts w:eastAsia="Tahoma"/>
          <w:sz w:val="22"/>
          <w:szCs w:val="22"/>
        </w:rPr>
        <w:t>Минздрава РФ</w:t>
      </w:r>
      <w:r>
        <w:rPr>
          <w:rFonts w:eastAsia="Tahoma"/>
          <w:sz w:val="22"/>
          <w:szCs w:val="22"/>
          <w:lang w:eastAsia="en-US"/>
        </w:rPr>
        <w:t xml:space="preserve"> от 13.11 2012 г. № 911-Н «Правила организации деятельности Здравпункта»;</w:t>
      </w:r>
    </w:p>
    <w:p>
      <w:pPr>
        <w:pStyle w:val="ListParagraph"/>
        <w:numPr>
          <w:ilvl w:val="0"/>
          <w:numId w:val="6"/>
        </w:numPr>
        <w:ind w:left="0" w:firstLine="851"/>
        <w:jc w:val="both"/>
        <w:rPr>
          <w:rFonts w:eastAsia="Tahoma"/>
          <w:sz w:val="22"/>
          <w:szCs w:val="22"/>
          <w:lang w:eastAsia="en-US"/>
        </w:rPr>
      </w:pPr>
      <w:r>
        <w:rPr>
          <w:rFonts w:eastAsia="Tahoma"/>
          <w:sz w:val="22"/>
          <w:szCs w:val="22"/>
        </w:rPr>
        <w:t>Приказ Минздрава РФ от 30 октября 2020 г. № 1183н «Об утверждении требований к комплектации лекарственными препаратами и медицинскими изделиями укладки для оказания первичной медико-санитарной Помощи взрослым в неотложной форме»;</w:t>
      </w:r>
    </w:p>
    <w:p>
      <w:pPr>
        <w:pStyle w:val="ListParagraph"/>
        <w:numPr>
          <w:ilvl w:val="0"/>
          <w:numId w:val="6"/>
        </w:numPr>
        <w:ind w:left="0" w:firstLine="851"/>
        <w:jc w:val="both"/>
        <w:rPr>
          <w:rFonts w:eastAsia="Times New Roman"/>
          <w:sz w:val="22"/>
          <w:szCs w:val="22"/>
        </w:rPr>
      </w:pPr>
      <w:r>
        <w:rPr>
          <w:sz w:val="22"/>
          <w:szCs w:val="22"/>
        </w:rPr>
        <w:t>Приказ Минздрава РФ от 28 октября 2020 г. N 1165н «Требования к комплектации лекарственными препаратами и медицинскими изделиями укладок и наборов для оказания скорой медицинской помощи</w:t>
      </w:r>
      <w:r>
        <w:rPr>
          <w:rFonts w:eastAsia="Times New Roman"/>
          <w:sz w:val="22"/>
          <w:szCs w:val="22"/>
        </w:rPr>
        <w:t>»;</w:t>
      </w:r>
    </w:p>
    <w:p>
      <w:pPr>
        <w:pStyle w:val="ListParagraph"/>
        <w:numPr>
          <w:ilvl w:val="0"/>
          <w:numId w:val="6"/>
        </w:numPr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  <w:lang w:eastAsia="en-US"/>
        </w:rPr>
        <w:t>Приказ Минздрава России от 24 мая 2024 №262н «Об утверждении требований к комплектации аптечки для оказания работниками первой помощи пострадавшим с применением медицинских изделий»;</w:t>
      </w:r>
    </w:p>
    <w:p>
      <w:pPr>
        <w:pStyle w:val="ListParagraph"/>
        <w:numPr>
          <w:ilvl w:val="0"/>
          <w:numId w:val="6"/>
        </w:numPr>
        <w:ind w:left="0" w:firstLine="851"/>
        <w:jc w:val="both"/>
        <w:rPr>
          <w:sz w:val="22"/>
          <w:szCs w:val="22"/>
        </w:rPr>
      </w:pPr>
      <w:r>
        <w:rPr>
          <w:rFonts w:eastAsia="Tahoma"/>
          <w:sz w:val="22"/>
          <w:szCs w:val="22"/>
          <w:lang w:eastAsia="en-US"/>
        </w:rPr>
        <w:t>Постановление Главного государственного санитарного врача Российской Федерации от 28.01.2021 № 3 об утверждении санитарных правил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мероприятий»;</w:t>
      </w:r>
    </w:p>
    <w:p>
      <w:pPr>
        <w:pStyle w:val="ListParagraph"/>
        <w:numPr>
          <w:ilvl w:val="0"/>
          <w:numId w:val="6"/>
        </w:numPr>
        <w:ind w:left="0" w:firstLine="851"/>
        <w:jc w:val="both"/>
        <w:rPr>
          <w:sz w:val="22"/>
          <w:szCs w:val="22"/>
        </w:rPr>
      </w:pPr>
      <w:r>
        <w:rPr>
          <w:rFonts w:eastAsia="Tahoma"/>
          <w:sz w:val="22"/>
          <w:szCs w:val="22"/>
          <w:lang w:eastAsia="en-US"/>
        </w:rPr>
        <w:t>Постановление Главного государственного санитарного врача Российской Федерации от 28.01.2021 № 4 СанПиН 3.3686-21 «Санитарно-эпидемиологические требования по профилактике инфекционных болезней»;</w:t>
      </w:r>
    </w:p>
    <w:p>
      <w:pPr>
        <w:pStyle w:val="ListParagraph"/>
        <w:numPr>
          <w:ilvl w:val="0"/>
          <w:numId w:val="6"/>
        </w:numPr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t>СП 2.1.3678-20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услуг»;</w:t>
      </w:r>
    </w:p>
    <w:p>
      <w:pPr>
        <w:pStyle w:val="ListParagraph"/>
        <w:numPr>
          <w:ilvl w:val="0"/>
          <w:numId w:val="6"/>
        </w:numPr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t>СанПиН 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 противоэпидемических (профилактических) мероприятий»;</w:t>
      </w:r>
    </w:p>
    <w:p>
      <w:pPr>
        <w:pStyle w:val="ListParagraph"/>
        <w:numPr>
          <w:ilvl w:val="0"/>
          <w:numId w:val="6"/>
        </w:numPr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t>СП 2.1.3678-20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услуг»;</w:t>
      </w:r>
    </w:p>
    <w:p>
      <w:pPr>
        <w:pStyle w:val="ListParagraph"/>
        <w:numPr>
          <w:ilvl w:val="0"/>
          <w:numId w:val="6"/>
        </w:numPr>
        <w:ind w:left="0" w:firstLine="567"/>
        <w:jc w:val="both"/>
        <w:rPr>
          <w:rFonts w:eastAsia="Tahoma"/>
          <w:sz w:val="22"/>
          <w:szCs w:val="22"/>
          <w:lang w:eastAsia="en-US"/>
        </w:rPr>
      </w:pPr>
      <w:r>
        <w:rPr>
          <w:rFonts w:eastAsia="Tahoma"/>
          <w:sz w:val="22"/>
          <w:szCs w:val="22"/>
          <w:lang w:eastAsia="en-US"/>
        </w:rPr>
        <w:t>СП 44.13330.2011 г. «Административные и бытовые здания», утв. Приказом Министерства регионального развития РФ от 27.12.2010 № 782 «Административные и бытовые здания»;</w:t>
      </w:r>
    </w:p>
    <w:p>
      <w:pPr>
        <w:pStyle w:val="ListParagraph"/>
        <w:numPr>
          <w:ilvl w:val="0"/>
          <w:numId w:val="6"/>
        </w:numPr>
        <w:ind w:left="0" w:firstLine="567"/>
        <w:jc w:val="both"/>
        <w:rPr>
          <w:rFonts w:eastAsia="Tahoma"/>
          <w:sz w:val="22"/>
          <w:szCs w:val="22"/>
          <w:lang w:eastAsia="en-US"/>
        </w:rPr>
      </w:pPr>
      <w:r>
        <w:rPr>
          <w:rFonts w:eastAsia="Tahoma"/>
          <w:sz w:val="22"/>
          <w:szCs w:val="22"/>
          <w:lang w:eastAsia="en-US"/>
        </w:rPr>
        <w:t>СП 44.13330.2011 г. (таблица 5) «Состав и площадь Здравпунктов»;</w:t>
      </w:r>
    </w:p>
    <w:p>
      <w:pPr>
        <w:pStyle w:val="ListParagraph"/>
        <w:numPr>
          <w:ilvl w:val="0"/>
          <w:numId w:val="6"/>
        </w:numPr>
        <w:ind w:left="0" w:firstLine="567"/>
        <w:jc w:val="both"/>
        <w:rPr>
          <w:rFonts w:eastAsia="Tahoma"/>
          <w:sz w:val="22"/>
          <w:szCs w:val="22"/>
          <w:lang w:eastAsia="en-US"/>
        </w:rPr>
      </w:pPr>
      <w:r>
        <w:rPr>
          <w:rFonts w:eastAsia="Tahoma"/>
          <w:sz w:val="22"/>
          <w:szCs w:val="22"/>
          <w:lang w:eastAsia="en-US"/>
        </w:rPr>
        <w:t>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мероприятий».</w:t>
      </w:r>
    </w:p>
    <w:p>
      <w:pPr>
        <w:pStyle w:val="ListParagraph"/>
        <w:ind w:left="567" w:hanging="0"/>
        <w:jc w:val="both"/>
        <w:rPr>
          <w:rFonts w:eastAsia="Tahoma"/>
          <w:sz w:val="22"/>
          <w:szCs w:val="22"/>
          <w:lang w:eastAsia="en-US"/>
        </w:rPr>
      </w:pPr>
      <w:r>
        <w:rPr>
          <w:rFonts w:eastAsia="Tahoma"/>
          <w:sz w:val="22"/>
          <w:szCs w:val="22"/>
          <w:lang w:eastAsia="en-US"/>
        </w:rPr>
      </w:r>
    </w:p>
    <w:p>
      <w:pPr>
        <w:pStyle w:val="Normal"/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Перечень НТД не является окончательным, при необходимости перечень расширяется согласно действующему законодательству.</w:t>
      </w:r>
    </w:p>
    <w:p>
      <w:pPr>
        <w:pStyle w:val="Normal"/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right"/>
        <w:rPr>
          <w:i/>
          <w:i/>
          <w:iCs/>
          <w:sz w:val="22"/>
          <w:szCs w:val="22"/>
          <w:shd w:fill="FFFF99" w:val="clear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851" w:gutter="0" w:header="709" w:top="766" w:footer="709" w:bottom="76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shd w:val="clear" w:color="auto" w:fill="auto"/>
      <w:ind w:left="11294" w:hanging="0"/>
      <w:rPr/>
    </w:pPr>
    <w:r>
      <w:rPr>
        <w:rStyle w:val="Tahoma105pt"/>
      </w:rPr>
      <w:fldChar w:fldCharType="begin"/>
    </w:r>
    <w:r>
      <w:rPr>
        <w:rStyle w:val="Tahoma105pt"/>
      </w:rPr>
      <w:instrText xml:space="preserve"> PAGE </w:instrText>
    </w:r>
    <w:r>
      <w:rPr>
        <w:rStyle w:val="Tahoma105pt"/>
      </w:rPr>
      <w:fldChar w:fldCharType="separate"/>
    </w:r>
    <w:r>
      <w:rPr>
        <w:rStyle w:val="Tahoma105pt"/>
      </w:rPr>
      <w:t>0</w:t>
    </w:r>
    <w:r>
      <w:rPr>
        <w:rStyle w:val="Tahoma105pt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shd w:val="clear" w:color="auto" w:fill="auto"/>
      <w:ind w:left="11309" w:hanging="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shd w:val="clear" w:color="auto" w:fill="auto"/>
      <w:ind w:left="11309" w:hanging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shd w:val="clear" w:color="auto" w:fill="auto"/>
      <w:tabs>
        <w:tab w:val="clear" w:pos="708"/>
        <w:tab w:val="left" w:pos="9053" w:leader="none"/>
      </w:tabs>
      <w:ind w:left="9053" w:hanging="0"/>
      <w:rPr/>
    </w:pPr>
    <w:r>
      <w:rPr>
        <w:rStyle w:val="Tahoma105pt"/>
      </w:rPr>
      <w:t>.</w:t>
      <w:tab/>
      <w:t>ПАО «Т Плюс»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sz w:val="22"/>
        <w:szCs w:val="22"/>
        <w:rFonts w:ascii="Times New Roman" w:hAnsi="Times New Roman" w:eastAsia="Tahoma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left="432" w:hanging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FontStyle20" w:customStyle="1">
    <w:name w:val="Font Style20"/>
    <w:basedOn w:val="DefaultParagraphFont"/>
    <w:uiPriority w:val="99"/>
    <w:qFormat/>
    <w:rsid w:val="007d64a2"/>
    <w:rPr>
      <w:rFonts w:ascii="Arial" w:hAnsi="Arial" w:cs="Arial"/>
      <w:sz w:val="18"/>
      <w:szCs w:val="18"/>
    </w:rPr>
  </w:style>
  <w:style w:type="character" w:styleId="Style14" w:customStyle="1">
    <w:name w:val="Основной текст_"/>
    <w:basedOn w:val="DefaultParagraphFont"/>
    <w:link w:val="29"/>
    <w:qFormat/>
    <w:rsid w:val="00dd7889"/>
    <w:rPr>
      <w:rFonts w:ascii="Tahoma" w:hAnsi="Tahoma" w:eastAsia="Tahoma" w:cs="Tahoma"/>
      <w:shd w:fill="FFFFFF" w:val="clear"/>
    </w:rPr>
  </w:style>
  <w:style w:type="character" w:styleId="41" w:customStyle="1">
    <w:name w:val="Заголовок №4_"/>
    <w:basedOn w:val="DefaultParagraphFont"/>
    <w:link w:val="42"/>
    <w:qFormat/>
    <w:rsid w:val="00dd7889"/>
    <w:rPr>
      <w:rFonts w:ascii="Tahoma" w:hAnsi="Tahoma" w:eastAsia="Tahoma" w:cs="Tahoma"/>
      <w:shd w:fill="FFFFFF" w:val="clear"/>
    </w:rPr>
  </w:style>
  <w:style w:type="character" w:styleId="111" w:customStyle="1">
    <w:name w:val="Основной текст (11)_"/>
    <w:basedOn w:val="DefaultParagraphFont"/>
    <w:link w:val="112"/>
    <w:qFormat/>
    <w:rsid w:val="00dd7889"/>
    <w:rPr>
      <w:rFonts w:ascii="Tahoma" w:hAnsi="Tahoma" w:eastAsia="Tahoma" w:cs="Tahoma"/>
      <w:sz w:val="18"/>
      <w:szCs w:val="18"/>
      <w:shd w:fill="FFFFFF" w:val="clear"/>
    </w:rPr>
  </w:style>
  <w:style w:type="character" w:styleId="Style15" w:customStyle="1">
    <w:name w:val="Колонтитул_"/>
    <w:basedOn w:val="DefaultParagraphFont"/>
    <w:link w:val="Style21"/>
    <w:qFormat/>
    <w:rsid w:val="00dd7889"/>
    <w:rPr>
      <w:shd w:fill="FFFFFF" w:val="clear"/>
    </w:rPr>
  </w:style>
  <w:style w:type="character" w:styleId="Tahoma105pt" w:customStyle="1">
    <w:name w:val="Колонтитул + Tahoma;10;5 pt"/>
    <w:basedOn w:val="Style15"/>
    <w:qFormat/>
    <w:rsid w:val="00dd7889"/>
    <w:rPr>
      <w:rFonts w:ascii="Tahoma" w:hAnsi="Tahoma" w:eastAsia="Tahoma" w:cs="Tahoma"/>
      <w:spacing w:val="0"/>
      <w:sz w:val="21"/>
      <w:szCs w:val="21"/>
      <w:shd w:fill="FFFFFF" w:val="clear"/>
    </w:rPr>
  </w:style>
  <w:style w:type="character" w:styleId="Itemtext1" w:customStyle="1">
    <w:name w:val="itemtext1"/>
    <w:basedOn w:val="DefaultParagraphFont"/>
    <w:qFormat/>
    <w:rsid w:val="00dd7889"/>
    <w:rPr>
      <w:rFonts w:ascii="Segoe UI" w:hAnsi="Segoe UI" w:cs="Segoe UI"/>
      <w:color w:val="000000"/>
      <w:sz w:val="20"/>
      <w:szCs w:val="20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link w:val="Style15"/>
    <w:qFormat/>
    <w:rsid w:val="00dd7889"/>
    <w:pPr>
      <w:shd w:val="clear" w:color="auto" w:fill="FFFFFF"/>
    </w:pPr>
    <w:rPr>
      <w:sz w:val="20"/>
      <w:szCs w:val="20"/>
    </w:rPr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29" w:customStyle="1">
    <w:name w:val="Основной текст2"/>
    <w:basedOn w:val="Normal"/>
    <w:link w:val="Style14"/>
    <w:qFormat/>
    <w:rsid w:val="00dd7889"/>
    <w:pPr>
      <w:shd w:val="clear" w:color="auto" w:fill="FFFFFF"/>
      <w:spacing w:lineRule="atLeast" w:line="0" w:before="420" w:after="1020"/>
      <w:ind w:hanging="520"/>
      <w:jc w:val="both"/>
    </w:pPr>
    <w:rPr>
      <w:rFonts w:ascii="Tahoma" w:hAnsi="Tahoma" w:eastAsia="Tahoma" w:cs="Tahoma"/>
      <w:sz w:val="20"/>
      <w:szCs w:val="20"/>
    </w:rPr>
  </w:style>
  <w:style w:type="paragraph" w:styleId="42" w:customStyle="1">
    <w:name w:val="Заголовок №4"/>
    <w:basedOn w:val="Normal"/>
    <w:link w:val="41"/>
    <w:qFormat/>
    <w:rsid w:val="00dd7889"/>
    <w:pPr>
      <w:shd w:val="clear" w:color="auto" w:fill="FFFFFF"/>
      <w:spacing w:lineRule="exact" w:line="293" w:before="240" w:after="240"/>
      <w:ind w:hanging="340"/>
      <w:jc w:val="center"/>
      <w:outlineLvl w:val="3"/>
    </w:pPr>
    <w:rPr>
      <w:rFonts w:ascii="Tahoma" w:hAnsi="Tahoma" w:eastAsia="Tahoma" w:cs="Tahoma"/>
      <w:sz w:val="20"/>
      <w:szCs w:val="20"/>
    </w:rPr>
  </w:style>
  <w:style w:type="paragraph" w:styleId="112" w:customStyle="1">
    <w:name w:val="Основной текст (11)"/>
    <w:basedOn w:val="Normal"/>
    <w:link w:val="111"/>
    <w:qFormat/>
    <w:rsid w:val="00dd7889"/>
    <w:pPr>
      <w:shd w:val="clear" w:color="auto" w:fill="FFFFFF"/>
      <w:spacing w:lineRule="atLeast" w:line="0" w:before="720" w:after="300"/>
    </w:pPr>
    <w:rPr>
      <w:rFonts w:ascii="Tahoma" w:hAnsi="Tahoma" w:eastAsia="Tahoma" w:cs="Tahoma"/>
      <w:sz w:val="18"/>
      <w:szCs w:val="18"/>
    </w:rPr>
  </w:style>
  <w:style w:type="paragraph" w:styleId="ConsPlusTitle" w:customStyle="1">
    <w:name w:val="ConsPlusTitle"/>
    <w:qFormat/>
    <w:rsid w:val="003062f0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新細明體" w:cs="Calibri" w:eastAsiaTheme="minorEastAsia"/>
      <w:b/>
      <w:color w:val="auto"/>
      <w:kern w:val="0"/>
      <w:sz w:val="22"/>
      <w:szCs w:val="22"/>
      <w:lang w:val="ru-RU" w:eastAsia="ru-RU" w:bidi="ar-SA"/>
    </w:rPr>
  </w:style>
  <w:style w:type="paragraph" w:styleId="Headertext" w:customStyle="1">
    <w:name w:val="headertext"/>
    <w:basedOn w:val="Normal"/>
    <w:qFormat/>
    <w:rsid w:val="00b13dd1"/>
    <w:pPr>
      <w:spacing w:beforeAutospacing="1" w:afterAutospacing="1"/>
    </w:pPr>
    <w:rPr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5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FF4BC-F452-40C7-A2D8-963787B80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Application>AlterOffice/3.4.0.9$Linux_X86_64 LibreOffice_project/b8daf9e823b1a5463a2f48435ddc2e8696e7d4fc</Application>
  <AppVersion>15.0000</AppVersion>
  <Pages>3</Pages>
  <Words>1022</Words>
  <Characters>7840</Characters>
  <CharactersWithSpaces>9602</CharactersWithSpaces>
  <Paragraphs>52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2024-11-19T05:44:00Z</dcterms:created>
  <dc:creator>Быстров Олег Геннадьевич</dc:creator>
  <dc:description/>
  <dc:language>ru-RU</dc:language>
  <cp:lastModifiedBy>Кафар Гашимович Магомедов</cp:lastModifiedBy>
  <cp:lastPrinted>2024-11-18T02:51:00Z</cp:lastPrinted>
  <dcterms:modified xsi:type="dcterms:W3CDTF">2026-02-10T10:04:20Z</dcterms:modified>
  <cp:revision>17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