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5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Приложение №3 </w:t>
      </w:r>
    </w:p>
    <w:p>
      <w:pPr>
        <w:pStyle w:val="Normal"/>
        <w:jc w:val="center"/>
        <w:rPr/>
      </w:pPr>
      <w:r>
        <w:rPr>
          <w:rFonts w:eastAsia="Calibri"/>
          <w:color w:val="2C2D2E"/>
          <w:sz w:val="24"/>
          <w:szCs w:val="24"/>
        </w:rPr>
        <w:t xml:space="preserve">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>
      <w:pPr>
        <w:pStyle w:val="Normal"/>
        <w:jc w:val="center"/>
        <w:rPr/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>н</w:t>
      </w:r>
      <w:r>
        <w:rPr>
          <w:rFonts w:eastAsia="Calibri"/>
          <w:iCs/>
          <w:color w:val="2C2D2E"/>
          <w:sz w:val="22"/>
          <w:szCs w:val="22"/>
        </w:rPr>
        <w:t>а о</w:t>
      </w:r>
      <w:r>
        <w:rPr>
          <w:rFonts w:eastAsia="Calibri"/>
          <w:color w:val="2C2D2E"/>
          <w:sz w:val="22"/>
          <w:szCs w:val="22"/>
        </w:rPr>
        <w:t>казание услуг</w:t>
      </w:r>
    </w:p>
    <w:p>
      <w:pPr>
        <w:pStyle w:val="Normal"/>
        <w:jc w:val="center"/>
        <w:rPr/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 xml:space="preserve">по медицинскому обслуживанию                  </w:t>
      </w:r>
    </w:p>
    <w:p>
      <w:pPr>
        <w:pStyle w:val="Normal"/>
        <w:jc w:val="center"/>
        <w:rPr/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>персонала Ч</w:t>
      </w:r>
      <w:r>
        <w:rPr>
          <w:rFonts w:eastAsia="Calibri"/>
          <w:color w:val="2C2D2E"/>
          <w:sz w:val="22"/>
          <w:szCs w:val="22"/>
        </w:rPr>
        <w:t xml:space="preserve">иркейской </w:t>
      </w:r>
      <w:r>
        <w:rPr>
          <w:rFonts w:eastAsia="Calibri"/>
          <w:color w:val="2C2D2E"/>
          <w:sz w:val="22"/>
          <w:szCs w:val="22"/>
        </w:rPr>
        <w:t xml:space="preserve">и     </w:t>
      </w:r>
    </w:p>
    <w:p>
      <w:pPr>
        <w:pStyle w:val="Normal"/>
        <w:jc w:val="center"/>
        <w:rPr/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>Ирганайской ГЭС</w:t>
      </w:r>
      <w:r>
        <w:rPr>
          <w:b/>
          <w:sz w:val="22"/>
          <w:szCs w:val="22"/>
        </w:rPr>
        <w:t xml:space="preserve">       </w:t>
      </w:r>
      <w:r>
        <w:rPr>
          <w:b/>
          <w:sz w:val="24"/>
          <w:szCs w:val="24"/>
        </w:rPr>
        <w:t xml:space="preserve">                </w:t>
      </w:r>
      <w:r>
        <w:rPr>
          <w:rFonts w:eastAsia="Calibri"/>
          <w:color w:val="2C2D2E"/>
          <w:sz w:val="24"/>
          <w:szCs w:val="24"/>
        </w:rPr>
        <w:t xml:space="preserve">                                 </w:t>
      </w:r>
    </w:p>
    <w:p>
      <w:pPr>
        <w:pStyle w:val="Normal"/>
        <w:jc w:val="righ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проведения предсменных медицинских осмотров работников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color w:val="000000"/>
          <w:sz w:val="22"/>
          <w:szCs w:val="22"/>
          <w:shd w:fill="FFFFFF" w:val="clear"/>
        </w:rPr>
        <w:t>Медицинский работник проводит и оформляет предсменный контроль с учетом результатов ЭСМО</w:t>
      </w:r>
      <w:r>
        <w:rPr>
          <w:rStyle w:val="FootnoteReference"/>
          <w:color w:val="000000"/>
          <w:sz w:val="22"/>
          <w:szCs w:val="22"/>
          <w:shd w:fill="FFFFFF" w:val="clear"/>
        </w:rPr>
        <w:footnoteReference w:id="2"/>
      </w:r>
      <w:r>
        <w:rPr>
          <w:color w:val="000000"/>
          <w:sz w:val="22"/>
          <w:szCs w:val="22"/>
          <w:shd w:fill="FFFFFF" w:val="clear"/>
        </w:rPr>
        <w:t>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Общие требования к проведению предсменного медицинского осмотра работников (далее - предсменный контроль), непосредственно воздействующих на органы управления энергоустановок и осуществляющие управление и обслуживание энергоустановок в смене, основываются на требованиях законодательства Российской Федерации: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 Приказ Министерства энергетики РФ от 31.08.2011 №390 «Об утверждении порядка проведения медицинских осмотров (обследований) работников, непосредственно занятых на работах, связанных с обслуживанием объектов электроэнергетики»;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-Приказ Минздрава РФ от 30.05.2023 №266н «Об утверждении порядка и периодичности проведения предсменных, предрейсовых, послесменных, послерейсовых медицинских осмотров в течение рабочего дня (смены) и перечня включаемых в них исследований».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Медицинский работник, оформляющий предсменный контроль по результатам ЭСМО дает одно из следующих заключений: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1) «ДОПУЩЕН» - при отсутствии признаков заболеваний и состояний,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опьянения;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2) «НЕ ДОПУЩЕН» - при наличии признаков заболеваний и состояний,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признаков).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По результатам предсменного контроля заполняется журнал по форме согласно настоящему порядку. 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После проведения предсменного контроля медицинский работник </w:t>
      </w:r>
      <w:bookmarkStart w:id="1" w:name="_Hlk50034992"/>
      <w:r>
        <w:rPr>
          <w:sz w:val="22"/>
          <w:szCs w:val="22"/>
        </w:rPr>
        <w:t>сообщает о результатах контроля начальнику смены станции</w:t>
      </w:r>
      <w:bookmarkEnd w:id="1"/>
      <w:r>
        <w:rPr>
          <w:sz w:val="22"/>
          <w:szCs w:val="22"/>
        </w:rPr>
        <w:t>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</w:t>
        <w:tab/>
        <w:t>В случае, если начальник смены станции «отстранен» по результатам предсменного контроля, медицинский работник докладывает начальнику оперативной службы.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</w:t>
        <w:tab/>
        <w:t>В случае выявления признаков алкогольного или иного опьянения, производятся мероприятия, предусмотренные соответствующим регламентом филиала.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footnotePr>
            <w:numFmt w:val="decimal"/>
          </w:footnotePr>
          <w:type w:val="nextPage"/>
          <w:pgSz w:w="11906" w:h="16838"/>
          <w:pgMar w:left="1701" w:right="850" w:gutter="0" w:header="708" w:top="765" w:footer="708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Сведения о результатах предсменного контроля, отражающие функциональное состояние работника, конкретные показатели, являются медицинской тайной. Непосредственному руководителю сообщается общее состояние работника, пригодность к исполнению должностных обязанностей и возможные последствия.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  <w:t>Форма журнала предсменного контроля</w:t>
      </w:r>
    </w:p>
    <w:p>
      <w:pPr>
        <w:pStyle w:val="Normal"/>
        <w:spacing w:lineRule="auto" w:line="360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margin" w:leftFromText="180" w:rightFromText="180" w:tblpX="0" w:tblpY="182" w:topFromText="0" w:vertAnchor="text"/>
        <w:tblW w:w="1508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08"/>
        <w:gridCol w:w="1604"/>
        <w:gridCol w:w="567"/>
        <w:gridCol w:w="1418"/>
        <w:gridCol w:w="1418"/>
        <w:gridCol w:w="848"/>
        <w:gridCol w:w="789"/>
        <w:gridCol w:w="1056"/>
        <w:gridCol w:w="567"/>
        <w:gridCol w:w="566"/>
        <w:gridCol w:w="1163"/>
        <w:gridCol w:w="821"/>
        <w:gridCol w:w="1154"/>
        <w:gridCol w:w="1172"/>
        <w:gridCol w:w="1135"/>
      </w:tblGrid>
      <w:tr>
        <w:trPr>
          <w:trHeight w:val="1253" w:hRule="atLeast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дата,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инициалы обследуемого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жалобы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пульс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термометрия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проба на наличие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алкоголя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дополнительное обследование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      (ДОПУЩЕН, НЕ ДОПУЩЕН)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ind w:firstLine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медработника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обследуемого</w:t>
            </w:r>
          </w:p>
        </w:tc>
      </w:tr>
      <w:tr>
        <w:trPr>
          <w:trHeight w:val="1253" w:hRule="atLeast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35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i/>
          <w:i/>
          <w:iCs/>
          <w:sz w:val="22"/>
          <w:szCs w:val="22"/>
          <w:shd w:fill="FFFF99" w:val="clear"/>
        </w:rPr>
      </w:pPr>
      <w:r>
        <w:rPr/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>
        <w:numFmt w:val="decimal"/>
      </w:footnotePr>
      <w:type w:val="nextPage"/>
      <w:pgSz w:orient="landscape" w:w="16838" w:h="11906"/>
      <w:pgMar w:left="851" w:right="765" w:gutter="0" w:header="708" w:top="1701" w:footer="708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294" w:hanging="0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Электронная система медицинских осмотров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tabs>
        <w:tab w:val="clear" w:pos="708"/>
        <w:tab w:val="left" w:pos="9053" w:leader="none"/>
      </w:tabs>
      <w:ind w:left="9053" w:hanging="0"/>
      <w:rPr/>
    </w:pPr>
    <w:r>
      <w:rPr>
        <w:rStyle w:val="Tahoma105pt"/>
      </w:rPr>
      <w:t>.</w:t>
      <w:tab/>
      <w:t>ПАО «Т Плюс»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9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1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ConsPlusTitle" w:customStyle="1">
    <w:name w:val="ConsPlusTitle"/>
    <w:qFormat/>
    <w:rsid w:val="003062f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Headertext" w:customStyle="1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311" w:customStyle="1">
    <w:name w:val="Список 3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Caption111" w:customStyle="1">
    <w:name w:val="caption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2" w:customStyle="1">
    <w:name w:val="caption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notes" Target="footnotes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FBBBA-6C6D-42C8-9C87-186BCE01B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AlterOffice/3.4.0.9$Linux_X86_64 LibreOffice_project/b8daf9e823b1a5463a2f48435ddc2e8696e7d4fc</Application>
  <AppVersion>15.0000</AppVersion>
  <Pages>2</Pages>
  <Words>323</Words>
  <Characters>2475</Characters>
  <CharactersWithSpaces>3330</CharactersWithSpaces>
  <Paragraphs>41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2024-12-03T00:39:00Z</dcterms:created>
  <dc:creator>Быстров Олег Геннадьевич</dc:creator>
  <dc:description/>
  <dc:language>ru-RU</dc:language>
  <cp:lastModifiedBy>Кафар Гашимович Магомедов</cp:lastModifiedBy>
  <cp:lastPrinted>2024-11-18T02:51:00Z</cp:lastPrinted>
  <dcterms:modified xsi:type="dcterms:W3CDTF">2026-02-10T10:14:51Z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