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header9.xml" ContentType="application/vnd.openxmlformats-officedocument.wordprocessingml.header+xml"/>
  <Override PartName="/word/header12.xml" ContentType="application/vnd.openxmlformats-officedocument.wordprocessingml.header+xml"/>
  <Override PartName="/word/header11.xml" ContentType="application/vnd.openxmlformats-officedocument.wordprocessingml.header+xml"/>
  <Override PartName="/word/header8.xml" ContentType="application/vnd.openxmlformats-officedocument.wordprocessingml.header+xml"/>
  <Override PartName="/word/header10.xml" ContentType="application/vnd.openxmlformats-officedocument.wordprocessingml.header+xml"/>
  <Override PartName="/word/header7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6.xml" ContentType="application/vnd.openxmlformats-officedocument.wordprocessingml.head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left="5812" w:hanging="0"/>
        <w:rPr>
          <w:rFonts w:eastAsia="Calibri"/>
          <w:sz w:val="24"/>
          <w:szCs w:val="24"/>
          <w:lang w:eastAsia="zh-CN"/>
        </w:rPr>
      </w:pPr>
      <w:r>
        <w:rPr>
          <w:rFonts w:eastAsia="Calibri"/>
          <w:sz w:val="24"/>
          <w:szCs w:val="24"/>
          <w:lang w:eastAsia="zh-CN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sz w:val="32"/>
          <w:szCs w:val="32"/>
        </w:rPr>
      </w:pPr>
      <w:r>
        <w:rPr>
          <w:rFonts w:eastAsia="Calibri"/>
          <w:b/>
          <w:sz w:val="32"/>
          <w:szCs w:val="32"/>
        </w:rPr>
        <w:t xml:space="preserve">Технические требования </w:t>
      </w:r>
    </w:p>
    <w:p>
      <w:pPr>
        <w:pStyle w:val="Normal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jc w:val="center"/>
        <w:rPr>
          <w:rFonts w:eastAsia="Calibri"/>
          <w:sz w:val="26"/>
          <w:szCs w:val="26"/>
        </w:rPr>
      </w:pPr>
      <w:r>
        <w:rPr/>
      </w:r>
    </w:p>
    <w:p>
      <w:pPr>
        <w:pStyle w:val="Normal"/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«ОКПД2 86.90.19 Оказание услуг по медицинскому обслуживанию персонала Чиркейской ГЭС и Ирганайской ГЭС для нужд Филиала ПАО "РусГидро" - "Дагестанский филиал"»</w:t>
      </w:r>
    </w:p>
    <w:p>
      <w:pPr>
        <w:pStyle w:val="Normal"/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</w:r>
    </w:p>
    <w:p>
      <w:pPr>
        <w:pStyle w:val="Normal"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 </w:t>
      </w:r>
      <w:r>
        <w:rPr>
          <w:rFonts w:eastAsia="Calibri"/>
          <w:sz w:val="26"/>
          <w:szCs w:val="26"/>
        </w:rPr>
        <w:t>г. Каспийск</w:t>
      </w:r>
    </w:p>
    <w:p>
      <w:pPr>
        <w:pStyle w:val="Normal"/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2026</w:t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r>
            <w:fldChar w:fldCharType="begin"/>
          </w:r>
          <w:r>
            <w:rPr>
              <w:webHidden/>
              <w:rStyle w:val="Style16"/>
              <w:vanish w:val="false"/>
            </w:rPr>
            <w:instrText xml:space="preserve"> TOC \z \o "1-4" \u \h</w:instrText>
          </w:r>
          <w:r>
            <w:rPr>
              <w:webHidden/>
              <w:rStyle w:val="Style16"/>
              <w:vanish w:val="false"/>
            </w:rPr>
            <w:fldChar w:fldCharType="separate"/>
          </w:r>
          <w:hyperlink w:anchor="_Toc183011366">
            <w:r>
              <w:rPr>
                <w:webHidden/>
                <w:rStyle w:val="Style16"/>
                <w:vanish w:val="false"/>
              </w:rPr>
              <w:t>1.</w:t>
            </w:r>
            <w:r>
              <w:rPr>
                <w:rStyle w:val="Style16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_Toc183011366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6"/>
              </w:rPr>
              <w:t>Общие сведения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83011367">
            <w:r>
              <w:rPr>
                <w:webHidden/>
                <w:rStyle w:val="Style16"/>
                <w:iCs/>
                <w:vanish w:val="false"/>
              </w:rPr>
              <w:t>1.1.</w:t>
            </w:r>
            <w:r>
              <w:rPr>
                <w:rStyle w:val="Style16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_Toc183011367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6"/>
              </w:rPr>
              <w:t>Обозначения и сокращения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83011368">
            <w:r>
              <w:rPr>
                <w:webHidden/>
                <w:rStyle w:val="Style16"/>
                <w:iCs/>
                <w:vanish w:val="false"/>
              </w:rPr>
              <w:t>1.2.</w:t>
            </w:r>
            <w:r>
              <w:rPr>
                <w:rStyle w:val="Style16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_Toc183011368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6"/>
              </w:rPr>
              <w:t>Наименование закупаемой продукции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83011369">
            <w:r>
              <w:rPr>
                <w:webHidden/>
                <w:rStyle w:val="Style16"/>
                <w:rFonts w:eastAsia="Arial Unicode MS"/>
                <w:vanish w:val="false"/>
              </w:rPr>
              <w:t xml:space="preserve">1.3 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_Toc183011369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6"/>
              </w:rPr>
              <w:t>Цель использования закупаемой продукции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83011370">
            <w:r>
              <w:rPr>
                <w:webHidden/>
                <w:rStyle w:val="Style16"/>
                <w:vanish w:val="false"/>
              </w:rPr>
              <w:t>1.4</w:t>
            </w:r>
            <w:r>
              <w:rPr>
                <w:rStyle w:val="Style16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_Toc183011370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6"/>
              </w:rPr>
              <w:t>Существующее положение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83011372">
            <w:r>
              <w:rPr>
                <w:webHidden/>
                <w:rStyle w:val="Style16"/>
                <w:vanish w:val="false"/>
              </w:rPr>
              <w:t>2.</w:t>
            </w:r>
            <w:r>
              <w:rPr>
                <w:rStyle w:val="Style16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6"/>
                <w:iCs/>
              </w:rPr>
              <w:t>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_Toc183011372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6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83011373">
            <w:r>
              <w:rPr>
                <w:webHidden/>
                <w:rStyle w:val="Style16"/>
                <w:iCs/>
                <w:vanish w:val="false"/>
              </w:rPr>
              <w:t>2.1.</w:t>
            </w:r>
            <w:r>
              <w:rPr>
                <w:rStyle w:val="Style16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_Toc183011373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6"/>
              </w:rPr>
              <w:t>Требования к объемам и срокам оказания услуг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83011374">
            <w:r>
              <w:rPr>
                <w:webHidden/>
                <w:rStyle w:val="Style16"/>
                <w:vanish w:val="false"/>
              </w:rPr>
              <w:t>2.1.1.</w:t>
            </w:r>
            <w:r>
              <w:rPr>
                <w:rStyle w:val="Style16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_Toc183011374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6"/>
              </w:rPr>
              <w:t>Требования к перечню и объему услуг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83011375">
            <w:r>
              <w:rPr>
                <w:webHidden/>
                <w:rStyle w:val="Style16"/>
                <w:vanish w:val="false"/>
              </w:rPr>
              <w:t>Таблица 2. Перечень и объем оказываемых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_Toc183011375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6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83011376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_Toc183011376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6"/>
                <w:vanish w:val="false"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83011377">
            <w:r>
              <w:rPr>
                <w:webHidden/>
                <w:rStyle w:val="Style16"/>
                <w:vanish w:val="false"/>
              </w:rPr>
              <w:t>Таблица 3. Требования к срокам оказания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_Toc183011377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6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83011378">
            <w:r>
              <w:rPr>
                <w:webHidden/>
                <w:rStyle w:val="Style16"/>
                <w:iCs/>
                <w:vanish w:val="false"/>
              </w:rPr>
              <w:t>2.2.</w:t>
            </w:r>
            <w:r>
              <w:rPr>
                <w:rStyle w:val="Style16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_Toc183011378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6"/>
              </w:rPr>
              <w:t>Требования к качеству услуг</w:t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83011379">
            <w:r>
              <w:rPr>
                <w:webHidden/>
                <w:rStyle w:val="Style16"/>
                <w:vanish w:val="false"/>
              </w:rPr>
              <w:t>Таблица 4.1 Требования к качеству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_Toc183011379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6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83011393">
            <w:r>
              <w:rPr>
                <w:webHidden/>
                <w:rStyle w:val="Style16"/>
                <w:vanish w:val="false"/>
              </w:rPr>
              <w:t>3</w:t>
            </w:r>
            <w:r>
              <w:rPr>
                <w:rStyle w:val="Style16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_Toc183011393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6"/>
              </w:rPr>
              <w:t>Требования к документации по ценообразованию</w:t>
              <w:tab/>
              <w:t>11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83011394">
            <w:r>
              <w:rPr>
                <w:webHidden/>
                <w:rStyle w:val="Style16"/>
                <w:vanish w:val="false"/>
              </w:rPr>
              <w:t>3.1 Требования к документации по ценообразованию на этапе закупки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_Toc183011394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6"/>
              </w:rPr>
              <w:tab/>
              <w:t>11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83011395">
            <w:r>
              <w:rPr>
                <w:webHidden/>
                <w:rStyle w:val="Style16"/>
                <w:vanish w:val="false"/>
              </w:rPr>
              <w:t>4</w:t>
            </w:r>
            <w:r>
              <w:rPr>
                <w:rStyle w:val="Style16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6"/>
                <w:lang w:val="en-US"/>
              </w:rPr>
              <w:t>Требования к</w:t>
            </w:r>
            <w:r>
              <w:rPr>
                <w:rStyle w:val="Style16"/>
              </w:rPr>
              <w:t xml:space="preserve"> Участнику</w:t>
            </w:r>
            <w:r>
              <w:rPr>
                <w:rStyle w:val="Style16"/>
                <w:lang w:val="en-US"/>
              </w:rPr>
              <w:t xml:space="preserve"> закупки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_Toc183011395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6"/>
              </w:rPr>
              <w:tab/>
              <w:t>11</w:t>
            </w:r>
            <w:r>
              <w:rPr>
                <w:webHidden/>
              </w:rPr>
              <w:fldChar w:fldCharType="end"/>
            </w:r>
          </w:hyperlink>
          <w:r>
            <w:rPr>
              <w:rStyle w:val="Style16"/>
            </w:rPr>
            <w:fldChar w:fldCharType="end"/>
          </w:r>
        </w:p>
      </w:sdtContent>
    </w:sdt>
    <w:p>
      <w:pPr>
        <w:pStyle w:val="Heading2"/>
        <w:numPr>
          <w:ilvl w:val="0"/>
        </w:numPr>
        <w:tabs>
          <w:tab w:val="clear" w:pos="0"/>
        </w:tabs>
        <w:ind w:left="0" w:hanging="0"/>
        <w:rPr/>
      </w:pPr>
      <w:r>
        <w:rPr>
          <w:lang w:val="en-US"/>
        </w:rPr>
        <w:t>5</w:t>
      </w:r>
      <w:r>
        <w:rPr/>
        <w:t xml:space="preserve"> Приложения</w:t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caps/>
          <w:lang w:val="ru-RU"/>
        </w:rPr>
      </w:pPr>
      <w:bookmarkStart w:id="0" w:name="_Toc183011366"/>
      <w:r>
        <w:rPr>
          <w:lang w:val="ru-RU"/>
        </w:rPr>
        <w:t>Общие сведения</w:t>
      </w:r>
      <w:bookmarkEnd w:id="0"/>
    </w:p>
    <w:p>
      <w:pPr>
        <w:pStyle w:val="Heading4"/>
        <w:numPr>
          <w:ilvl w:val="1"/>
          <w:numId w:val="3"/>
        </w:numPr>
        <w:rPr/>
      </w:pPr>
      <w:bookmarkStart w:id="1" w:name="_Toc46743505"/>
      <w:bookmarkStart w:id="2" w:name="_Toc183011367"/>
      <w:r>
        <w:rPr/>
        <w:t>Обозначения и сокращения</w:t>
      </w:r>
      <w:bookmarkEnd w:id="1"/>
      <w:bookmarkEnd w:id="2"/>
    </w:p>
    <w:tbl>
      <w:tblPr>
        <w:tblW w:w="1006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144"/>
        <w:gridCol w:w="7915"/>
      </w:tblGrid>
      <w:tr>
        <w:trPr>
          <w:cantSplit w:val="true"/>
        </w:trPr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rStyle w:val="Style8"/>
                <w:b w:val="false"/>
                <w:bCs/>
                <w:i w:val="false"/>
                <w:i w:val="false"/>
                <w:sz w:val="22"/>
                <w:szCs w:val="22"/>
              </w:rPr>
            </w:pPr>
            <w:r>
              <w:rPr>
                <w:sz w:val="22"/>
                <w:szCs w:val="22"/>
              </w:rPr>
              <w:t>Филиал</w:t>
            </w:r>
          </w:p>
        </w:tc>
        <w:tc>
          <w:tcPr>
            <w:tcW w:w="7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rStyle w:val="Style8"/>
                <w:b w:val="false"/>
                <w:bCs/>
                <w:i w:val="false"/>
                <w:i w:val="false"/>
                <w:sz w:val="22"/>
                <w:szCs w:val="22"/>
              </w:rPr>
            </w:pPr>
            <w:r>
              <w:rPr>
                <w:sz w:val="22"/>
                <w:szCs w:val="22"/>
              </w:rPr>
              <w:t>Филиал ПАО «РусГидро» - «Дагестанский филиал»</w:t>
            </w:r>
          </w:p>
        </w:tc>
      </w:tr>
      <w:tr>
        <w:trPr>
          <w:cantSplit w:val="true"/>
        </w:trPr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Заказчик</w:t>
            </w:r>
          </w:p>
        </w:tc>
        <w:tc>
          <w:tcPr>
            <w:tcW w:w="7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Публичное акционерное общество «Федеральная гидрогенерирующая компания - РусГидро» (далее - ПАО «РусГидро»), Филиал ПАО «РусГидро» - «Дагестанский филиал»</w:t>
            </w:r>
          </w:p>
        </w:tc>
      </w:tr>
      <w:tr>
        <w:trPr>
          <w:cantSplit w:val="true"/>
        </w:trPr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Исполнитель</w:t>
            </w:r>
          </w:p>
        </w:tc>
        <w:tc>
          <w:tcPr>
            <w:tcW w:w="7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Юридическое лицо, имеющее лицензию на осуществление медицинской деятельности, с которым Заказчик заключил договор на оказание медицинских услуг</w:t>
            </w:r>
          </w:p>
        </w:tc>
      </w:tr>
      <w:tr>
        <w:trPr>
          <w:cantSplit w:val="true"/>
        </w:trPr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Работник</w:t>
            </w:r>
          </w:p>
        </w:tc>
        <w:tc>
          <w:tcPr>
            <w:tcW w:w="7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Физические лица, состоящие в трудовых отношениях с Заказчиком и приравненные к ним лица</w:t>
            </w:r>
          </w:p>
        </w:tc>
      </w:tr>
      <w:tr>
        <w:trPr>
          <w:cantSplit w:val="true"/>
        </w:trPr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rStyle w:val="Style8"/>
                <w:b w:val="false"/>
                <w:bCs/>
                <w:i w:val="false"/>
                <w:i w:val="false"/>
                <w:sz w:val="22"/>
                <w:szCs w:val="22"/>
              </w:rPr>
            </w:pPr>
            <w:r>
              <w:rPr>
                <w:sz w:val="22"/>
                <w:szCs w:val="22"/>
              </w:rPr>
              <w:t>Медпункт</w:t>
            </w:r>
          </w:p>
        </w:tc>
        <w:tc>
          <w:tcPr>
            <w:tcW w:w="7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rStyle w:val="Style8"/>
                <w:b w:val="false"/>
                <w:bCs/>
                <w:i w:val="false"/>
                <w:i w:val="false"/>
                <w:sz w:val="22"/>
                <w:szCs w:val="22"/>
              </w:rPr>
            </w:pPr>
            <w:r>
              <w:rPr>
                <w:sz w:val="22"/>
                <w:szCs w:val="22"/>
              </w:rPr>
              <w:t>Стационарное или мобильное подразделение (филиал) лечебно-профилактического учреждения, организованное на территории производственного объекта с целью оказания неотложной медицинской (доврачебной или врачебной) помощи</w:t>
            </w:r>
          </w:p>
        </w:tc>
      </w:tr>
      <w:tr>
        <w:trPr>
          <w:cantSplit w:val="true"/>
        </w:trPr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Медицинская услуга</w:t>
            </w:r>
          </w:p>
        </w:tc>
        <w:tc>
          <w:tcPr>
            <w:tcW w:w="7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Медицинское вмешательство или комплекс медицинских вмешательств, направленных на профилактику, диагностику и лечение заболеваний, медицинскую реабилитацию и имеющих самостоятельное законченное значение</w:t>
            </w:r>
          </w:p>
        </w:tc>
      </w:tr>
      <w:tr>
        <w:trPr>
          <w:cantSplit w:val="true"/>
        </w:trPr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Медицинская помощь</w:t>
            </w:r>
          </w:p>
        </w:tc>
        <w:tc>
          <w:tcPr>
            <w:tcW w:w="7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Срочное выполнение мероприятий, необходимых при несчастных случаях и внезапных заболеваниях, меры срочной помощи раненым или больным людям, направленные на поддержание жизни и предотвращение наступления тяжелых последствий, выполняемые в порядке само- и взаимопомощи</w:t>
            </w:r>
          </w:p>
        </w:tc>
      </w:tr>
      <w:tr>
        <w:trPr>
          <w:cantSplit w:val="true"/>
        </w:trPr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rStyle w:val="Style8"/>
                <w:b w:val="false"/>
                <w:bCs/>
                <w:i w:val="false"/>
                <w:i w:val="false"/>
                <w:sz w:val="22"/>
                <w:szCs w:val="22"/>
              </w:rPr>
            </w:pPr>
            <w:r>
              <w:rPr>
                <w:sz w:val="22"/>
                <w:szCs w:val="22"/>
              </w:rPr>
              <w:t>ЭДО</w:t>
            </w:r>
          </w:p>
        </w:tc>
        <w:tc>
          <w:tcPr>
            <w:tcW w:w="7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rStyle w:val="Style8"/>
                <w:b w:val="false"/>
                <w:bCs/>
                <w:i w:val="false"/>
                <w:i w:val="false"/>
                <w:sz w:val="22"/>
                <w:szCs w:val="22"/>
              </w:rPr>
            </w:pPr>
            <w:r>
              <w:rPr>
                <w:sz w:val="22"/>
                <w:szCs w:val="22"/>
              </w:rPr>
              <w:t>Электронный документооборот</w:t>
            </w:r>
          </w:p>
        </w:tc>
      </w:tr>
      <w:tr>
        <w:trPr>
          <w:cantSplit w:val="true"/>
        </w:trPr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</w:t>
            </w:r>
          </w:p>
        </w:tc>
        <w:tc>
          <w:tcPr>
            <w:tcW w:w="7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Санитарные правила</w:t>
            </w:r>
          </w:p>
        </w:tc>
      </w:tr>
      <w:tr>
        <w:trPr>
          <w:cantSplit w:val="true"/>
        </w:trPr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ЛНА</w:t>
            </w:r>
          </w:p>
        </w:tc>
        <w:tc>
          <w:tcPr>
            <w:tcW w:w="7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Локально-нормативный акт</w:t>
            </w:r>
          </w:p>
        </w:tc>
      </w:tr>
      <w:tr>
        <w:trPr>
          <w:cantSplit w:val="true"/>
        </w:trPr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Предварительный/ периодический медицинский осмотр (ПМО)</w:t>
            </w:r>
          </w:p>
        </w:tc>
        <w:tc>
          <w:tcPr>
            <w:tcW w:w="7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Комплекс мероприятий, направленных на оценку пригодности работника (кандидата) к выполнению должностных обязанностей с учетом вредных (опасных) производственных факторов, действующих на рабочем месте, регламентированный законодательством и иными нормативными актами</w:t>
            </w:r>
          </w:p>
        </w:tc>
      </w:tr>
      <w:tr>
        <w:trPr>
          <w:cantSplit w:val="true"/>
        </w:trPr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Профилактическое лечение</w:t>
            </w:r>
          </w:p>
        </w:tc>
        <w:tc>
          <w:tcPr>
            <w:tcW w:w="7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Мероприятия, проводимые по назначению медицинской комиссии, направленные на снижение риска развития профессиональной патологии у работников, занятых во вредных условиях труда и подвергающихся в течение смены действию вредных факторов производства</w:t>
            </w:r>
          </w:p>
        </w:tc>
      </w:tr>
      <w:tr>
        <w:trPr>
          <w:cantSplit w:val="true"/>
        </w:trPr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Функциональное состояние</w:t>
            </w:r>
          </w:p>
        </w:tc>
        <w:tc>
          <w:tcPr>
            <w:tcW w:w="7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совокупность характеристик работника (когнитивные процессы, психологические и физиологические состояния), которые прямо или косвенно влияют на выполнение им должностных обязанностей, в том числе оценка состояния здоровья работника, проводимая до начала выполнения им работы (перед приемом смены)</w:t>
            </w:r>
          </w:p>
        </w:tc>
      </w:tr>
      <w:tr>
        <w:trPr>
          <w:cantSplit w:val="true"/>
        </w:trPr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Вакцинация</w:t>
            </w:r>
          </w:p>
        </w:tc>
        <w:tc>
          <w:tcPr>
            <w:tcW w:w="7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Специальное мероприятие, имеющее в своей основе введение в организм специальных иммунобиологических препаратов, выполняемое с целью профилактики инфекционных заболеваний</w:t>
            </w:r>
          </w:p>
        </w:tc>
      </w:tr>
      <w:tr>
        <w:trPr>
          <w:cantSplit w:val="true"/>
        </w:trPr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Предсменный медицинский осмотр (контроль)</w:t>
            </w:r>
          </w:p>
        </w:tc>
        <w:tc>
          <w:tcPr>
            <w:tcW w:w="7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Комплекс мероприятий, выполняемых в отношении работника до начала рабочего времени, имеющий своей целью выявление признаков воздействия вредных и (или) опасных производственных факторов, состояний и заболеваний, препятствующих выполнению трудовых обязанностей, в том числе алкогольного, наркотического или иного токсического опьянения и остаточных явлений такого опьянения</w:t>
            </w:r>
          </w:p>
        </w:tc>
      </w:tr>
      <w:tr>
        <w:trPr>
          <w:cantSplit w:val="true"/>
        </w:trPr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Оперативный персонал</w:t>
            </w:r>
          </w:p>
        </w:tc>
        <w:tc>
          <w:tcPr>
            <w:tcW w:w="7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работники, непосредственно воздействующие на органы управления энергоустановок и осуществляющие управление и обслуживание энергоустановок в смене</w:t>
            </w:r>
          </w:p>
        </w:tc>
      </w:tr>
      <w:tr>
        <w:trPr>
          <w:cantSplit w:val="true"/>
        </w:trPr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Аптечка</w:t>
            </w:r>
          </w:p>
        </w:tc>
        <w:tc>
          <w:tcPr>
            <w:tcW w:w="7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Комплект изделий медицинского назначения, сформированный в удобном для транспортировки виде и предназначенный для оказания первой само- и взаимопомощи</w:t>
            </w:r>
          </w:p>
        </w:tc>
      </w:tr>
      <w:tr>
        <w:trPr>
          <w:cantSplit w:val="true"/>
        </w:trPr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ЭСМО</w:t>
            </w:r>
          </w:p>
        </w:tc>
        <w:tc>
          <w:tcPr>
            <w:tcW w:w="7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Электронная система медицинских осмотров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Heading4"/>
        <w:numPr>
          <w:ilvl w:val="1"/>
          <w:numId w:val="3"/>
        </w:numPr>
        <w:rPr/>
      </w:pPr>
      <w:bookmarkStart w:id="3" w:name="_Toc46743506"/>
      <w:bookmarkStart w:id="4" w:name="_Toc183011368"/>
      <w:r>
        <w:rPr/>
        <w:t>Наименование закупаемой продукции</w:t>
      </w:r>
      <w:bookmarkEnd w:id="3"/>
      <w:bookmarkEnd w:id="4"/>
    </w:p>
    <w:p>
      <w:pPr>
        <w:pStyle w:val="Normal"/>
        <w:ind w:firstLine="567"/>
        <w:jc w:val="both"/>
        <w:rPr>
          <w:lang w:val="x-none" w:eastAsia="x-none"/>
        </w:rPr>
      </w:pPr>
      <w:r>
        <w:rPr>
          <w:sz w:val="24"/>
          <w:szCs w:val="24"/>
        </w:rPr>
        <w:t>Оказание услуг по медицинскому обслуживанию персонала Филиала ПАО «РусГидро» - «Дагестанский филиал» ОП «Чиркейская ГЭС» и ОП «Ирганайская ГЭС» на базе фельдшерского медпункта</w:t>
      </w:r>
    </w:p>
    <w:p>
      <w:pPr>
        <w:pStyle w:val="Normal"/>
        <w:widowControl w:val="false"/>
        <w:ind w:firstLine="567"/>
        <w:jc w:val="both"/>
        <w:rPr>
          <w:rFonts w:eastAsia="Arial Unicode MS"/>
          <w:sz w:val="24"/>
          <w:szCs w:val="24"/>
        </w:rPr>
      </w:pPr>
      <w:r>
        <w:rPr>
          <w:rFonts w:eastAsia="Arial Unicode MS"/>
          <w:sz w:val="24"/>
          <w:szCs w:val="24"/>
        </w:rPr>
      </w:r>
    </w:p>
    <w:p>
      <w:pPr>
        <w:pStyle w:val="Heading4"/>
        <w:numPr>
          <w:ilvl w:val="0"/>
        </w:numPr>
        <w:tabs>
          <w:tab w:val="clear" w:pos="0"/>
        </w:tabs>
        <w:ind w:left="432" w:hanging="432"/>
        <w:rPr/>
      </w:pPr>
      <w:bookmarkStart w:id="5" w:name="_Toc183011369"/>
      <w:r>
        <w:rPr>
          <w:rFonts w:eastAsia="Arial Unicode MS"/>
        </w:rPr>
        <w:t xml:space="preserve">1.3 </w:t>
      </w:r>
      <w:bookmarkStart w:id="6" w:name="_Toc125035218"/>
      <w:r>
        <w:rPr/>
        <w:t>Цель использования закупаемой продукции</w:t>
      </w:r>
      <w:bookmarkEnd w:id="5"/>
      <w:bookmarkEnd w:id="6"/>
      <w:r>
        <w:rPr/>
        <w:t xml:space="preserve"> </w:t>
      </w:r>
    </w:p>
    <w:p>
      <w:pPr>
        <w:pStyle w:val="Normal"/>
        <w:ind w:firstLine="567"/>
        <w:jc w:val="both"/>
        <w:rPr>
          <w:sz w:val="24"/>
          <w:szCs w:val="24"/>
          <w:lang w:val="x-none" w:eastAsia="x-none"/>
        </w:rPr>
      </w:pPr>
      <w:r>
        <w:rPr>
          <w:sz w:val="24"/>
          <w:szCs w:val="24"/>
          <w:lang w:val="x-none" w:eastAsia="x-none"/>
        </w:rPr>
        <w:t>Целью является</w:t>
      </w:r>
      <w:r>
        <w:rPr>
          <w:sz w:val="24"/>
          <w:szCs w:val="24"/>
          <w:lang w:eastAsia="x-none"/>
        </w:rPr>
        <w:t>:</w:t>
      </w:r>
      <w:r>
        <w:rPr>
          <w:sz w:val="24"/>
          <w:szCs w:val="24"/>
          <w:lang w:val="x-none" w:eastAsia="x-none"/>
        </w:rPr>
        <w:t xml:space="preserve"> </w:t>
      </w:r>
    </w:p>
    <w:p>
      <w:pPr>
        <w:pStyle w:val="Normal"/>
        <w:ind w:firstLine="567"/>
        <w:jc w:val="both"/>
        <w:rPr>
          <w:rFonts w:eastAsia="Arial Unicode MS"/>
          <w:sz w:val="24"/>
          <w:szCs w:val="24"/>
        </w:rPr>
      </w:pPr>
      <w:r>
        <w:rPr>
          <w:sz w:val="24"/>
          <w:szCs w:val="24"/>
          <w:lang w:eastAsia="x-none"/>
        </w:rPr>
        <w:t>- о</w:t>
      </w:r>
      <w:r>
        <w:rPr>
          <w:rFonts w:eastAsia="Arial Unicode MS"/>
          <w:sz w:val="24"/>
          <w:szCs w:val="24"/>
        </w:rPr>
        <w:t xml:space="preserve">казание первичной медико-санитарной помощи работникам филиала, </w:t>
      </w:r>
    </w:p>
    <w:p>
      <w:pPr>
        <w:pStyle w:val="Normal"/>
        <w:ind w:firstLine="567"/>
        <w:jc w:val="both"/>
        <w:rPr>
          <w:rFonts w:eastAsia="Arial Unicode MS"/>
          <w:sz w:val="24"/>
          <w:szCs w:val="24"/>
        </w:rPr>
      </w:pPr>
      <w:r>
        <w:rPr>
          <w:rFonts w:eastAsia="Arial Unicode MS"/>
          <w:sz w:val="24"/>
          <w:szCs w:val="24"/>
        </w:rPr>
        <w:t xml:space="preserve">- проведение предсменного медицинского осмотра работников, </w:t>
      </w:r>
    </w:p>
    <w:p>
      <w:pPr>
        <w:pStyle w:val="Normal"/>
        <w:ind w:firstLine="567"/>
        <w:jc w:val="both"/>
        <w:rPr>
          <w:rFonts w:eastAsia="Tahoma"/>
          <w:color w:val="000000"/>
          <w:sz w:val="24"/>
          <w:szCs w:val="24"/>
        </w:rPr>
      </w:pPr>
      <w:r>
        <w:rPr>
          <w:rFonts w:eastAsia="Arial Unicode MS"/>
          <w:sz w:val="24"/>
          <w:szCs w:val="24"/>
        </w:rPr>
        <w:t>- п</w:t>
      </w:r>
      <w:r>
        <w:rPr>
          <w:rFonts w:eastAsia="Tahoma"/>
          <w:color w:val="000000"/>
          <w:sz w:val="24"/>
          <w:szCs w:val="24"/>
        </w:rPr>
        <w:t xml:space="preserve">роведение мониторинга состояния здоровья работников, </w:t>
      </w:r>
    </w:p>
    <w:p>
      <w:pPr>
        <w:pStyle w:val="Normal"/>
        <w:ind w:firstLine="567"/>
        <w:jc w:val="both"/>
        <w:rPr>
          <w:rFonts w:eastAsia="Tahoma"/>
          <w:color w:val="000000"/>
          <w:sz w:val="24"/>
          <w:szCs w:val="24"/>
        </w:rPr>
      </w:pPr>
      <w:r>
        <w:rPr>
          <w:rFonts w:eastAsia="Tahoma"/>
          <w:color w:val="000000"/>
          <w:sz w:val="24"/>
          <w:szCs w:val="24"/>
        </w:rPr>
        <w:t>- разработка и реализация на основании мониторинга мероприятий по предупреждению заболеваемости работников и укреплению потенциала здоровья.</w:t>
      </w:r>
    </w:p>
    <w:p>
      <w:pPr>
        <w:pStyle w:val="Normal"/>
        <w:ind w:firstLine="567"/>
        <w:jc w:val="both"/>
        <w:rPr>
          <w:rFonts w:eastAsia="Tahoma"/>
          <w:color w:val="000000"/>
          <w:sz w:val="24"/>
          <w:szCs w:val="24"/>
        </w:rPr>
      </w:pPr>
      <w:r>
        <w:rPr>
          <w:rFonts w:eastAsia="Tahoma"/>
          <w:color w:val="000000"/>
          <w:sz w:val="24"/>
          <w:szCs w:val="24"/>
        </w:rPr>
      </w:r>
    </w:p>
    <w:p>
      <w:pPr>
        <w:pStyle w:val="Heading4"/>
        <w:numPr>
          <w:ilvl w:val="1"/>
          <w:numId w:val="10"/>
        </w:numPr>
        <w:rPr/>
      </w:pPr>
      <w:bookmarkStart w:id="7" w:name="_Toc46743507"/>
      <w:bookmarkStart w:id="8" w:name="_Toc183011370"/>
      <w:bookmarkStart w:id="9" w:name="_Toc54643698"/>
      <w:bookmarkStart w:id="10" w:name="_Toc46743508"/>
      <w:r>
        <w:rPr/>
        <w:t>Существующее положение</w:t>
      </w:r>
      <w:bookmarkEnd w:id="7"/>
      <w:bookmarkEnd w:id="8"/>
      <w:bookmarkEnd w:id="9"/>
      <w:bookmarkEnd w:id="10"/>
    </w:p>
    <w:p>
      <w:pPr>
        <w:pStyle w:val="Normal"/>
        <w:widowControl w:val="false"/>
        <w:jc w:val="both"/>
        <w:rPr>
          <w:sz w:val="24"/>
          <w:szCs w:val="24"/>
        </w:rPr>
      </w:pPr>
      <w:r>
        <w:rPr>
          <w:sz w:val="24"/>
          <w:szCs w:val="24"/>
        </w:rPr>
        <w:t>Таблица 1. Перечень объектов заказчика</w:t>
      </w:r>
    </w:p>
    <w:tbl>
      <w:tblPr>
        <w:tblW w:w="9952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63"/>
        <w:gridCol w:w="2726"/>
        <w:gridCol w:w="3651"/>
        <w:gridCol w:w="3011"/>
      </w:tblGrid>
      <w:tr>
        <w:trPr/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объекта</w:t>
            </w:r>
          </w:p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Расположение объектов </w:t>
            </w:r>
          </w:p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(место оказания услуг)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Примечания</w:t>
            </w:r>
          </w:p>
        </w:tc>
      </w:tr>
      <w:tr>
        <w:trPr/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>
        <w:trPr>
          <w:trHeight w:val="881" w:hRule="atLeast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Помещения медпунктов ОП «Чиркейская ГЭС» и ОП «Ирганайская ГЭС»</w:t>
            </w: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Российская Федерация. Республика Дагестан, Филиал ПАО «РусГидро» - «Дагестанский филиал»:</w:t>
            </w:r>
          </w:p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Буйнакский район, селение Чиркей,  Чиркейская ГЭС;</w:t>
            </w:r>
          </w:p>
          <w:p>
            <w:pPr>
              <w:pStyle w:val="Normal"/>
              <w:widowControl w:val="false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</w:r>
          </w:p>
          <w:p>
            <w:pPr>
              <w:pStyle w:val="Normal"/>
              <w:widowControl w:val="false"/>
              <w:jc w:val="both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- Унцукульский район, пгт Шамилькала, Ирганайская ГЭС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Обслуживаемая численность:</w:t>
            </w:r>
          </w:p>
          <w:p>
            <w:pPr>
              <w:pStyle w:val="Normal"/>
              <w:widowControl w:val="false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- Чиркейская ГЭС - 126 человек</w:t>
            </w:r>
          </w:p>
          <w:p>
            <w:pPr>
              <w:pStyle w:val="Normal"/>
              <w:widowControl w:val="false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</w:r>
          </w:p>
          <w:p>
            <w:pPr>
              <w:pStyle w:val="Normal"/>
              <w:widowControl w:val="false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- Ирганайская ГЭС  - 109 человек</w:t>
            </w:r>
          </w:p>
        </w:tc>
      </w:tr>
    </w:tbl>
    <w:p>
      <w:pPr>
        <w:pStyle w:val="Normal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</w:r>
    </w:p>
    <w:p>
      <w:pPr>
        <w:pStyle w:val="Normal"/>
        <w:ind w:firstLine="567"/>
        <w:jc w:val="both"/>
        <w:rPr>
          <w:sz w:val="22"/>
          <w:szCs w:val="22"/>
          <w:lang w:eastAsia="x-none"/>
        </w:rPr>
      </w:pPr>
      <w:r>
        <w:rPr>
          <w:sz w:val="22"/>
          <w:szCs w:val="22"/>
          <w:lang w:eastAsia="x-none"/>
        </w:rPr>
        <w:t>Услуги оказываются в соответствии с техническими требованиями и объемом услуг, указанных в Приложениях к настоящим Техническим требованиям.</w:t>
      </w:r>
    </w:p>
    <w:p>
      <w:pPr>
        <w:pStyle w:val="Normal"/>
        <w:ind w:firstLine="567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Услуги оказываются на территории ОП «Чиркейская ГЭС» и ОП «Ирганайская ГЭС».</w:t>
      </w:r>
    </w:p>
    <w:p>
      <w:pPr>
        <w:pStyle w:val="Normal"/>
        <w:ind w:firstLine="567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Заказчик предоставляет Исполнителю:</w:t>
      </w:r>
    </w:p>
    <w:p>
      <w:pPr>
        <w:pStyle w:val="Normal"/>
        <w:tabs>
          <w:tab w:val="clear" w:pos="708"/>
          <w:tab w:val="left" w:pos="284" w:leader="none"/>
        </w:tabs>
        <w:ind w:firstLine="284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1. Следующие виды ресурсов:</w:t>
      </w:r>
    </w:p>
    <w:p>
      <w:pPr>
        <w:pStyle w:val="ListParagraph"/>
        <w:numPr>
          <w:ilvl w:val="1"/>
          <w:numId w:val="12"/>
        </w:numPr>
        <w:ind w:left="1134" w:hanging="425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Электроэнергия;</w:t>
      </w:r>
    </w:p>
    <w:p>
      <w:pPr>
        <w:pStyle w:val="ListParagraph"/>
        <w:numPr>
          <w:ilvl w:val="1"/>
          <w:numId w:val="12"/>
        </w:numPr>
        <w:ind w:left="1134" w:hanging="425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Вода;</w:t>
      </w:r>
    </w:p>
    <w:p>
      <w:pPr>
        <w:pStyle w:val="ListParagraph"/>
        <w:numPr>
          <w:ilvl w:val="1"/>
          <w:numId w:val="12"/>
        </w:numPr>
        <w:ind w:left="1134" w:hanging="425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Доступ в сети интернет;</w:t>
      </w:r>
    </w:p>
    <w:p>
      <w:pPr>
        <w:pStyle w:val="ListParagraph"/>
        <w:ind w:left="1134" w:hanging="425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</w:r>
    </w:p>
    <w:p>
      <w:pPr>
        <w:pStyle w:val="ListParagraph"/>
        <w:ind w:left="709" w:hanging="0"/>
        <w:jc w:val="both"/>
        <w:rPr/>
      </w:pPr>
      <w:r>
        <w:rPr/>
        <w:t>После подготовки помещений (на Чиркейской ГЭС и Ирганайской ГЭС) заказчиком и предоставления их исполнителю работ *:</w:t>
      </w:r>
    </w:p>
    <w:p>
      <w:pPr>
        <w:pStyle w:val="ListParagraph"/>
        <w:numPr>
          <w:ilvl w:val="0"/>
          <w:numId w:val="9"/>
        </w:numPr>
        <w:ind w:left="0" w:firstLine="284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Персональный компьютер (системный блок, монитор, клавиатура, мышь) –2 шт.;</w:t>
      </w:r>
    </w:p>
    <w:p>
      <w:pPr>
        <w:pStyle w:val="ListParagraph"/>
        <w:numPr>
          <w:ilvl w:val="0"/>
          <w:numId w:val="9"/>
        </w:numPr>
        <w:ind w:left="0" w:firstLine="284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Принтер –2 шт.;</w:t>
      </w:r>
    </w:p>
    <w:p>
      <w:pPr>
        <w:pStyle w:val="ListParagraph"/>
        <w:numPr>
          <w:ilvl w:val="0"/>
          <w:numId w:val="9"/>
        </w:numPr>
        <w:ind w:left="0" w:firstLine="284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Сменные картриджи к принтеру;</w:t>
      </w:r>
    </w:p>
    <w:p>
      <w:pPr>
        <w:pStyle w:val="ListParagraph"/>
        <w:numPr>
          <w:ilvl w:val="0"/>
          <w:numId w:val="9"/>
        </w:numPr>
        <w:ind w:left="0" w:firstLine="284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Мебель (Шкаф, стол, кресло, стулья);</w:t>
      </w:r>
    </w:p>
    <w:p>
      <w:pPr>
        <w:pStyle w:val="ListParagraph"/>
        <w:numPr>
          <w:ilvl w:val="0"/>
          <w:numId w:val="9"/>
        </w:numPr>
        <w:ind w:left="0" w:firstLine="284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Кушетки медицинские – 4 шт.;</w:t>
      </w:r>
    </w:p>
    <w:p>
      <w:pPr>
        <w:pStyle w:val="ListParagraph"/>
        <w:numPr>
          <w:ilvl w:val="0"/>
          <w:numId w:val="9"/>
        </w:numPr>
        <w:ind w:left="0" w:firstLine="284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Холодильник – 2 шт.</w:t>
      </w:r>
    </w:p>
    <w:p>
      <w:pPr>
        <w:pStyle w:val="ListParagraph"/>
        <w:ind w:left="0" w:firstLine="284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</w:r>
    </w:p>
    <w:p>
      <w:pPr>
        <w:pStyle w:val="ListParagraph"/>
        <w:ind w:left="0" w:firstLine="284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</w:r>
    </w:p>
    <w:p>
      <w:pPr>
        <w:pStyle w:val="ListParagraph"/>
        <w:ind w:left="0" w:firstLine="284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</w:r>
    </w:p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  <w:pStyle w:val="ListParagraph"/>
        <w:ind w:left="0" w:firstLine="284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* Примечание. До предоставления подготовленных помещений и на период оформления медицинских лицензий, указанные ресурсы должны быть обеспечены исполнителем (контрагентом)</w:t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iCs/>
          <w:caps/>
          <w:lang w:val="ru-RU"/>
        </w:rPr>
      </w:pPr>
      <w:bookmarkStart w:id="11" w:name="_Toc183011372"/>
      <w:bookmarkStart w:id="12" w:name="_Toc51339693"/>
      <w:r>
        <w:rPr>
          <w:iCs/>
          <w:lang w:val="ru-RU"/>
        </w:rPr>
        <w:t>Требования</w:t>
      </w:r>
      <w:r>
        <w:rPr>
          <w:iCs/>
        </w:rPr>
        <w:t xml:space="preserve"> к продукции</w:t>
      </w:r>
      <w:bookmarkEnd w:id="11"/>
      <w:bookmarkEnd w:id="12"/>
    </w:p>
    <w:p>
      <w:pPr>
        <w:pStyle w:val="Heading4"/>
        <w:numPr>
          <w:ilvl w:val="1"/>
          <w:numId w:val="3"/>
        </w:numPr>
        <w:spacing w:before="0" w:after="0"/>
        <w:rPr/>
      </w:pPr>
      <w:bookmarkStart w:id="13" w:name="_Toc183011373"/>
      <w:r>
        <w:rPr/>
        <w:t xml:space="preserve">Требования к объемам и срокам </w:t>
      </w:r>
      <w:r>
        <w:rPr>
          <w:lang w:val="ru-RU"/>
        </w:rPr>
        <w:t>оказания услуг</w:t>
      </w:r>
      <w:bookmarkEnd w:id="13"/>
    </w:p>
    <w:p>
      <w:pPr>
        <w:pStyle w:val="Heading3"/>
        <w:numPr>
          <w:ilvl w:val="2"/>
          <w:numId w:val="3"/>
        </w:numPr>
        <w:spacing w:before="0" w:after="0"/>
        <w:rPr/>
      </w:pPr>
      <w:bookmarkStart w:id="14" w:name="_Toc183011374"/>
      <w:r>
        <w:rPr>
          <w:lang w:val="ru-RU"/>
        </w:rPr>
        <w:t>Требования к перечню и объему услуг</w:t>
      </w:r>
      <w:bookmarkEnd w:id="14"/>
    </w:p>
    <w:p>
      <w:pPr>
        <w:pStyle w:val="Heading1"/>
        <w:keepLines/>
        <w:numPr>
          <w:ilvl w:val="0"/>
          <w:numId w:val="0"/>
        </w:numPr>
        <w:spacing w:before="0" w:after="0"/>
        <w:ind w:left="0" w:hanging="0"/>
        <w:rPr>
          <w:sz w:val="24"/>
          <w:szCs w:val="24"/>
          <w:lang w:val="ru-RU"/>
        </w:rPr>
      </w:pPr>
      <w:bookmarkStart w:id="15" w:name="_Toc183011375"/>
      <w:bookmarkStart w:id="16" w:name="_Toc5133969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16"/>
      <w:r>
        <w:rPr>
          <w:sz w:val="24"/>
          <w:szCs w:val="24"/>
          <w:lang w:val="ru-RU"/>
        </w:rPr>
        <w:t>и объем оказываемых услуг</w:t>
      </w:r>
      <w:bookmarkEnd w:id="15"/>
    </w:p>
    <w:tbl>
      <w:tblPr>
        <w:tblW w:w="9811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30"/>
        <w:gridCol w:w="6286"/>
        <w:gridCol w:w="1293"/>
        <w:gridCol w:w="1401"/>
      </w:tblGrid>
      <w:tr>
        <w:trPr>
          <w:trHeight w:val="170" w:hRule="atLeast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услуг / этапа услуг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</w:p>
        </w:tc>
      </w:tr>
      <w:tr>
        <w:trPr>
          <w:trHeight w:val="170" w:hRule="atLeast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>
        <w:trPr>
          <w:trHeight w:val="170" w:hRule="atLeast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lef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Организация работы медпункта (лицензирование)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усл.ед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ед.</w:t>
            </w:r>
          </w:p>
        </w:tc>
      </w:tr>
      <w:tr>
        <w:trPr>
          <w:trHeight w:val="170" w:hRule="atLeast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lef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Style w:val="Style8"/>
                <w:bCs/>
                <w:iCs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 xml:space="preserve">Оказании </w:t>
            </w:r>
            <w:r>
              <w:rPr>
                <w:bCs/>
                <w:sz w:val="22"/>
                <w:szCs w:val="22"/>
              </w:rPr>
              <w:t>первой и неотложной медицинской помощи, обязательных к оказанию работникам филиала в медпункте, и иных мероприятий, выполняемых медицинским работником (Перечень мероприятий указан в Приложении №2 к настоящим Техническим требованиям)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усл.ед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left="0" w:hanging="0"/>
              <w:jc w:val="center"/>
              <w:rPr>
                <w:i/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2 ед.</w:t>
            </w:r>
          </w:p>
        </w:tc>
      </w:tr>
    </w:tbl>
    <w:p>
      <w:pPr>
        <w:pStyle w:val="Normal"/>
        <w:rPr>
          <w:lang w:eastAsia="x-none"/>
        </w:rPr>
      </w:pPr>
      <w:r>
        <w:rPr>
          <w:lang w:eastAsia="x-none"/>
        </w:rPr>
      </w:r>
    </w:p>
    <w:p>
      <w:pPr>
        <w:pStyle w:val="Heading3"/>
        <w:numPr>
          <w:ilvl w:val="2"/>
          <w:numId w:val="3"/>
        </w:numPr>
        <w:rPr>
          <w:lang w:val="ru-RU"/>
        </w:rPr>
      </w:pPr>
      <w:bookmarkStart w:id="17" w:name="_Toc183011376"/>
      <w:bookmarkStart w:id="18" w:name="_Toc51339696"/>
      <w:r>
        <w:rPr>
          <w:lang w:val="ru-RU"/>
        </w:rPr>
        <w:t xml:space="preserve">Требования </w:t>
      </w:r>
      <w:bookmarkEnd w:id="18"/>
      <w:r>
        <w:rPr>
          <w:lang w:val="ru-RU"/>
        </w:rPr>
        <w:t>к срокам оказания услуг</w:t>
      </w:r>
      <w:bookmarkEnd w:id="17"/>
    </w:p>
    <w:p>
      <w:pPr>
        <w:pStyle w:val="Heading1"/>
        <w:keepLines/>
        <w:numPr>
          <w:ilvl w:val="0"/>
          <w:numId w:val="0"/>
        </w:numPr>
        <w:spacing w:before="240" w:after="60"/>
        <w:ind w:left="0" w:hanging="0"/>
        <w:rPr>
          <w:sz w:val="24"/>
          <w:szCs w:val="24"/>
          <w:lang w:val="ru-RU"/>
        </w:rPr>
      </w:pPr>
      <w:bookmarkStart w:id="19" w:name="_Toc183011377"/>
      <w:bookmarkStart w:id="20" w:name="_Toc51339697"/>
      <w:bookmarkStart w:id="21" w:name="_Toc50125127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</w:t>
      </w:r>
      <w:bookmarkStart w:id="22" w:name="_Hlk50465284"/>
      <w:r>
        <w:rPr>
          <w:sz w:val="24"/>
          <w:szCs w:val="24"/>
        </w:rPr>
        <w:t xml:space="preserve">Требования </w:t>
      </w:r>
      <w:r>
        <w:rPr>
          <w:sz w:val="24"/>
          <w:szCs w:val="24"/>
          <w:lang w:val="ru-RU"/>
        </w:rPr>
        <w:t>к</w:t>
      </w:r>
      <w:r>
        <w:rPr>
          <w:sz w:val="24"/>
          <w:szCs w:val="24"/>
        </w:rPr>
        <w:t xml:space="preserve"> срокам </w:t>
      </w:r>
      <w:bookmarkEnd w:id="20"/>
      <w:bookmarkEnd w:id="21"/>
      <w:bookmarkEnd w:id="22"/>
      <w:r>
        <w:rPr>
          <w:sz w:val="24"/>
          <w:szCs w:val="24"/>
          <w:lang w:val="ru-RU"/>
        </w:rPr>
        <w:t>оказания услуг</w:t>
      </w:r>
      <w:bookmarkEnd w:id="19"/>
    </w:p>
    <w:tbl>
      <w:tblPr>
        <w:tblW w:w="10060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19"/>
        <w:gridCol w:w="3120"/>
        <w:gridCol w:w="1407"/>
        <w:gridCol w:w="1689"/>
        <w:gridCol w:w="3425"/>
      </w:tblGrid>
      <w:tr>
        <w:trPr/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</w:t>
            </w:r>
            <w:r>
              <w:rPr>
                <w:sz w:val="22"/>
                <w:szCs w:val="22"/>
              </w:rPr>
              <w:t>п/п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услуг/ этапа услуг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началу срока оказания услуг/ этапа услуг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окончанию срока оказания услуг / этапа услуг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Примечание</w:t>
            </w:r>
          </w:p>
        </w:tc>
      </w:tr>
      <w:tr>
        <w:trPr/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keepNext w:val="false"/>
              <w:widowControl w:val="false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keepNext w:val="false"/>
              <w:widowControl w:val="false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keepNext w:val="false"/>
              <w:widowControl w:val="false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Получение медицинской лицензии по адресу Заказчика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iCs/>
                <w:sz w:val="22"/>
                <w:szCs w:val="22"/>
              </w:rPr>
              <w:t>с момента предоставления готовых помещений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3-х месяцев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 xml:space="preserve">Участнику конкурса учесть: </w:t>
            </w:r>
            <w:r>
              <w:rPr>
                <w:rFonts w:eastAsia="Arial Unicode MS"/>
                <w:b/>
                <w:sz w:val="22"/>
                <w:szCs w:val="22"/>
              </w:rPr>
              <w:t>до предоставления подготовленных помещений и на период оформления медицинских лицензий, медицинские услуги должны быть оказаны с использованием мобильных медицинских бригад</w:t>
            </w:r>
          </w:p>
        </w:tc>
      </w:tr>
      <w:tr>
        <w:trPr/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eastAsia="Arial Unicode MS"/>
                <w:sz w:val="22"/>
                <w:szCs w:val="22"/>
              </w:rPr>
            </w:pPr>
            <w:r>
              <w:rPr>
                <w:sz w:val="22"/>
                <w:szCs w:val="22"/>
              </w:rPr>
              <w:t>Оказание услуг по медицинскому обслуживанию персонала Филиала ПАО «РусГидро» - «Дагестанский филиал» на базе фельдшерских медпунктов</w:t>
            </w:r>
            <w:r>
              <w:rPr>
                <w:rFonts w:eastAsia="Arial Unicode MS"/>
                <w:sz w:val="22"/>
                <w:szCs w:val="22"/>
              </w:rPr>
              <w:t xml:space="preserve"> 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iCs/>
                <w:sz w:val="22"/>
                <w:szCs w:val="22"/>
              </w:rPr>
              <w:t>с даты заключения договора</w:t>
            </w:r>
          </w:p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iCs/>
                <w:sz w:val="22"/>
                <w:szCs w:val="22"/>
              </w:rPr>
              <w:t>(но не ранее 01.05.2027)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24 месяцев с даты подписания договора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eastAsia="Arial Unicode MS"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Услуги оказываются согласно Графика (Приложение №11 к настоящим </w:t>
            </w:r>
            <w:r>
              <w:rPr>
                <w:sz w:val="22"/>
                <w:szCs w:val="22"/>
              </w:rPr>
              <w:t>Техническим требованиям</w:t>
            </w:r>
            <w:r>
              <w:rPr>
                <w:iCs/>
                <w:sz w:val="22"/>
                <w:szCs w:val="22"/>
              </w:rPr>
              <w:t>)</w:t>
            </w:r>
          </w:p>
        </w:tc>
      </w:tr>
    </w:tbl>
    <w:p>
      <w:pPr>
        <w:sectPr>
          <w:headerReference w:type="default" r:id="rId5"/>
          <w:headerReference w:type="first" r:id="rId6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3"/>
        </w:numPr>
        <w:rPr/>
      </w:pPr>
      <w:bookmarkStart w:id="23" w:name="_Toc50125131"/>
      <w:bookmarkStart w:id="24" w:name="_Toc51339698"/>
      <w:bookmarkStart w:id="25" w:name="_Toc183011378"/>
      <w:bookmarkStart w:id="26" w:name="_Toc46743511"/>
      <w:r>
        <w:rPr/>
        <w:t xml:space="preserve">Требования к </w:t>
      </w:r>
      <w:bookmarkEnd w:id="26"/>
      <w:r>
        <w:rPr>
          <w:lang w:val="ru-RU"/>
        </w:rPr>
        <w:t>качеству услуг</w:t>
      </w:r>
      <w:bookmarkEnd w:id="25"/>
    </w:p>
    <w:p>
      <w:pPr>
        <w:pStyle w:val="Heading1"/>
        <w:keepLines/>
        <w:numPr>
          <w:ilvl w:val="0"/>
          <w:numId w:val="0"/>
        </w:numPr>
        <w:spacing w:before="240" w:after="60"/>
        <w:ind w:left="0" w:hanging="0"/>
        <w:rPr>
          <w:b w:val="false"/>
          <w:bCs/>
          <w:sz w:val="24"/>
          <w:szCs w:val="24"/>
        </w:rPr>
      </w:pPr>
      <w:bookmarkStart w:id="27" w:name="_Toc183011379"/>
      <w:r>
        <w:rPr>
          <w:b w:val="false"/>
          <w:bCs/>
          <w:sz w:val="24"/>
          <w:szCs w:val="24"/>
        </w:rPr>
        <w:t>Таблица </w:t>
      </w:r>
      <w:r>
        <w:rPr>
          <w:b w:val="false"/>
          <w:bCs/>
          <w:sz w:val="24"/>
          <w:szCs w:val="24"/>
          <w:lang w:val="ru-RU"/>
        </w:rPr>
        <w:t>4</w:t>
      </w:r>
      <w:r>
        <w:rPr>
          <w:b w:val="false"/>
          <w:bCs/>
          <w:sz w:val="24"/>
          <w:szCs w:val="24"/>
        </w:rPr>
        <w:t>.</w:t>
      </w:r>
      <w:r>
        <w:rPr>
          <w:b w:val="false"/>
          <w:bCs/>
          <w:sz w:val="24"/>
          <w:szCs w:val="24"/>
          <w:lang w:val="ru-RU"/>
        </w:rPr>
        <w:t>1</w:t>
      </w:r>
      <w:r>
        <w:rPr>
          <w:b w:val="false"/>
          <w:bCs/>
          <w:sz w:val="24"/>
          <w:szCs w:val="24"/>
        </w:rPr>
        <w:t xml:space="preserve"> Требования к </w:t>
      </w:r>
      <w:bookmarkEnd w:id="23"/>
      <w:bookmarkEnd w:id="24"/>
      <w:r>
        <w:rPr>
          <w:b w:val="false"/>
          <w:bCs/>
          <w:sz w:val="24"/>
          <w:szCs w:val="24"/>
          <w:lang w:val="ru-RU"/>
        </w:rPr>
        <w:t>качеству услуг</w:t>
      </w:r>
      <w:bookmarkEnd w:id="27"/>
      <w:r>
        <w:rPr>
          <w:b w:val="false"/>
          <w:bCs/>
          <w:sz w:val="24"/>
          <w:szCs w:val="24"/>
        </w:rPr>
        <w:t xml:space="preserve"> </w:t>
      </w:r>
    </w:p>
    <w:tbl>
      <w:tblPr>
        <w:tblStyle w:val="affff7"/>
        <w:tblW w:w="14792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15"/>
        <w:gridCol w:w="2306"/>
        <w:gridCol w:w="5390"/>
        <w:gridCol w:w="1552"/>
        <w:gridCol w:w="2538"/>
        <w:gridCol w:w="1890"/>
      </w:tblGrid>
      <w:tr>
        <w:trPr>
          <w:tblHeader w:val="true"/>
          <w:trHeight w:val="170" w:hRule="atLeast"/>
        </w:trPr>
        <w:tc>
          <w:tcPr>
            <w:tcW w:w="1115" w:type="dxa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п/п</w:t>
            </w:r>
          </w:p>
        </w:tc>
        <w:tc>
          <w:tcPr>
            <w:tcW w:w="2306" w:type="dxa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5390" w:type="dxa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Требование заказчика</w:t>
            </w:r>
          </w:p>
        </w:tc>
        <w:tc>
          <w:tcPr>
            <w:tcW w:w="4090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189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>
          <w:tblHeader w:val="true"/>
          <w:trHeight w:val="170" w:hRule="atLeast"/>
        </w:trPr>
        <w:tc>
          <w:tcPr>
            <w:tcW w:w="1115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306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5390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155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3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89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</w:r>
          </w:p>
        </w:tc>
      </w:tr>
      <w:tr>
        <w:trPr>
          <w:tblHeader w:val="true"/>
          <w:trHeight w:val="170" w:hRule="atLeast"/>
        </w:trPr>
        <w:tc>
          <w:tcPr>
            <w:tcW w:w="111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1</w:t>
            </w:r>
          </w:p>
        </w:tc>
        <w:tc>
          <w:tcPr>
            <w:tcW w:w="230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2</w:t>
            </w:r>
          </w:p>
        </w:tc>
        <w:tc>
          <w:tcPr>
            <w:tcW w:w="539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3</w:t>
            </w:r>
          </w:p>
        </w:tc>
        <w:tc>
          <w:tcPr>
            <w:tcW w:w="155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4</w:t>
            </w:r>
          </w:p>
        </w:tc>
        <w:tc>
          <w:tcPr>
            <w:tcW w:w="253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5</w:t>
            </w:r>
          </w:p>
        </w:tc>
        <w:tc>
          <w:tcPr>
            <w:tcW w:w="189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6</w:t>
            </w:r>
          </w:p>
        </w:tc>
      </w:tr>
      <w:tr>
        <w:trPr>
          <w:trHeight w:val="170" w:hRule="atLeast"/>
        </w:trPr>
        <w:tc>
          <w:tcPr>
            <w:tcW w:w="1115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0" w:after="0"/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7696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 xml:space="preserve">Требования к оказанию услуг </w:t>
            </w:r>
          </w:p>
        </w:tc>
        <w:tc>
          <w:tcPr>
            <w:tcW w:w="1552" w:type="dxa"/>
            <w:tcBorders/>
            <w:shd w:color="auto" w:fill="auto" w:val="clear"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538" w:type="dxa"/>
            <w:tcBorders/>
            <w:shd w:color="auto" w:fill="auto" w:val="clear"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1890" w:type="dxa"/>
            <w:tcBorders/>
            <w:shd w:color="auto" w:fill="auto" w:val="clear"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>
          <w:trHeight w:val="170" w:hRule="atLeast"/>
        </w:trPr>
        <w:tc>
          <w:tcPr>
            <w:tcW w:w="1115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0" w:after="0"/>
              <w:ind w:left="-117" w:firstLine="142"/>
              <w:contextualSpacing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7696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 xml:space="preserve">Общие требования к оказанию услуг </w:t>
            </w:r>
          </w:p>
        </w:tc>
        <w:tc>
          <w:tcPr>
            <w:tcW w:w="1552" w:type="dxa"/>
            <w:tcBorders/>
            <w:shd w:color="auto" w:fill="auto" w:val="clear"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538" w:type="dxa"/>
            <w:tcBorders/>
            <w:shd w:color="auto" w:fill="auto" w:val="clear"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1890" w:type="dxa"/>
            <w:tcBorders/>
            <w:shd w:color="auto" w:fill="auto" w:val="clear"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>
          <w:trHeight w:val="170" w:hRule="atLeast"/>
        </w:trPr>
        <w:tc>
          <w:tcPr>
            <w:tcW w:w="1115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left="33" w:hanging="0"/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30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Arial Unicode MS" w:cs="Times New Roman"/>
                <w:kern w:val="0"/>
                <w:sz w:val="22"/>
                <w:szCs w:val="22"/>
                <w:lang w:val="ru-RU" w:eastAsia="ru-RU" w:bidi="ar-SA"/>
              </w:rPr>
              <w:t>Требования к лицензированию медицинской деятельности</w:t>
            </w:r>
          </w:p>
        </w:tc>
        <w:tc>
          <w:tcPr>
            <w:tcW w:w="539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en-US" w:bidi="ar-SA"/>
              </w:rPr>
              <w:t>До начала оказания услуг Исполнитель самостоятельно и за свой счет получает (переоформляет) лицензию на осуществление медицинской деятельности по адресу расположения обслуживаемых медпунктов(согласно Приложению № 10 к настоящим ТТ) в соответствии с требованиями Федерального закона от 04.05.2011 г. №99-ФЗ «О лицензировании отдельных видов деятельности» и в порядке согласно Постановления Правительства РФ от 01.06.2021 № 852 по следующим видам деятельности:</w:t>
            </w:r>
          </w:p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true"/>
              <w:spacing w:before="0" w:after="0"/>
              <w:ind w:left="0" w:hanging="0"/>
              <w:contextualSpacing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en-US" w:bidi="ar-SA"/>
              </w:rPr>
              <w:t>Медицинские осмотры (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en-US" w:bidi="ar-SA"/>
              </w:rPr>
              <w:t>предрейсовые, предсменные, послесменные, послерейсовые</w:t>
            </w:r>
            <w:r>
              <w:rPr>
                <w:rFonts w:cs="Times New Roman"/>
                <w:kern w:val="0"/>
                <w:sz w:val="22"/>
                <w:szCs w:val="22"/>
                <w:lang w:val="ru-RU" w:eastAsia="en-US" w:bidi="ar-SA"/>
              </w:rPr>
              <w:t xml:space="preserve">), лечебному делу, вакцинации (проведение профилактических прививок), 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en-US" w:bidi="ar-SA"/>
              </w:rPr>
              <w:t>сестринское дело;</w:t>
            </w:r>
          </w:p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true"/>
              <w:spacing w:before="0" w:after="0"/>
              <w:ind w:left="0" w:hanging="0"/>
              <w:contextualSpacing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en-US" w:bidi="ar-SA"/>
              </w:rPr>
              <w:t>Амбулаторно-поликлиническая помощь (первичная медико-санитарная помощь по терапии, функциональной диагностике);</w:t>
            </w:r>
          </w:p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true"/>
              <w:spacing w:before="0" w:after="0"/>
              <w:ind w:left="0" w:hanging="0"/>
              <w:contextualSpacing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До предоставления готовых помещений и на период оформления медицинской лицензии, медицинские услуги должны быть оказаны по месту нахождения Заказчика, с использованием передвижных медицинских мобильных комплексов либо медицинских модульных комплексов.</w:t>
            </w:r>
          </w:p>
        </w:tc>
        <w:tc>
          <w:tcPr>
            <w:tcW w:w="155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38" w:type="dxa"/>
            <w:tcBorders/>
            <w:shd w:color="auto" w:fill="auto" w:val="clear"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jc w:val="left"/>
              <w:outlineLvl w:val="2"/>
              <w:rPr>
                <w:rFonts w:eastAsia="Times New Roman"/>
                <w:b w:val="false"/>
                <w:i/>
                <w:i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i/>
                <w:kern w:val="0"/>
                <w:sz w:val="22"/>
                <w:szCs w:val="22"/>
                <w:lang w:val="ru-RU" w:eastAsia="ru-RU" w:bidi="ar-SA"/>
              </w:rPr>
              <w:t>Исполнитель на этапе заключения договора</w:t>
            </w:r>
            <w:r>
              <w:rPr>
                <w:rFonts w:eastAsia="Times New Roman" w:cs="Times New Roman"/>
                <w:b w:val="false"/>
                <w:i/>
                <w:kern w:val="0"/>
                <w:sz w:val="22"/>
                <w:szCs w:val="22"/>
                <w:lang w:val="ru-RU" w:eastAsia="ru-RU" w:bidi="ar-SA"/>
              </w:rPr>
              <w:t xml:space="preserve"> по итогам настоящей закупки (до момента его заключения) обязан предоставить Заказчику следующие документы:</w:t>
            </w:r>
          </w:p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jc w:val="left"/>
              <w:outlineLvl w:val="2"/>
              <w:rPr>
                <w:b w:val="false"/>
                <w:i/>
                <w:i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b w:val="false"/>
                <w:i/>
                <w:kern w:val="0"/>
                <w:sz w:val="22"/>
                <w:szCs w:val="22"/>
                <w:lang w:val="ru-RU" w:eastAsia="ru-RU" w:bidi="ar-SA"/>
              </w:rPr>
              <w:t xml:space="preserve">-Скан-копия </w:t>
            </w:r>
          </w:p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jc w:val="left"/>
              <w:outlineLvl w:val="2"/>
              <w:rPr>
                <w:rFonts w:eastAsia="Times New Roman"/>
                <w:b w:val="false"/>
                <w:i/>
                <w:i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i/>
                <w:spacing w:val="-2"/>
                <w:kern w:val="0"/>
                <w:sz w:val="22"/>
                <w:szCs w:val="22"/>
                <w:lang w:val="ru-RU" w:eastAsia="ru-RU" w:bidi="ar-SA"/>
              </w:rPr>
              <w:t>регистрационного удостоверения двух передвижных медицинских комплексов, -сертификаты (паспорты) транспортных средств, -технические паспорт на передвижные медицинские комплексы, с описанием схемы расположения кабинетов и входов. Данные из сертификатов (паспортов) транспортных средств должны соответствовать информации из регистрационных удостоверений на медицинские изделия: передвижных медицинских комплексов</w:t>
            </w:r>
          </w:p>
          <w:p>
            <w:pPr>
              <w:pStyle w:val="Style29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jc w:val="left"/>
              <w:outlineLvl w:val="2"/>
              <w:rPr>
                <w:rFonts w:eastAsia="Times New Roman"/>
                <w:b w:val="false"/>
                <w:i/>
                <w:i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i/>
                <w:kern w:val="0"/>
                <w:sz w:val="22"/>
                <w:szCs w:val="22"/>
                <w:lang w:val="ru-RU" w:eastAsia="ru-RU" w:bidi="ar-SA"/>
              </w:rPr>
            </w:r>
          </w:p>
          <w:p>
            <w:pPr>
              <w:pStyle w:val="Style29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jc w:val="left"/>
              <w:outlineLvl w:val="2"/>
              <w:rPr>
                <w:rFonts w:eastAsia="Times New Roman"/>
                <w:b w:val="false"/>
                <w:i/>
                <w:i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i/>
                <w:spacing w:val="-2"/>
                <w:kern w:val="0"/>
                <w:sz w:val="22"/>
                <w:szCs w:val="22"/>
                <w:lang w:val="ru-RU" w:eastAsia="ru-RU" w:bidi="ar-SA"/>
              </w:rPr>
              <w:t xml:space="preserve">Либо </w:t>
            </w:r>
          </w:p>
          <w:p>
            <w:pPr>
              <w:pStyle w:val="Style29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jc w:val="left"/>
              <w:outlineLvl w:val="2"/>
              <w:rPr>
                <w:rFonts w:eastAsia="Times New Roman"/>
                <w:b w:val="false"/>
                <w:i/>
                <w:i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i/>
                <w:kern w:val="0"/>
                <w:sz w:val="22"/>
                <w:szCs w:val="22"/>
                <w:lang w:val="ru-RU" w:eastAsia="ru-RU" w:bidi="ar-SA"/>
              </w:rPr>
            </w:r>
          </w:p>
          <w:p>
            <w:pPr>
              <w:pStyle w:val="Style29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jc w:val="left"/>
              <w:outlineLvl w:val="2"/>
              <w:rPr>
                <w:rFonts w:eastAsia="Times New Roman"/>
                <w:b w:val="false"/>
                <w:i/>
                <w:i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i/>
                <w:spacing w:val="-2"/>
                <w:kern w:val="0"/>
                <w:sz w:val="22"/>
                <w:szCs w:val="22"/>
                <w:lang w:val="ru-RU" w:eastAsia="ru-RU" w:bidi="ar-SA"/>
              </w:rPr>
              <w:t>Паспорта, сертификата на  модульный медицинский комплекс.</w:t>
            </w:r>
          </w:p>
          <w:p>
            <w:pPr>
              <w:pStyle w:val="Style29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jc w:val="left"/>
              <w:outlineLvl w:val="2"/>
              <w:rPr>
                <w:rFonts w:eastAsia="Times New Roman"/>
                <w:b w:val="false"/>
                <w:i/>
                <w:i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i/>
                <w:kern w:val="0"/>
                <w:sz w:val="22"/>
                <w:szCs w:val="22"/>
                <w:lang w:val="ru-RU" w:eastAsia="ru-RU" w:bidi="ar-SA"/>
              </w:rPr>
            </w:r>
          </w:p>
          <w:p>
            <w:pPr>
              <w:pStyle w:val="Style29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jc w:val="left"/>
              <w:outlineLvl w:val="2"/>
              <w:rPr>
                <w:rFonts w:eastAsia="Times New Roman"/>
                <w:b w:val="false"/>
                <w:i/>
                <w:i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i/>
                <w:spacing w:val="-2"/>
                <w:kern w:val="0"/>
                <w:sz w:val="22"/>
                <w:szCs w:val="22"/>
                <w:lang w:val="ru-RU" w:eastAsia="ru-RU" w:bidi="ar-SA"/>
              </w:rPr>
              <w:t>Непредставление вышеуказанных документов будет расценено как уклонение от заключения договора.</w:t>
            </w:r>
          </w:p>
        </w:tc>
        <w:tc>
          <w:tcPr>
            <w:tcW w:w="189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>
          <w:trHeight w:val="170" w:hRule="atLeast"/>
        </w:trPr>
        <w:tc>
          <w:tcPr>
            <w:tcW w:w="1115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left="33" w:hanging="0"/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30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Arial Unicode MS"/>
                <w:sz w:val="22"/>
                <w:szCs w:val="22"/>
              </w:rPr>
            </w:pPr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val="ru-RU" w:eastAsia="ru-RU" w:bidi="ar-SA"/>
              </w:rPr>
              <w:t>Специальное требование</w:t>
            </w:r>
          </w:p>
        </w:tc>
        <w:tc>
          <w:tcPr>
            <w:tcW w:w="539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Исполнитель должен обладать специальной правоспособностью в соответствии с действующим законодательством РФ, связанной с правом осуществлением видов деятельности, предусмотренных настоящими Техническими требованиями, в том числе необходимыми лицензиями (допусками,  свидетельствами об аккредитации специалиста и т.п.) и иными разрешениями  на выполнение работ или оказание услуг</w:t>
            </w:r>
          </w:p>
        </w:tc>
        <w:tc>
          <w:tcPr>
            <w:tcW w:w="155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2"/>
                <w:szCs w:val="22"/>
                <w:lang w:val="en-US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en-US" w:eastAsia="ru-RU" w:bidi="ar-SA"/>
              </w:rPr>
              <w:t>-</w:t>
            </w:r>
          </w:p>
        </w:tc>
        <w:tc>
          <w:tcPr>
            <w:tcW w:w="2538" w:type="dxa"/>
            <w:tcBorders/>
            <w:shd w:color="auto" w:fill="auto" w:val="clear"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jc w:val="left"/>
              <w:outlineLvl w:val="2"/>
              <w:rPr>
                <w:b w:val="false"/>
                <w:sz w:val="22"/>
                <w:szCs w:val="22"/>
              </w:rPr>
            </w:pPr>
            <w:r>
              <w:rPr>
                <w:rFonts w:eastAsia="Times New Roman" w:cs="Times New Roman"/>
                <w:b w:val="false"/>
                <w:i/>
                <w:iCs/>
                <w:kern w:val="0"/>
                <w:sz w:val="22"/>
                <w:szCs w:val="22"/>
                <w:lang w:val="ru-RU" w:eastAsia="ru-RU" w:bidi="ar-SA"/>
              </w:rPr>
              <w:t>Скан копии документов, либо адрес сайта или страницы сайта в информационно-телекоммуникационной сети "Интернет", на которых размещена информация или документы в случае, если они содержатся в открытых и общедоступных государственных реестрах, сайтах организаций, выдавших разрешающие документы</w:t>
            </w:r>
          </w:p>
        </w:tc>
        <w:tc>
          <w:tcPr>
            <w:tcW w:w="189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>
          <w:trHeight w:val="170" w:hRule="atLeast"/>
        </w:trPr>
        <w:tc>
          <w:tcPr>
            <w:tcW w:w="1115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left="1361" w:hanging="1199"/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30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 w:cs="Times New Roman"/>
                <w:kern w:val="0"/>
                <w:sz w:val="22"/>
                <w:szCs w:val="22"/>
                <w:lang w:val="ru-RU" w:eastAsia="ru-RU" w:bidi="ar-SA"/>
              </w:rPr>
              <w:t>Требования к графику и режиму работы</w:t>
            </w:r>
          </w:p>
        </w:tc>
        <w:tc>
          <w:tcPr>
            <w:tcW w:w="539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Arial Unicode MS"/>
                <w:sz w:val="22"/>
                <w:szCs w:val="22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 xml:space="preserve">Услуги оказываются согласно графику (Приложение №11 к настоящим 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Техническим требованиям</w:t>
            </w: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 xml:space="preserve">) </w:t>
            </w:r>
          </w:p>
        </w:tc>
        <w:tc>
          <w:tcPr>
            <w:tcW w:w="155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38" w:type="dxa"/>
            <w:tcBorders/>
            <w:shd w:color="auto" w:fill="auto" w:val="clear"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jc w:val="left"/>
              <w:outlineLvl w:val="2"/>
              <w:rPr>
                <w:rFonts w:eastAsia="Times New Roman"/>
                <w:sz w:val="22"/>
                <w:szCs w:val="22"/>
                <w:lang w:val="ru-RU" w:eastAsia="ru-RU"/>
              </w:rPr>
            </w:pPr>
            <w:bookmarkStart w:id="28" w:name="_Toc182917762"/>
            <w:r>
              <w:rPr>
                <w:rFonts w:eastAsia="Times New Roman" w:cs="Times New Roman"/>
                <w:b w:val="false"/>
                <w:kern w:val="0"/>
                <w:sz w:val="22"/>
                <w:szCs w:val="22"/>
                <w:lang w:val="ru-RU" w:eastAsia="ru-RU" w:bidi="ar-SA"/>
              </w:rPr>
              <w:t>-//-</w:t>
            </w:r>
            <w:bookmarkEnd w:id="28"/>
          </w:p>
        </w:tc>
        <w:tc>
          <w:tcPr>
            <w:tcW w:w="189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>
          <w:trHeight w:val="170" w:hRule="atLeast"/>
        </w:trPr>
        <w:tc>
          <w:tcPr>
            <w:tcW w:w="1115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left="1361" w:hanging="1199"/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30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Arial Unicode MS"/>
                <w:sz w:val="22"/>
                <w:szCs w:val="22"/>
              </w:rPr>
            </w:pPr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val="ru-RU" w:eastAsia="ru-RU" w:bidi="ar-SA"/>
              </w:rPr>
              <w:t>Требования к безопасности труда</w:t>
            </w:r>
          </w:p>
        </w:tc>
        <w:tc>
          <w:tcPr>
            <w:tcW w:w="539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en-US" w:bidi="ar-SA"/>
              </w:rPr>
              <w:t>Исполнитель обеспечивает безопасность труда своего персонала в пределах оказываемого объема услуг согласно требованиям правил по охране труда и противопожарной безопасности.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Cs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en-US" w:bidi="ar-SA"/>
              </w:rPr>
              <w:t>Исполнитель обеспечивает прохождение своим персоналом инструктажа по охране труда и пожарной безопасности специалистами Заказчика, а также соблюдение требований пропускного режима, информационной безопасности, действующих на территории Заказчика</w:t>
            </w:r>
          </w:p>
        </w:tc>
        <w:tc>
          <w:tcPr>
            <w:tcW w:w="155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38" w:type="dxa"/>
            <w:tcBorders/>
            <w:shd w:color="auto" w:fill="auto" w:val="clear"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jc w:val="left"/>
              <w:outlineLvl w:val="2"/>
              <w:rPr>
                <w:b w:val="false"/>
                <w:sz w:val="22"/>
                <w:szCs w:val="22"/>
              </w:rPr>
            </w:pPr>
            <w:r>
              <w:rPr>
                <w:rFonts w:eastAsia="Times New Roman" w:cs="Times New Roman"/>
                <w:b w:val="false"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189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>
          <w:trHeight w:val="170" w:hRule="atLeast"/>
        </w:trPr>
        <w:tc>
          <w:tcPr>
            <w:tcW w:w="1115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left="1361" w:hanging="1199"/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30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val="ru-RU" w:eastAsia="ru-RU" w:bidi="ar-SA"/>
              </w:rPr>
              <w:t>Специальное требование</w:t>
            </w:r>
          </w:p>
        </w:tc>
        <w:tc>
          <w:tcPr>
            <w:tcW w:w="539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Исполнителем должно быть медицинское учреждение, не привлекавшийся в течение года до дня подачи заявки к административной ответственности за осуществление медицинской деятельности с грубыми нарушениями условий, предусмотренных лицензиями (ст.14.1 п.4 КОАП РФ)</w:t>
            </w:r>
          </w:p>
        </w:tc>
        <w:tc>
          <w:tcPr>
            <w:tcW w:w="155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38" w:type="dxa"/>
            <w:tcBorders/>
            <w:shd w:color="auto" w:fill="auto" w:val="clear"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jc w:val="left"/>
              <w:outlineLvl w:val="2"/>
              <w:rPr>
                <w:b w:val="false"/>
                <w:sz w:val="22"/>
                <w:szCs w:val="22"/>
              </w:rPr>
            </w:pPr>
            <w:r>
              <w:rPr>
                <w:rFonts w:eastAsia="Times New Roman" w:cs="Times New Roman"/>
                <w:b w:val="false"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189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>
          <w:trHeight w:val="170" w:hRule="atLeast"/>
        </w:trPr>
        <w:tc>
          <w:tcPr>
            <w:tcW w:w="1115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0" w:after="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7696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способам оказания услуг</w:t>
            </w:r>
          </w:p>
        </w:tc>
        <w:tc>
          <w:tcPr>
            <w:tcW w:w="1552" w:type="dxa"/>
            <w:tcBorders/>
            <w:shd w:color="auto" w:fill="auto" w:val="clear"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538" w:type="dxa"/>
            <w:tcBorders/>
            <w:shd w:color="auto" w:fill="auto" w:val="clear"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1890" w:type="dxa"/>
            <w:tcBorders/>
            <w:shd w:color="auto" w:fill="auto" w:val="clear"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>
          <w:trHeight w:val="170" w:hRule="atLeast"/>
        </w:trPr>
        <w:tc>
          <w:tcPr>
            <w:tcW w:w="1115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left="-109" w:hanging="0"/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306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Требования к деятельности медпункта и фельдшера медпункта</w:t>
            </w:r>
          </w:p>
        </w:tc>
        <w:tc>
          <w:tcPr>
            <w:tcW w:w="539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При оказании услуг исполнитель должен руководствоваться с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анитарно-эпидемиологическими и иными требованиями к деятельности медпункта согласно Приложению № 4 к настоящим Техническим требованиям</w:t>
            </w:r>
          </w:p>
        </w:tc>
        <w:tc>
          <w:tcPr>
            <w:tcW w:w="155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38" w:type="dxa"/>
            <w:tcBorders/>
            <w:shd w:color="auto" w:fill="auto" w:val="clear"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jc w:val="left"/>
              <w:outlineLvl w:val="2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 w:val="false"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1890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>
          <w:trHeight w:val="170" w:hRule="atLeast"/>
        </w:trPr>
        <w:tc>
          <w:tcPr>
            <w:tcW w:w="1115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left="1361" w:hanging="1199"/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306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Требования к деятельности фельдшера</w:t>
            </w:r>
          </w:p>
        </w:tc>
        <w:tc>
          <w:tcPr>
            <w:tcW w:w="539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Требования к деятельности фельдшера должны соответствовать Приложению № 8 к настоящим Техническим требованиям</w:t>
            </w:r>
          </w:p>
        </w:tc>
        <w:tc>
          <w:tcPr>
            <w:tcW w:w="155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38" w:type="dxa"/>
            <w:tcBorders/>
            <w:shd w:color="auto" w:fill="auto" w:val="clear"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jc w:val="left"/>
              <w:outlineLvl w:val="2"/>
              <w:rPr>
                <w:b w:val="false"/>
                <w:sz w:val="22"/>
                <w:szCs w:val="22"/>
              </w:rPr>
            </w:pPr>
            <w:r>
              <w:rPr>
                <w:rFonts w:eastAsia="Times New Roman" w:cs="Times New Roman"/>
                <w:b w:val="false"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1890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>
          <w:trHeight w:val="170" w:hRule="atLeast"/>
        </w:trPr>
        <w:tc>
          <w:tcPr>
            <w:tcW w:w="1115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left="1361" w:hanging="1199"/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306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Cs/>
                <w:kern w:val="0"/>
                <w:sz w:val="22"/>
                <w:szCs w:val="22"/>
                <w:lang w:val="ru-RU" w:eastAsia="ru-RU" w:bidi="ar-SA"/>
              </w:rPr>
              <w:t>Требования к оснащению медпункта</w:t>
            </w:r>
          </w:p>
        </w:tc>
        <w:tc>
          <w:tcPr>
            <w:tcW w:w="539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Исполнитель за свой счет приобретает/обеспечивает медицинские/лекарственные препараты и расходные материалы для оказания услуг в соответствии с приложениями №2 и №4, а также обеспечивает оснащение необходимым медицинским имуществом и оборудованием в соответствии </w:t>
            </w:r>
            <w:r>
              <w:rPr>
                <w:rFonts w:eastAsia="Arial Unicode MS" w:cs="Times New Roman"/>
                <w:kern w:val="0"/>
                <w:sz w:val="22"/>
                <w:szCs w:val="22"/>
                <w:lang w:val="ru-RU" w:eastAsia="ru-RU" w:bidi="ar-SA"/>
              </w:rPr>
              <w:t xml:space="preserve">с Приложением №7 к настоящим 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Техническим требованиям</w:t>
            </w:r>
          </w:p>
        </w:tc>
        <w:tc>
          <w:tcPr>
            <w:tcW w:w="155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38" w:type="dxa"/>
            <w:tcBorders/>
            <w:shd w:color="auto" w:fill="auto" w:val="clear"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jc w:val="left"/>
              <w:outlineLvl w:val="2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 w:val="false"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1890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>
          <w:trHeight w:val="170" w:hRule="atLeast"/>
        </w:trPr>
        <w:tc>
          <w:tcPr>
            <w:tcW w:w="1115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14"/>
              </w:numPr>
              <w:suppressAutoHyphens w:val="true"/>
              <w:spacing w:before="0" w:after="0"/>
              <w:ind w:left="0" w:firstLine="33"/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7696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процедурам оказания услуг</w:t>
            </w:r>
          </w:p>
        </w:tc>
        <w:tc>
          <w:tcPr>
            <w:tcW w:w="155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538" w:type="dxa"/>
            <w:tcBorders/>
            <w:shd w:color="auto" w:fill="auto" w:val="clear"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jc w:val="left"/>
              <w:outlineLvl w:val="2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1890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</w:r>
          </w:p>
        </w:tc>
      </w:tr>
      <w:tr>
        <w:trPr>
          <w:trHeight w:val="170" w:hRule="atLeast"/>
        </w:trPr>
        <w:tc>
          <w:tcPr>
            <w:tcW w:w="1115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4"/>
              </w:numPr>
              <w:suppressAutoHyphens w:val="true"/>
              <w:spacing w:before="0" w:after="0"/>
              <w:ind w:left="-109" w:hanging="0"/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306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bCs/>
                <w:sz w:val="22"/>
                <w:szCs w:val="22"/>
              </w:rPr>
            </w:pPr>
            <w:r>
              <w:rPr>
                <w:rFonts w:eastAsia="Arial Unicode MS" w:cs="Times New Roman"/>
                <w:kern w:val="0"/>
                <w:sz w:val="22"/>
                <w:szCs w:val="22"/>
                <w:lang w:val="ru-RU" w:eastAsia="ru-RU" w:bidi="ar-SA"/>
              </w:rPr>
              <w:t>Требования к видам оказания услуг</w:t>
            </w:r>
          </w:p>
        </w:tc>
        <w:tc>
          <w:tcPr>
            <w:tcW w:w="539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en-US" w:bidi="ar-SA"/>
              </w:rPr>
              <w:t>Исполнитель оказывает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 услуги в соответствии с Приложением №2 к настоящим Техническим требованиям</w:t>
            </w:r>
          </w:p>
        </w:tc>
        <w:tc>
          <w:tcPr>
            <w:tcW w:w="155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38" w:type="dxa"/>
            <w:tcBorders/>
            <w:shd w:color="auto" w:fill="auto" w:val="clear"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jc w:val="left"/>
              <w:outlineLvl w:val="2"/>
              <w:rPr>
                <w:rFonts w:eastAsia="Times New Roman"/>
                <w:b w:val="false"/>
                <w:sz w:val="22"/>
                <w:szCs w:val="22"/>
                <w:lang w:val="ru-RU" w:eastAsia="ru-RU"/>
              </w:rPr>
            </w:pPr>
            <w:bookmarkStart w:id="29" w:name="_Toc182917764"/>
            <w:r>
              <w:rPr>
                <w:rFonts w:eastAsia="Times New Roman" w:cs="Times New Roman"/>
                <w:b w:val="false"/>
                <w:kern w:val="0"/>
                <w:sz w:val="22"/>
                <w:szCs w:val="22"/>
                <w:lang w:val="ru-RU" w:eastAsia="ru-RU" w:bidi="ar-SA"/>
              </w:rPr>
              <w:t>-//-</w:t>
            </w:r>
            <w:bookmarkEnd w:id="29"/>
          </w:p>
        </w:tc>
        <w:tc>
          <w:tcPr>
            <w:tcW w:w="1890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>
          <w:trHeight w:val="170" w:hRule="atLeast"/>
        </w:trPr>
        <w:tc>
          <w:tcPr>
            <w:tcW w:w="1115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4"/>
              </w:numPr>
              <w:suppressAutoHyphens w:val="true"/>
              <w:spacing w:before="0" w:after="0"/>
              <w:ind w:left="-109" w:hanging="0"/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306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 w:cs="Times New Roman"/>
                <w:kern w:val="0"/>
                <w:sz w:val="22"/>
                <w:szCs w:val="22"/>
                <w:lang w:val="ru-RU" w:eastAsia="ru-RU" w:bidi="ar-SA"/>
              </w:rPr>
              <w:t xml:space="preserve">Требования к проведению 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предсменных медицинских осмотров (контроля) (после закупки ЭСМО)</w:t>
            </w:r>
          </w:p>
        </w:tc>
        <w:tc>
          <w:tcPr>
            <w:tcW w:w="539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rFonts w:eastAsia="Tahoma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С применением аппаратно-программного комплекса (ЭСМО) проведение предсменных медицинских осмотров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en-US" w:bidi="ar-SA"/>
              </w:rPr>
              <w:t xml:space="preserve"> (контроля) (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Приложение №3 к настоящим Техническим требованиям)</w:t>
            </w:r>
          </w:p>
        </w:tc>
        <w:tc>
          <w:tcPr>
            <w:tcW w:w="155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38" w:type="dxa"/>
            <w:tcBorders/>
            <w:shd w:color="auto" w:fill="auto" w:val="clear"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jc w:val="left"/>
              <w:outlineLvl w:val="2"/>
              <w:rPr>
                <w:b w:val="false"/>
                <w:sz w:val="22"/>
                <w:szCs w:val="22"/>
              </w:rPr>
            </w:pPr>
            <w:r>
              <w:rPr>
                <w:rFonts w:eastAsia="Times New Roman" w:cs="Times New Roman"/>
                <w:b w:val="false"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1890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>
          <w:trHeight w:val="170" w:hRule="atLeast"/>
        </w:trPr>
        <w:tc>
          <w:tcPr>
            <w:tcW w:w="1115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4"/>
              </w:numPr>
              <w:suppressAutoHyphens w:val="true"/>
              <w:spacing w:before="0" w:after="0"/>
              <w:ind w:left="-109" w:hanging="0"/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306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 w:cs="Times New Roman"/>
                <w:kern w:val="0"/>
                <w:sz w:val="22"/>
                <w:szCs w:val="22"/>
                <w:lang w:val="ru-RU" w:eastAsia="ru-RU" w:bidi="ar-SA"/>
              </w:rPr>
              <w:t>Требования к проведению иммунопрофилактики</w:t>
            </w:r>
          </w:p>
        </w:tc>
        <w:tc>
          <w:tcPr>
            <w:tcW w:w="539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en-US" w:bidi="ar-SA"/>
              </w:rPr>
              <w:t xml:space="preserve">Исполнитель обеспечивает 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проведения вакцинации работников филиала согласно Приложения №5 к настоящим Техническим требованиям</w:t>
            </w:r>
          </w:p>
        </w:tc>
        <w:tc>
          <w:tcPr>
            <w:tcW w:w="155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38" w:type="dxa"/>
            <w:tcBorders/>
            <w:shd w:color="auto" w:fill="auto" w:val="clear"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jc w:val="left"/>
              <w:outlineLvl w:val="2"/>
              <w:rPr>
                <w:b w:val="false"/>
                <w:sz w:val="22"/>
                <w:szCs w:val="22"/>
              </w:rPr>
            </w:pPr>
            <w:r>
              <w:rPr>
                <w:rFonts w:eastAsia="Times New Roman" w:cs="Times New Roman"/>
                <w:b w:val="false"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1890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>
          <w:trHeight w:val="170" w:hRule="atLeast"/>
        </w:trPr>
        <w:tc>
          <w:tcPr>
            <w:tcW w:w="1115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4"/>
              </w:numPr>
              <w:suppressAutoHyphens w:val="true"/>
              <w:spacing w:before="0" w:after="0"/>
              <w:ind w:left="-109" w:hanging="0"/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306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 w:cs="Times New Roman"/>
                <w:kern w:val="0"/>
                <w:sz w:val="22"/>
                <w:szCs w:val="22"/>
                <w:lang w:val="ru-RU" w:eastAsia="ru-RU" w:bidi="ar-SA"/>
              </w:rPr>
              <w:t>Требования к квалификации медицинских работников</w:t>
            </w:r>
          </w:p>
        </w:tc>
        <w:tc>
          <w:tcPr>
            <w:tcW w:w="539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Arial Unicode MS"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Квалификационные требования к персоналу Исполнителя, кадровый состав работников, оказывающих медицинскую помощь для Филиала должны соответствовать Приложению № 9 к настоящим Техническим требованиям.</w:t>
            </w:r>
          </w:p>
        </w:tc>
        <w:tc>
          <w:tcPr>
            <w:tcW w:w="155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38" w:type="dxa"/>
            <w:tcBorders/>
            <w:shd w:color="auto" w:fill="auto" w:val="clear"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jc w:val="left"/>
              <w:outlineLvl w:val="2"/>
              <w:rPr>
                <w:rFonts w:eastAsia="Times New Roman"/>
                <w:b w:val="false"/>
                <w:sz w:val="22"/>
                <w:szCs w:val="22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iCs/>
                <w:kern w:val="0"/>
                <w:sz w:val="22"/>
                <w:szCs w:val="22"/>
                <w:lang w:val="ru-RU" w:eastAsia="ru-RU" w:bidi="ar-SA"/>
              </w:rPr>
              <w:t>Справка о кадровых ресурсах, а также копии действующих квалификационных документов, сертификатов на привлекаемых для исполнения договора работников (диплом специалиста, свидетельство об аккредитации, удостоверение о присвоении категории)</w:t>
            </w:r>
          </w:p>
        </w:tc>
        <w:tc>
          <w:tcPr>
            <w:tcW w:w="1890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>
          <w:trHeight w:val="170" w:hRule="atLeast"/>
        </w:trPr>
        <w:tc>
          <w:tcPr>
            <w:tcW w:w="1115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14"/>
              </w:numPr>
              <w:suppressAutoHyphens w:val="true"/>
              <w:spacing w:before="0" w:after="0"/>
              <w:ind w:left="33" w:hanging="33"/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7696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155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538" w:type="dxa"/>
            <w:tcBorders/>
            <w:shd w:color="auto" w:fill="auto" w:val="clear"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jc w:val="left"/>
              <w:outlineLvl w:val="2"/>
              <w:rPr>
                <w:b w:val="false"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1890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>
          <w:trHeight w:val="170" w:hRule="atLeast"/>
        </w:trPr>
        <w:tc>
          <w:tcPr>
            <w:tcW w:w="1115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4"/>
              </w:numPr>
              <w:suppressAutoHyphens w:val="true"/>
              <w:spacing w:before="0" w:after="0"/>
              <w:ind w:left="33" w:hanging="0"/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306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rFonts w:eastAsia="Arial Unicode MS"/>
                <w:sz w:val="22"/>
                <w:szCs w:val="22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 xml:space="preserve">Требования к используемым материалам и оборудованию </w:t>
            </w:r>
          </w:p>
        </w:tc>
        <w:tc>
          <w:tcPr>
            <w:tcW w:w="539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Перечень медицинского имущества и медоборудования, а также требования должны соответствовать</w:t>
            </w:r>
            <w:r>
              <w:rPr>
                <w:rFonts w:eastAsia="Arial Unicode MS" w:cs="Times New Roman"/>
                <w:kern w:val="0"/>
                <w:sz w:val="22"/>
                <w:szCs w:val="22"/>
                <w:lang w:val="ru-RU" w:eastAsia="ru-RU" w:bidi="ar-SA"/>
              </w:rPr>
              <w:t xml:space="preserve"> Приложению №7 к настоящим 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Техническим требованиям</w:t>
            </w:r>
          </w:p>
        </w:tc>
        <w:tc>
          <w:tcPr>
            <w:tcW w:w="155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38" w:type="dxa"/>
            <w:tcBorders/>
            <w:shd w:color="auto" w:fill="auto" w:val="clear"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jc w:val="left"/>
              <w:outlineLvl w:val="2"/>
              <w:rPr>
                <w:b w:val="false"/>
                <w:sz w:val="22"/>
                <w:szCs w:val="22"/>
              </w:rPr>
            </w:pPr>
            <w:r>
              <w:rPr>
                <w:rFonts w:eastAsia="Times New Roman" w:cs="Times New Roman"/>
                <w:b w:val="false"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1890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>
          <w:trHeight w:val="170" w:hRule="atLeast"/>
        </w:trPr>
        <w:tc>
          <w:tcPr>
            <w:tcW w:w="111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1.5</w:t>
            </w:r>
          </w:p>
        </w:tc>
        <w:tc>
          <w:tcPr>
            <w:tcW w:w="7696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персоналу исполнителя</w:t>
            </w:r>
          </w:p>
        </w:tc>
        <w:tc>
          <w:tcPr>
            <w:tcW w:w="155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538" w:type="dxa"/>
            <w:tcBorders/>
            <w:shd w:color="auto" w:fill="auto" w:val="clear"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jc w:val="left"/>
              <w:outlineLvl w:val="2"/>
              <w:rPr>
                <w:b w:val="false"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1890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>
          <w:trHeight w:val="170" w:hRule="atLeast"/>
        </w:trPr>
        <w:tc>
          <w:tcPr>
            <w:tcW w:w="1115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5"/>
              </w:numPr>
              <w:suppressAutoHyphens w:val="true"/>
              <w:spacing w:before="0" w:after="0"/>
              <w:ind w:left="0" w:hanging="0"/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306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iCs/>
                <w:sz w:val="22"/>
                <w:szCs w:val="22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Квалификация персонала исполнителя, привлекаемого к оказанию услуг</w:t>
            </w:r>
          </w:p>
        </w:tc>
        <w:tc>
          <w:tcPr>
            <w:tcW w:w="539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Квалификационные требования к персоналу Исполнителя, кадровый состав работников, оказывающих медицинскую помощь для филиала </w:t>
            </w:r>
            <w:r>
              <w:rPr>
                <w:rFonts w:eastAsia="Arial Unicode MS" w:cs="Times New Roman"/>
                <w:kern w:val="0"/>
                <w:sz w:val="22"/>
                <w:szCs w:val="22"/>
                <w:lang w:val="ru-RU" w:eastAsia="ru-RU" w:bidi="ar-SA"/>
              </w:rPr>
              <w:t xml:space="preserve">указаны в Приложении № 9 к настоящим 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Техническим требованиям</w:t>
            </w:r>
          </w:p>
        </w:tc>
        <w:tc>
          <w:tcPr>
            <w:tcW w:w="155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38" w:type="dxa"/>
            <w:tcBorders/>
            <w:shd w:color="auto" w:fill="auto" w:val="clear"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jc w:val="left"/>
              <w:outlineLvl w:val="2"/>
              <w:rPr>
                <w:b w:val="false"/>
                <w:sz w:val="22"/>
                <w:szCs w:val="22"/>
              </w:rPr>
            </w:pPr>
            <w:r>
              <w:rPr>
                <w:rFonts w:eastAsia="Times New Roman" w:cs="Times New Roman"/>
                <w:b w:val="false"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1890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>
          <w:trHeight w:val="170" w:hRule="atLeast"/>
        </w:trPr>
        <w:tc>
          <w:tcPr>
            <w:tcW w:w="1115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0" w:after="0"/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7696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Требования к результатам у</w:t>
            </w: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слуг</w:t>
            </w:r>
          </w:p>
        </w:tc>
        <w:tc>
          <w:tcPr>
            <w:tcW w:w="155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538" w:type="dxa"/>
            <w:tcBorders/>
            <w:shd w:color="auto" w:fill="auto" w:val="clear"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jc w:val="left"/>
              <w:outlineLvl w:val="2"/>
              <w:rPr>
                <w:b w:val="false"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1890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>
          <w:trHeight w:val="170" w:hRule="atLeast"/>
        </w:trPr>
        <w:tc>
          <w:tcPr>
            <w:tcW w:w="1115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13"/>
              </w:numPr>
              <w:suppressAutoHyphens w:val="true"/>
              <w:spacing w:before="0" w:after="0"/>
              <w:ind w:left="0" w:hanging="0"/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7696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Общие требования к результатам услуг</w:t>
            </w:r>
          </w:p>
        </w:tc>
        <w:tc>
          <w:tcPr>
            <w:tcW w:w="155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538" w:type="dxa"/>
            <w:tcBorders/>
            <w:shd w:color="auto" w:fill="auto" w:val="clear"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jc w:val="left"/>
              <w:outlineLvl w:val="2"/>
              <w:rPr>
                <w:b w:val="false"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1890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>
          <w:trHeight w:val="170" w:hRule="atLeast"/>
        </w:trPr>
        <w:tc>
          <w:tcPr>
            <w:tcW w:w="1115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left="33" w:hanging="0"/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306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iCs/>
                <w:sz w:val="22"/>
                <w:szCs w:val="22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Результат оказания услуг</w:t>
            </w:r>
          </w:p>
        </w:tc>
        <w:tc>
          <w:tcPr>
            <w:tcW w:w="539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Исполнитель при оказании услуг проводит </w:t>
            </w:r>
            <w:r>
              <w:rPr>
                <w:rFonts w:eastAsia="Tahoma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 xml:space="preserve">статистический учёт медицинских данных по работникам, а также 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анализ деятельности медпункта в части состояния здоровья работников. Учет и анализ деятельности медпункта указан в Приложении №6 к настоящим Техническим требованиям</w:t>
            </w:r>
          </w:p>
        </w:tc>
        <w:tc>
          <w:tcPr>
            <w:tcW w:w="155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38" w:type="dxa"/>
            <w:tcBorders/>
            <w:shd w:color="auto" w:fill="auto" w:val="clear"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jc w:val="left"/>
              <w:outlineLvl w:val="2"/>
              <w:rPr>
                <w:b w:val="false"/>
                <w:sz w:val="22"/>
                <w:szCs w:val="22"/>
              </w:rPr>
            </w:pPr>
            <w:r>
              <w:rPr>
                <w:rFonts w:eastAsia="Times New Roman" w:cs="Times New Roman"/>
                <w:b w:val="false"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1890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>
          <w:trHeight w:val="170" w:hRule="atLeast"/>
        </w:trPr>
        <w:tc>
          <w:tcPr>
            <w:tcW w:w="1115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13"/>
              </w:numPr>
              <w:suppressAutoHyphens w:val="true"/>
              <w:spacing w:before="0" w:after="0"/>
              <w:ind w:left="-109" w:hanging="0"/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7696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безопасности использования результата оказания услуг</w:t>
            </w:r>
          </w:p>
        </w:tc>
        <w:tc>
          <w:tcPr>
            <w:tcW w:w="155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538" w:type="dxa"/>
            <w:tcBorders/>
            <w:shd w:color="auto" w:fill="auto" w:val="clear"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jc w:val="left"/>
              <w:outlineLvl w:val="2"/>
              <w:rPr>
                <w:b w:val="false"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1890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>
          <w:trHeight w:val="170" w:hRule="atLeast"/>
        </w:trPr>
        <w:tc>
          <w:tcPr>
            <w:tcW w:w="1115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3"/>
              </w:numPr>
              <w:suppressAutoHyphens w:val="true"/>
              <w:spacing w:before="0" w:after="0"/>
              <w:ind w:left="33" w:hanging="0"/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30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2"/>
                <w:szCs w:val="22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Требования к информационной безопасности результата оказания услуг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539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en-US" w:bidi="ar-SA"/>
              </w:rPr>
              <w:t>При обработке персональных данных работников Заказчика Исполнитель обязуется принимать необходимые правовые, организационные и технические меры для обеспечения конфиденциальности персональных данных работников и обеспечивать безопасность персональных данных при их обработке в соответствии с Федеральным законом от 27.07.2006 № 152-ФЗ «О персональных данных».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rStyle w:val="FontStyle20"/>
                <w:rFonts w:eastAsia="SimSun" w:cs="Times New Roman"/>
                <w:kern w:val="0"/>
                <w:sz w:val="22"/>
                <w:szCs w:val="22"/>
                <w:lang w:val="ru-RU" w:eastAsia="ru-RU" w:bidi="ar-SA"/>
              </w:rPr>
              <w:t>Для передачи сведений, содержащих персональные данные и врачебную тайну необходимо использование защищенных каналов связи.</w:t>
            </w:r>
            <w:r>
              <w:rPr>
                <w:rFonts w:eastAsia="Arial Unicode MS" w:cs="Times New Roman"/>
                <w:kern w:val="0"/>
                <w:sz w:val="22"/>
                <w:szCs w:val="22"/>
                <w:lang w:val="ru-RU" w:eastAsia="ru-RU" w:bidi="ar-SA"/>
              </w:rPr>
              <w:tab/>
            </w:r>
          </w:p>
        </w:tc>
        <w:tc>
          <w:tcPr>
            <w:tcW w:w="155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38" w:type="dxa"/>
            <w:tcBorders/>
            <w:shd w:color="auto" w:fill="auto" w:val="clear"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jc w:val="left"/>
              <w:outlineLvl w:val="2"/>
              <w:rPr>
                <w:b w:val="false"/>
                <w:sz w:val="22"/>
                <w:szCs w:val="22"/>
              </w:rPr>
            </w:pPr>
            <w:r>
              <w:rPr>
                <w:rFonts w:eastAsia="Times New Roman" w:cs="Times New Roman"/>
                <w:b w:val="false"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1890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>
          <w:trHeight w:val="170" w:hRule="atLeast"/>
        </w:trPr>
        <w:tc>
          <w:tcPr>
            <w:tcW w:w="111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2134" w:hanging="2101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2.3</w:t>
            </w:r>
          </w:p>
        </w:tc>
        <w:tc>
          <w:tcPr>
            <w:tcW w:w="7696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155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538" w:type="dxa"/>
            <w:tcBorders/>
            <w:shd w:color="auto" w:fill="auto" w:val="clear"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jc w:val="left"/>
              <w:outlineLvl w:val="2"/>
              <w:rPr>
                <w:b w:val="false"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1890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>
          <w:trHeight w:val="170" w:hRule="atLeast"/>
        </w:trPr>
        <w:tc>
          <w:tcPr>
            <w:tcW w:w="1115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13"/>
              </w:numPr>
              <w:suppressAutoHyphens w:val="true"/>
              <w:spacing w:before="0" w:after="0"/>
              <w:ind w:left="33" w:hanging="0"/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306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 w:cs="Times New Roman"/>
                <w:kern w:val="0"/>
                <w:sz w:val="22"/>
                <w:szCs w:val="22"/>
                <w:lang w:val="ru-RU" w:eastAsia="ru-RU" w:bidi="ar-SA"/>
              </w:rPr>
              <w:t>Требования к отчетным документам по результатам оказания услуг</w:t>
            </w:r>
          </w:p>
        </w:tc>
        <w:tc>
          <w:tcPr>
            <w:tcW w:w="539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Требования к отчетности, предоставляемой Исполнителем Заказчику должна соответствовать Приложению №6 к настоящим Техническим требованиям</w:t>
            </w:r>
          </w:p>
        </w:tc>
        <w:tc>
          <w:tcPr>
            <w:tcW w:w="155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38" w:type="dxa"/>
            <w:tcBorders/>
            <w:shd w:color="auto" w:fill="auto" w:val="clear"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jc w:val="left"/>
              <w:outlineLvl w:val="2"/>
              <w:rPr>
                <w:b w:val="false"/>
                <w:sz w:val="22"/>
                <w:szCs w:val="22"/>
              </w:rPr>
            </w:pPr>
            <w:r>
              <w:rPr>
                <w:rFonts w:eastAsia="Times New Roman" w:cs="Times New Roman"/>
                <w:b w:val="false"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1890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>
          <w:trHeight w:val="170" w:hRule="atLeast"/>
        </w:trPr>
        <w:tc>
          <w:tcPr>
            <w:tcW w:w="111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2134" w:hanging="2101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3.</w:t>
            </w:r>
          </w:p>
        </w:tc>
        <w:tc>
          <w:tcPr>
            <w:tcW w:w="7696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соблюдению положений нормативной и иной обязательной для исполнителя документации,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определяемой видами услуг</w:t>
            </w:r>
          </w:p>
        </w:tc>
        <w:tc>
          <w:tcPr>
            <w:tcW w:w="155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538" w:type="dxa"/>
            <w:tcBorders/>
            <w:shd w:color="auto" w:fill="auto" w:val="clear"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jc w:val="left"/>
              <w:outlineLvl w:val="2"/>
              <w:rPr>
                <w:b w:val="false"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1890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>
          <w:trHeight w:val="170" w:hRule="atLeast"/>
        </w:trPr>
        <w:tc>
          <w:tcPr>
            <w:tcW w:w="111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4268" w:hanging="381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3.1.1</w:t>
            </w:r>
          </w:p>
        </w:tc>
        <w:tc>
          <w:tcPr>
            <w:tcW w:w="2306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rFonts w:eastAsia="Arial Unicode MS"/>
                <w:sz w:val="22"/>
                <w:szCs w:val="22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Соблюдение при выполнении услуг норм и правил нормативных документов</w:t>
            </w:r>
          </w:p>
        </w:tc>
        <w:tc>
          <w:tcPr>
            <w:tcW w:w="539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 xml:space="preserve">При оказании услуг исполнитель должен руководствоваться 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нормативными документами, регламентирующими медицинскую деятельность (Приложение №1 к настоящим Техническим требованиям) </w:t>
            </w:r>
          </w:p>
        </w:tc>
        <w:tc>
          <w:tcPr>
            <w:tcW w:w="155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38" w:type="dxa"/>
            <w:tcBorders/>
            <w:shd w:color="auto" w:fill="auto" w:val="clear"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jc w:val="left"/>
              <w:outlineLvl w:val="2"/>
              <w:rPr>
                <w:b w:val="false"/>
                <w:sz w:val="22"/>
                <w:szCs w:val="22"/>
              </w:rPr>
            </w:pPr>
            <w:r>
              <w:rPr>
                <w:rFonts w:eastAsia="Times New Roman" w:cs="Times New Roman"/>
                <w:b w:val="false"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1890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>
          <w:trHeight w:val="170" w:hRule="atLeast"/>
        </w:trPr>
        <w:tc>
          <w:tcPr>
            <w:tcW w:w="111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360" w:hanging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4.</w:t>
            </w:r>
          </w:p>
        </w:tc>
        <w:tc>
          <w:tcPr>
            <w:tcW w:w="7696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ответственности и гарантиям исполнителя</w:t>
            </w:r>
          </w:p>
        </w:tc>
        <w:tc>
          <w:tcPr>
            <w:tcW w:w="155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538" w:type="dxa"/>
            <w:tcBorders/>
            <w:shd w:color="auto" w:fill="auto" w:val="clear"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jc w:val="left"/>
              <w:outlineLvl w:val="2"/>
              <w:rPr>
                <w:b w:val="false"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1890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>
          <w:trHeight w:val="170" w:hRule="atLeast"/>
        </w:trPr>
        <w:tc>
          <w:tcPr>
            <w:tcW w:w="111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4268" w:hanging="381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4.1.1</w:t>
            </w:r>
          </w:p>
        </w:tc>
        <w:tc>
          <w:tcPr>
            <w:tcW w:w="2306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iCs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Исполнитель несет ответственность</w:t>
            </w:r>
          </w:p>
        </w:tc>
        <w:tc>
          <w:tcPr>
            <w:tcW w:w="539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Tahoma"/>
                <w:sz w:val="22"/>
                <w:szCs w:val="22"/>
              </w:rPr>
            </w:pPr>
            <w:r>
              <w:rPr>
                <w:rFonts w:eastAsia="Tahoma" w:cs="Times New Roman"/>
                <w:kern w:val="0"/>
                <w:sz w:val="22"/>
                <w:szCs w:val="22"/>
                <w:lang w:val="ru-RU" w:eastAsia="ru-RU" w:bidi="ar-SA"/>
              </w:rPr>
              <w:t>Исполнитель несет ответственность за свой персонал по соблюдению им правил охраны труда, санитарных норм и правил, противопожарной безопасности, внутриобъектового режима.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Cs/>
                <w:sz w:val="22"/>
                <w:szCs w:val="22"/>
              </w:rPr>
            </w:pPr>
            <w:r>
              <w:rPr>
                <w:rFonts w:eastAsia="Tahoma" w:cs="Times New Roman"/>
                <w:kern w:val="0"/>
                <w:sz w:val="22"/>
                <w:szCs w:val="22"/>
                <w:lang w:val="ru-RU" w:eastAsia="ru-RU" w:bidi="ar-SA"/>
              </w:rPr>
              <w:t>Исполнитель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 несет ответственность за сохранность имущества переданного Заказчиком для оказания услуг по </w:t>
            </w:r>
            <w:r>
              <w:rPr>
                <w:rFonts w:eastAsia="Tahoma" w:cs="Times New Roman"/>
                <w:kern w:val="0"/>
                <w:sz w:val="22"/>
                <w:szCs w:val="22"/>
                <w:lang w:val="ru-RU" w:eastAsia="ru-RU" w:bidi="ar-SA"/>
              </w:rPr>
              <w:t>акту</w:t>
            </w:r>
          </w:p>
        </w:tc>
        <w:tc>
          <w:tcPr>
            <w:tcW w:w="155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2"/>
                <w:szCs w:val="22"/>
              </w:rPr>
            </w:pPr>
            <w:r>
              <w:rPr>
                <w:rFonts w:eastAsia="Times New Roman" w:cs="Times New Roman"/>
                <w:iCs/>
                <w:color w:val="00000A"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38" w:type="dxa"/>
            <w:tcBorders/>
            <w:shd w:color="auto" w:fill="auto" w:val="clear"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jc w:val="left"/>
              <w:outlineLvl w:val="2"/>
              <w:rPr>
                <w:b w:val="false"/>
                <w:sz w:val="22"/>
                <w:szCs w:val="22"/>
              </w:rPr>
            </w:pPr>
            <w:r>
              <w:rPr>
                <w:rFonts w:eastAsia="Times New Roman" w:cs="Times New Roman"/>
                <w:b w:val="false"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1890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</w:tbl>
    <w:p>
      <w:pPr>
        <w:sectPr>
          <w:headerReference w:type="default" r:id="rId7"/>
          <w:headerReference w:type="first" r:id="rId8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Heading1"/>
        <w:keepLines/>
        <w:numPr>
          <w:ilvl w:val="0"/>
          <w:numId w:val="11"/>
        </w:numPr>
        <w:ind w:left="0" w:firstLine="360"/>
        <w:rPr>
          <w:sz w:val="24"/>
          <w:szCs w:val="24"/>
          <w:lang w:val="ru-RU"/>
        </w:rPr>
      </w:pPr>
      <w:bookmarkStart w:id="30" w:name="_Toc183011393"/>
      <w:bookmarkStart w:id="31" w:name="_Toc53395937"/>
      <w:bookmarkStart w:id="32" w:name="_Toc53393312"/>
      <w:r>
        <w:rPr>
          <w:sz w:val="24"/>
          <w:szCs w:val="24"/>
          <w:lang w:val="ru-RU"/>
        </w:rPr>
        <w:t>Требования к документации по ценообразованию</w:t>
      </w:r>
      <w:bookmarkEnd w:id="30"/>
      <w:bookmarkEnd w:id="31"/>
      <w:bookmarkEnd w:id="32"/>
    </w:p>
    <w:p>
      <w:pPr>
        <w:pStyle w:val="Heading4"/>
        <w:numPr>
          <w:ilvl w:val="0"/>
        </w:numPr>
        <w:tabs>
          <w:tab w:val="clear" w:pos="0"/>
        </w:tabs>
        <w:ind w:left="0" w:firstLine="360"/>
        <w:rPr/>
      </w:pPr>
      <w:bookmarkStart w:id="33" w:name="_Toc183011394"/>
      <w:r>
        <w:rPr>
          <w:lang w:val="ru-RU"/>
        </w:rPr>
        <w:t xml:space="preserve">3.1 </w:t>
      </w:r>
      <w:r>
        <w:rPr/>
        <w:t>Требования к документации по ценообразованию на этапе закупки</w:t>
      </w:r>
      <w:bookmarkEnd w:id="33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ind w:left="568" w:hanging="0"/>
        <w:jc w:val="both"/>
        <w:rPr>
          <w:i/>
          <w:i/>
          <w:sz w:val="24"/>
          <w:szCs w:val="24"/>
        </w:rPr>
      </w:pPr>
      <w:r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В обоснование стоимости заявки участник предоставляет коммерческое предложение по установленной в Документации о закупке форме (с учетом прилагаемых к ней инструкций по заполнению).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ind w:firstLine="360"/>
        <w:jc w:val="both"/>
        <w:rPr>
          <w:i/>
          <w:i/>
          <w:sz w:val="22"/>
          <w:szCs w:val="22"/>
        </w:rPr>
      </w:pPr>
      <w:r>
        <w:rPr>
          <w:i/>
          <w:sz w:val="22"/>
          <w:szCs w:val="22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ind w:firstLine="36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3.2. Требования к документации по ценообразованию на этапе заключения договора.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ind w:firstLine="360"/>
        <w:jc w:val="both"/>
        <w:rPr>
          <w:i/>
          <w:i/>
          <w:sz w:val="22"/>
          <w:szCs w:val="22"/>
        </w:rPr>
      </w:pPr>
      <w:r>
        <w:rPr>
          <w:i/>
          <w:sz w:val="22"/>
          <w:szCs w:val="22"/>
        </w:rPr>
        <w:t>3.2.1. По результатам настоящей закупки заключается договор с ценой, указанной в заявке Участника, с которым принято решение заключить договор.</w:t>
      </w:r>
    </w:p>
    <w:p>
      <w:pPr>
        <w:sectPr>
          <w:headerReference w:type="default" r:id="rId9"/>
          <w:headerReference w:type="first" r:id="rId10"/>
          <w:type w:val="nextPage"/>
          <w:pgSz w:w="11906" w:h="16838"/>
          <w:pgMar w:left="851" w:right="851" w:gutter="0" w:header="680" w:top="737" w:footer="0" w:bottom="992"/>
          <w:pgNumType w:fmt="decimal"/>
          <w:formProt w:val="false"/>
          <w:textDirection w:val="lrTb"/>
          <w:docGrid w:type="default" w:linePitch="381" w:charSpace="0"/>
        </w:sectPr>
        <w:pStyle w:val="Normal"/>
        <w:tabs>
          <w:tab w:val="clear" w:pos="708"/>
          <w:tab w:val="left" w:pos="6023" w:leader="none"/>
        </w:tabs>
        <w:ind w:firstLine="360"/>
        <w:rPr>
          <w:i/>
          <w:i/>
          <w:sz w:val="22"/>
          <w:szCs w:val="22"/>
        </w:rPr>
      </w:pPr>
      <w:bookmarkStart w:id="34" w:name="_Toc51339699"/>
      <w:bookmarkStart w:id="35" w:name="_Toc46743519"/>
      <w:r>
        <w:rPr>
          <w:i/>
          <w:sz w:val="22"/>
          <w:szCs w:val="22"/>
        </w:rPr>
        <w:t>3.2.2. До заключения договора участник предоставляет расчет (экономически обоснованных затрат) стоимости  оказываемы</w:t>
      </w:r>
      <w:bookmarkEnd w:id="34"/>
      <w:bookmarkEnd w:id="35"/>
      <w:r>
        <w:rPr>
          <w:i/>
          <w:sz w:val="22"/>
          <w:szCs w:val="22"/>
        </w:rPr>
        <w:t>х услуг.</w:t>
      </w:r>
    </w:p>
    <w:p>
      <w:pPr>
        <w:pStyle w:val="Normal"/>
        <w:rPr>
          <w:rFonts w:eastAsia="Calibri"/>
          <w:b/>
          <w:bCs/>
          <w:sz w:val="24"/>
          <w:lang w:eastAsia="x-none"/>
        </w:rPr>
      </w:pPr>
      <w:bookmarkStart w:id="36" w:name="_GoBack_Копия_1"/>
      <w:bookmarkEnd w:id="36"/>
      <w:r>
        <w:rPr>
          <w:rFonts w:eastAsia="Calibri"/>
          <w:b/>
          <w:bCs/>
          <w:sz w:val="24"/>
          <w:lang w:eastAsia="x-none"/>
        </w:rPr>
        <w:t>5. Приложения:</w:t>
      </w:r>
    </w:p>
    <w:p>
      <w:pPr>
        <w:pStyle w:val="Normal"/>
        <w:rPr>
          <w:rFonts w:eastAsia="Calibri"/>
          <w:b/>
          <w:bCs/>
          <w:sz w:val="24"/>
          <w:lang w:eastAsia="x-none"/>
        </w:rPr>
      </w:pPr>
      <w:r>
        <w:rPr>
          <w:rFonts w:eastAsia="Calibri"/>
          <w:b/>
          <w:bCs/>
          <w:sz w:val="24"/>
          <w:lang w:eastAsia="x-none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  <w:lang w:eastAsia="x-none"/>
        </w:rPr>
        <w:t xml:space="preserve">Приложение № 1: </w:t>
      </w:r>
      <w:r>
        <w:rPr>
          <w:sz w:val="24"/>
          <w:szCs w:val="24"/>
        </w:rPr>
        <w:t>Перечень нормативных документов, регламентирующих деятельность медпункта;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Приложение № 2: Перечень мероприятий первой и неотложной медицинской помощи, и иных мероприятий, выполняемых медицинским работником;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Приложение № 3: Порядок проведения предсменных медицинских осмотров работников филиала;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Приложение № 4: Требования к деятельности фельдшера медпункта;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Приложение № 5: Порядок проведения вакцинации работников филиала;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Приложение № 6: Перечень к аналитической деятельности в части состояния здоровья персонала. Отчетная документация;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Приложение № 7: Требования к оснащению медпункта медицинским имуществом и оборудованием;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Приложение № 8: Санитарно-эпидемиологические и иные требования к деятельности медпункта;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Приложение № 9: Квалификационные требования к персоналу Исполнителя, кадровый состав работников, оказывающих медицинские услуги для филиала;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Приложение № 10: Экспликация помещений, планируемых для организации медпунктов</w:t>
      </w:r>
      <w:bookmarkStart w:id="37" w:name="_GoBack"/>
      <w:bookmarkEnd w:id="37"/>
      <w:r>
        <w:rPr>
          <w:sz w:val="24"/>
          <w:szCs w:val="24"/>
        </w:rPr>
        <w:t>;</w:t>
      </w:r>
    </w:p>
    <w:p>
      <w:pPr>
        <w:pStyle w:val="Normal"/>
        <w:tabs>
          <w:tab w:val="clear" w:pos="708"/>
          <w:tab w:val="left" w:pos="3905" w:leader="none"/>
        </w:tabs>
        <w:rPr>
          <w:rStyle w:val="16"/>
          <w:rFonts w:eastAsia="Calibri" w:eastAsiaTheme="minorHAnsi"/>
          <w:b w:val="false"/>
          <w:sz w:val="24"/>
          <w:szCs w:val="24"/>
        </w:rPr>
      </w:pPr>
      <w:r>
        <w:rPr>
          <w:sz w:val="24"/>
          <w:szCs w:val="24"/>
        </w:rPr>
        <w:t xml:space="preserve">Приложение № 11: </w:t>
      </w:r>
      <w:r>
        <w:rPr>
          <w:rStyle w:val="16"/>
          <w:rFonts w:eastAsia="Calibri" w:eastAsiaTheme="minorHAnsi"/>
          <w:b w:val="false"/>
          <w:sz w:val="24"/>
          <w:szCs w:val="24"/>
        </w:rPr>
        <w:t>График и предельные объемы оказания медицинских услуг для персонала филиала.</w:t>
      </w:r>
    </w:p>
    <w:p>
      <w:pPr>
        <w:pStyle w:val="Normal"/>
        <w:tabs>
          <w:tab w:val="clear" w:pos="708"/>
          <w:tab w:val="left" w:pos="3905" w:leader="none"/>
        </w:tabs>
        <w:rPr>
          <w:rStyle w:val="16"/>
          <w:rFonts w:eastAsia="Calibri" w:eastAsiaTheme="minorHAnsi"/>
          <w:b w:val="false"/>
          <w:sz w:val="24"/>
          <w:szCs w:val="24"/>
        </w:rPr>
      </w:pPr>
      <w:r>
        <w:rPr>
          <w:rFonts w:eastAsia="Calibri" w:eastAsiaTheme="minorHAnsi"/>
          <w:b w:val="false"/>
          <w:sz w:val="24"/>
          <w:szCs w:val="24"/>
        </w:rPr>
      </w:r>
    </w:p>
    <w:p>
      <w:pPr>
        <w:pStyle w:val="Normal"/>
        <w:tabs>
          <w:tab w:val="clear" w:pos="708"/>
          <w:tab w:val="left" w:pos="3905" w:leader="none"/>
        </w:tabs>
        <w:rPr>
          <w:rStyle w:val="16"/>
          <w:rFonts w:eastAsia="Calibri" w:eastAsiaTheme="minorHAnsi"/>
          <w:b w:val="false"/>
          <w:sz w:val="24"/>
          <w:szCs w:val="24"/>
        </w:rPr>
      </w:pPr>
      <w:r>
        <w:rPr>
          <w:rFonts w:eastAsia="Calibri" w:eastAsiaTheme="minorHAnsi"/>
          <w:b w:val="false"/>
          <w:sz w:val="24"/>
          <w:szCs w:val="24"/>
        </w:rPr>
      </w:r>
    </w:p>
    <w:p>
      <w:pPr>
        <w:pStyle w:val="Normal"/>
        <w:tabs>
          <w:tab w:val="clear" w:pos="708"/>
          <w:tab w:val="left" w:pos="3905" w:leader="none"/>
        </w:tabs>
        <w:rPr>
          <w:rStyle w:val="16"/>
          <w:rFonts w:eastAsia="Calibri" w:eastAsiaTheme="minorHAnsi"/>
          <w:b w:val="false"/>
          <w:sz w:val="24"/>
          <w:szCs w:val="24"/>
        </w:rPr>
      </w:pPr>
      <w:r>
        <w:rPr>
          <w:rFonts w:eastAsia="Calibri" w:eastAsiaTheme="minorHAnsi"/>
          <w:b w:val="false"/>
          <w:sz w:val="24"/>
          <w:szCs w:val="24"/>
        </w:rPr>
      </w:r>
    </w:p>
    <w:p>
      <w:pPr>
        <w:pStyle w:val="Normal"/>
        <w:tabs>
          <w:tab w:val="clear" w:pos="708"/>
          <w:tab w:val="left" w:pos="3905" w:leader="none"/>
        </w:tabs>
        <w:rPr>
          <w:rStyle w:val="16"/>
          <w:rFonts w:eastAsia="Calibri" w:eastAsiaTheme="minorHAnsi"/>
          <w:b w:val="false"/>
          <w:sz w:val="24"/>
          <w:szCs w:val="24"/>
        </w:rPr>
      </w:pPr>
      <w:r>
        <w:rPr>
          <w:rFonts w:eastAsia="Calibri" w:eastAsiaTheme="minorHAnsi"/>
          <w:b w:val="false"/>
          <w:sz w:val="24"/>
          <w:szCs w:val="24"/>
        </w:rPr>
      </w:r>
    </w:p>
    <w:p>
      <w:pPr>
        <w:pStyle w:val="Normal"/>
        <w:tabs>
          <w:tab w:val="clear" w:pos="708"/>
          <w:tab w:val="left" w:pos="3905" w:leader="none"/>
        </w:tabs>
        <w:rPr>
          <w:rStyle w:val="16"/>
          <w:rFonts w:eastAsia="Calibri" w:eastAsiaTheme="minorHAnsi"/>
          <w:b w:val="false"/>
          <w:sz w:val="24"/>
          <w:szCs w:val="24"/>
        </w:rPr>
      </w:pPr>
      <w:r>
        <w:rPr>
          <w:rFonts w:eastAsia="Calibri" w:eastAsiaTheme="minorHAnsi"/>
          <w:b w:val="false"/>
          <w:sz w:val="24"/>
          <w:szCs w:val="24"/>
        </w:rPr>
      </w:r>
    </w:p>
    <w:p>
      <w:pPr>
        <w:pStyle w:val="Normal"/>
        <w:tabs>
          <w:tab w:val="clear" w:pos="708"/>
          <w:tab w:val="left" w:pos="3905" w:leader="none"/>
        </w:tabs>
        <w:rPr>
          <w:rStyle w:val="16"/>
          <w:rFonts w:eastAsia="Calibri" w:eastAsiaTheme="minorHAnsi"/>
          <w:b w:val="false"/>
          <w:sz w:val="24"/>
          <w:szCs w:val="24"/>
        </w:rPr>
      </w:pPr>
      <w:r>
        <w:rPr>
          <w:rFonts w:eastAsia="Calibri" w:eastAsiaTheme="minorHAnsi"/>
          <w:b w:val="false"/>
          <w:sz w:val="24"/>
          <w:szCs w:val="24"/>
        </w:rPr>
      </w:r>
    </w:p>
    <w:p>
      <w:pPr>
        <w:pStyle w:val="Normal"/>
        <w:tabs>
          <w:tab w:val="clear" w:pos="708"/>
          <w:tab w:val="left" w:pos="3905" w:leader="none"/>
        </w:tabs>
        <w:rPr>
          <w:rStyle w:val="16"/>
          <w:rFonts w:eastAsia="Calibri" w:eastAsiaTheme="minorHAnsi"/>
          <w:b w:val="false"/>
          <w:sz w:val="24"/>
          <w:szCs w:val="24"/>
        </w:rPr>
      </w:pPr>
      <w:r>
        <w:rPr>
          <w:rFonts w:eastAsia="Calibri" w:eastAsiaTheme="minorHAnsi"/>
          <w:b w:val="false"/>
          <w:sz w:val="24"/>
          <w:szCs w:val="24"/>
        </w:rPr>
      </w:r>
    </w:p>
    <w:p>
      <w:pPr>
        <w:pStyle w:val="Normal"/>
        <w:tabs>
          <w:tab w:val="clear" w:pos="708"/>
          <w:tab w:val="left" w:pos="3905" w:leader="none"/>
        </w:tabs>
        <w:rPr>
          <w:i/>
          <w:i/>
          <w:iCs/>
          <w:sz w:val="22"/>
          <w:szCs w:val="22"/>
          <w:shd w:fill="FFFF99" w:val="clear"/>
        </w:rPr>
      </w:pPr>
      <w:r>
        <w:rPr/>
      </w:r>
    </w:p>
    <w:sectPr>
      <w:headerReference w:type="even" r:id="rId11"/>
      <w:headerReference w:type="default" r:id="rId12"/>
      <w:headerReference w:type="first" r:id="rId13"/>
      <w:footerReference w:type="even" r:id="rId14"/>
      <w:footerReference w:type="default" r:id="rId15"/>
      <w:footerReference w:type="first" r:id="rId16"/>
      <w:type w:val="nextPage"/>
      <w:pgSz w:w="11906" w:h="16838"/>
      <w:pgMar w:left="1701" w:right="850" w:gutter="0" w:header="708" w:top="765" w:footer="708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rlito">
    <w:altName w:val="Calibri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Liberation Sans">
    <w:altName w:val="Arial"/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2"/>
      <w:shd w:val="clear" w:color="auto" w:fill="auto"/>
      <w:ind w:left="11294" w:hanging="0"/>
      <w:rPr/>
    </w:pPr>
    <w:r>
      <w:rPr>
        <w:rStyle w:val="Tahoma105pt"/>
      </w:rPr>
      <w:fldChar w:fldCharType="begin"/>
    </w:r>
    <w:r>
      <w:rPr>
        <w:rStyle w:val="Tahoma105pt"/>
      </w:rPr>
      <w:instrText xml:space="preserve"> PAGE </w:instrText>
    </w:r>
    <w:r>
      <w:rPr>
        <w:rStyle w:val="Tahoma105pt"/>
      </w:rPr>
      <w:fldChar w:fldCharType="separate"/>
    </w:r>
    <w:r>
      <w:rPr>
        <w:rStyle w:val="Tahoma105pt"/>
      </w:rPr>
      <w:t>0</w:t>
    </w:r>
    <w:r>
      <w:rPr>
        <w:rStyle w:val="Tahoma105pt"/>
      </w:rPr>
      <w:fldChar w:fldCharType="end"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2"/>
      <w:shd w:val="clear" w:color="auto" w:fill="auto"/>
      <w:ind w:left="11309" w:hanging="0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2"/>
      <w:shd w:val="clear" w:color="auto" w:fill="auto"/>
      <w:ind w:left="11309" w:hanging="0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12</w:t>
    </w:r>
    <w:r>
      <w:rPr/>
      <w:fldChar w:fldCharType="end"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10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2"/>
      <w:shd w:val="clear" w:color="auto" w:fill="auto"/>
      <w:tabs>
        <w:tab w:val="clear" w:pos="708"/>
        <w:tab w:val="left" w:pos="9053" w:leader="none"/>
      </w:tabs>
      <w:ind w:left="9053" w:hanging="0"/>
      <w:rPr/>
    </w:pPr>
    <w:r>
      <w:rPr>
        <w:rStyle w:val="Tahoma105pt"/>
      </w:rPr>
      <w:t>.</w:t>
      <w:tab/>
      <w:t>ПАО «Т Плюс»</w:t>
    </w:r>
  </w:p>
</w:hdr>
</file>

<file path=word/header1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1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2"/>
      <w:numFmt w:val="decimal"/>
      <w:lvlText w:val="%1."/>
      <w:lvlJc w:val="left"/>
      <w:pPr>
        <w:tabs>
          <w:tab w:val="num" w:pos="0"/>
        </w:tabs>
        <w:ind w:left="390" w:hanging="390"/>
      </w:pPr>
      <w:rPr>
        <w:b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/>
    </w:lvl>
    <w:lvl w:ilvl="2">
      <w:start w:val="1"/>
      <w:numFmt w:val="decimal"/>
      <w:lvlText w:val="%3."/>
      <w:lvlJc w:val="left"/>
      <w:pPr>
        <w:tabs>
          <w:tab w:val="num" w:pos="0"/>
        </w:tabs>
        <w:ind w:left="720" w:hanging="720"/>
      </w:pPr>
      <w:rPr>
        <w:rFonts w:ascii="Times New Roman" w:hAnsi="Times New Roman" w:eastAsia="Calibri" w:cs="Calibri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/>
    </w:lvl>
  </w:abstractNum>
  <w:abstractNum w:abstractNumId="10"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  <w:rPr/>
    </w:lvl>
    <w:lvl w:ilvl="1">
      <w:start w:val="4"/>
      <w:numFmt w:val="decimal"/>
      <w:lvlText w:val="%1.%2"/>
      <w:lvlJc w:val="left"/>
      <w:pPr>
        <w:tabs>
          <w:tab w:val="num" w:pos="0"/>
        </w:tabs>
        <w:ind w:left="360" w:hanging="360"/>
      </w:pPr>
      <w:rPr>
        <w:lang w:val="ru-RU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/>
    </w:lvl>
  </w:abstractNum>
  <w:abstractNum w:abstractNumId="11">
    <w:lvl w:ilvl="0">
      <w:start w:val="3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2"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440" w:hanging="1440"/>
      </w:pPr>
      <w:rPr/>
    </w:lvl>
  </w:abstractNum>
  <w:abstractNum w:abstractNumId="1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1.%2"/>
      <w:lvlJc w:val="left"/>
      <w:pPr>
        <w:tabs>
          <w:tab w:val="num" w:pos="0"/>
        </w:tabs>
        <w:ind w:left="1607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2854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3741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4988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5875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7122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8009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8896" w:hanging="1440"/>
      </w:pPr>
      <w:rPr/>
    </w:lvl>
  </w:abstractNum>
  <w:abstractNum w:abstractNumId="14"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  <w:rPr/>
    </w:lvl>
    <w:lvl w:ilvl="1">
      <w:start w:val="3"/>
      <w:numFmt w:val="decimal"/>
      <w:lvlText w:val="%1.%2"/>
      <w:lvlJc w:val="left"/>
      <w:pPr>
        <w:tabs>
          <w:tab w:val="num" w:pos="0"/>
        </w:tabs>
        <w:ind w:left="397" w:hanging="57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680" w:firstLine="57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880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96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680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760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6480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7200" w:hanging="1440"/>
      </w:pPr>
      <w:rPr/>
    </w:lvl>
  </w:abstractNum>
  <w:abstractNum w:abstractNumId="15">
    <w:lvl w:ilvl="0">
      <w:start w:val="1"/>
      <w:numFmt w:val="decimal"/>
      <w:lvlText w:val="%1"/>
      <w:lvlJc w:val="left"/>
      <w:pPr>
        <w:tabs>
          <w:tab w:val="num" w:pos="0"/>
        </w:tabs>
        <w:ind w:left="450" w:hanging="450"/>
      </w:pPr>
      <w:rPr/>
    </w:lvl>
    <w:lvl w:ilvl="1">
      <w:start w:val="5"/>
      <w:numFmt w:val="decimal"/>
      <w:lvlText w:val="%1.%2"/>
      <w:lvlJc w:val="left"/>
      <w:pPr>
        <w:tabs>
          <w:tab w:val="num" w:pos="0"/>
        </w:tabs>
        <w:ind w:left="818" w:hanging="45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456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824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52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920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648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016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384" w:hanging="1440"/>
      </w:pPr>
      <w:rPr/>
    </w:lvl>
  </w:abstractNum>
  <w:abstractNum w:abstractNumId="1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0"/>
        <w:numId w:val="0"/>
      </w:numPr>
      <w:tabs>
        <w:tab w:val="clear" w:pos="708"/>
        <w:tab w:val="left" w:pos="0" w:leader="none"/>
      </w:tabs>
      <w:ind w:left="432" w:hanging="432"/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4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3"/>
    <w:qFormat/>
    <w:locked/>
    <w:rsid w:val="00d22f6d"/>
    <w:rPr>
      <w:sz w:val="28"/>
    </w:rPr>
  </w:style>
  <w:style w:type="character" w:styleId="Style5" w:customStyle="1">
    <w:name w:val="Текст сноски Знак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1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FontStyle20" w:customStyle="1">
    <w:name w:val="Font Style20"/>
    <w:basedOn w:val="DefaultParagraphFont"/>
    <w:uiPriority w:val="99"/>
    <w:qFormat/>
    <w:rsid w:val="007d64a2"/>
    <w:rPr>
      <w:rFonts w:ascii="Arial" w:hAnsi="Arial" w:cs="Arial"/>
      <w:sz w:val="18"/>
      <w:szCs w:val="18"/>
    </w:rPr>
  </w:style>
  <w:style w:type="character" w:styleId="Style14" w:customStyle="1">
    <w:name w:val="Основной текст_"/>
    <w:basedOn w:val="DefaultParagraphFont"/>
    <w:link w:val="29"/>
    <w:qFormat/>
    <w:rsid w:val="00dd7889"/>
    <w:rPr>
      <w:rFonts w:ascii="Tahoma" w:hAnsi="Tahoma" w:eastAsia="Tahoma" w:cs="Tahoma"/>
      <w:shd w:fill="FFFFFF" w:val="clear"/>
    </w:rPr>
  </w:style>
  <w:style w:type="character" w:styleId="41" w:customStyle="1">
    <w:name w:val="Заголовок №4_"/>
    <w:basedOn w:val="DefaultParagraphFont"/>
    <w:link w:val="42"/>
    <w:qFormat/>
    <w:rsid w:val="00dd7889"/>
    <w:rPr>
      <w:rFonts w:ascii="Tahoma" w:hAnsi="Tahoma" w:eastAsia="Tahoma" w:cs="Tahoma"/>
      <w:shd w:fill="FFFFFF" w:val="clear"/>
    </w:rPr>
  </w:style>
  <w:style w:type="character" w:styleId="111" w:customStyle="1">
    <w:name w:val="Основной текст (11)_"/>
    <w:basedOn w:val="DefaultParagraphFont"/>
    <w:link w:val="112"/>
    <w:qFormat/>
    <w:rsid w:val="00dd7889"/>
    <w:rPr>
      <w:rFonts w:ascii="Tahoma" w:hAnsi="Tahoma" w:eastAsia="Tahoma" w:cs="Tahoma"/>
      <w:sz w:val="18"/>
      <w:szCs w:val="18"/>
      <w:shd w:fill="FFFFFF" w:val="clear"/>
    </w:rPr>
  </w:style>
  <w:style w:type="character" w:styleId="Style15" w:customStyle="1">
    <w:name w:val="Колонтитул_"/>
    <w:basedOn w:val="DefaultParagraphFont"/>
    <w:link w:val="Style22"/>
    <w:qFormat/>
    <w:rsid w:val="00dd7889"/>
    <w:rPr>
      <w:shd w:fill="FFFFFF" w:val="clear"/>
    </w:rPr>
  </w:style>
  <w:style w:type="character" w:styleId="Tahoma105pt" w:customStyle="1">
    <w:name w:val="Колонтитул + Tahoma;10;5 pt"/>
    <w:basedOn w:val="Style15"/>
    <w:qFormat/>
    <w:rsid w:val="00dd7889"/>
    <w:rPr>
      <w:rFonts w:ascii="Tahoma" w:hAnsi="Tahoma" w:eastAsia="Tahoma" w:cs="Tahoma"/>
      <w:spacing w:val="0"/>
      <w:sz w:val="21"/>
      <w:szCs w:val="21"/>
      <w:shd w:fill="FFFFFF" w:val="clear"/>
    </w:rPr>
  </w:style>
  <w:style w:type="character" w:styleId="Itemtext1" w:customStyle="1">
    <w:name w:val="itemtext1"/>
    <w:basedOn w:val="DefaultParagraphFont"/>
    <w:qFormat/>
    <w:rsid w:val="00dd7889"/>
    <w:rPr>
      <w:rFonts w:ascii="Segoe UI" w:hAnsi="Segoe UI" w:cs="Segoe UI"/>
      <w:color w:val="000000"/>
      <w:sz w:val="20"/>
      <w:szCs w:val="20"/>
    </w:rPr>
  </w:style>
  <w:style w:type="character" w:styleId="16" w:customStyle="1">
    <w:name w:val="Основной текст (16)"/>
    <w:basedOn w:val="DefaultParagraphFont"/>
    <w:qFormat/>
    <w:rsid w:val="000c7645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19"/>
      <w:szCs w:val="19"/>
      <w:u w:val="none"/>
      <w:lang w:val="ru-RU" w:eastAsia="ru-RU" w:bidi="ru-RU"/>
    </w:rPr>
  </w:style>
  <w:style w:type="character" w:styleId="Style16" w:customStyle="1">
    <w:name w:val="Ссылка указателя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111" w:customStyle="1">
    <w:name w:val="index heading1111"/>
    <w:basedOn w:val="Title"/>
    <w:qFormat/>
    <w:pPr/>
    <w:rPr/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" w:customStyle="1">
    <w:name w:val="index heading11111"/>
    <w:basedOn w:val="Title"/>
    <w:qFormat/>
    <w:pPr/>
    <w:rPr/>
  </w:style>
  <w:style w:type="paragraph" w:styleId="Caption111111" w:customStyle="1">
    <w:name w:val="caption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1" w:customStyle="1">
    <w:name w:val="index heading111111"/>
    <w:basedOn w:val="Title"/>
    <w:qFormat/>
    <w:pPr/>
    <w:rPr/>
  </w:style>
  <w:style w:type="paragraph" w:styleId="Style19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20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1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3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2" w:customStyle="1">
    <w:name w:val="Колонтитул"/>
    <w:basedOn w:val="Normal"/>
    <w:link w:val="Style15"/>
    <w:qFormat/>
    <w:rsid w:val="00dd7889"/>
    <w:pPr>
      <w:shd w:val="clear" w:color="auto" w:fill="FFFFFF"/>
    </w:pPr>
    <w:rPr>
      <w:sz w:val="20"/>
      <w:szCs w:val="20"/>
    </w:rPr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3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c517de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6b6b70"/>
    <w:pPr>
      <w:ind w:left="280" w:hanging="0"/>
    </w:pPr>
    <w:rPr>
      <w:rFonts w:cs="Calibri" w:cstheme="minorHAnsi"/>
      <w:sz w:val="20"/>
      <w:szCs w:val="20"/>
    </w:rPr>
  </w:style>
  <w:style w:type="paragraph" w:styleId="Style24" w:customStyle="1">
    <w:name w:val="Раздел регламента"/>
    <w:basedOn w:val="Normal"/>
    <w:qFormat/>
    <w:rsid w:val="00e228fa"/>
    <w:pPr/>
    <w:rPr/>
  </w:style>
  <w:style w:type="paragraph" w:styleId="Style25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6b6b70"/>
    <w:pPr>
      <w:tabs>
        <w:tab w:val="clear" w:pos="708"/>
        <w:tab w:val="left" w:pos="1120" w:leader="none"/>
        <w:tab w:val="right" w:pos="9911" w:leader="none"/>
      </w:tabs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6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11111" w:customStyle="1">
    <w:name w:val="caption1111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7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7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311" w:customStyle="1">
    <w:name w:val="Список 3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eastAsia="Calibri" w:ascii="Times New Roman" w:hAnsi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cs="Arial" w:eastAsia="Times New Roman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8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9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30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1" w:customStyle="1">
    <w:name w:val="Подподпункт"/>
    <w:basedOn w:val="Style23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2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3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4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29" w:customStyle="1">
    <w:name w:val="Основной текст2"/>
    <w:basedOn w:val="Normal"/>
    <w:link w:val="Style14"/>
    <w:qFormat/>
    <w:rsid w:val="00dd7889"/>
    <w:pPr>
      <w:shd w:val="clear" w:color="auto" w:fill="FFFFFF"/>
      <w:spacing w:lineRule="atLeast" w:line="0" w:before="420" w:after="1020"/>
      <w:ind w:hanging="520"/>
      <w:jc w:val="both"/>
    </w:pPr>
    <w:rPr>
      <w:rFonts w:ascii="Tahoma" w:hAnsi="Tahoma" w:eastAsia="Tahoma" w:cs="Tahoma"/>
      <w:sz w:val="20"/>
      <w:szCs w:val="20"/>
    </w:rPr>
  </w:style>
  <w:style w:type="paragraph" w:styleId="42" w:customStyle="1">
    <w:name w:val="Заголовок №4"/>
    <w:basedOn w:val="Normal"/>
    <w:link w:val="41"/>
    <w:qFormat/>
    <w:rsid w:val="00dd7889"/>
    <w:pPr>
      <w:shd w:val="clear" w:color="auto" w:fill="FFFFFF"/>
      <w:spacing w:lineRule="exact" w:line="293" w:before="240" w:after="240"/>
      <w:ind w:hanging="340"/>
      <w:jc w:val="center"/>
      <w:outlineLvl w:val="3"/>
    </w:pPr>
    <w:rPr>
      <w:rFonts w:ascii="Tahoma" w:hAnsi="Tahoma" w:eastAsia="Tahoma" w:cs="Tahoma"/>
      <w:sz w:val="20"/>
      <w:szCs w:val="20"/>
    </w:rPr>
  </w:style>
  <w:style w:type="paragraph" w:styleId="112" w:customStyle="1">
    <w:name w:val="Основной текст (11)"/>
    <w:basedOn w:val="Normal"/>
    <w:link w:val="111"/>
    <w:qFormat/>
    <w:rsid w:val="00dd7889"/>
    <w:pPr>
      <w:shd w:val="clear" w:color="auto" w:fill="FFFFFF"/>
      <w:spacing w:lineRule="atLeast" w:line="0" w:before="720" w:after="300"/>
    </w:pPr>
    <w:rPr>
      <w:rFonts w:ascii="Tahoma" w:hAnsi="Tahoma" w:eastAsia="Tahoma" w:cs="Tahoma"/>
      <w:sz w:val="18"/>
      <w:szCs w:val="18"/>
    </w:rPr>
  </w:style>
  <w:style w:type="paragraph" w:styleId="Style35" w:customStyle="1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10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7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header" Target="header8.xml"/><Relationship Id="rId10" Type="http://schemas.openxmlformats.org/officeDocument/2006/relationships/header" Target="header9.xml"/><Relationship Id="rId11" Type="http://schemas.openxmlformats.org/officeDocument/2006/relationships/header" Target="header10.xml"/><Relationship Id="rId12" Type="http://schemas.openxmlformats.org/officeDocument/2006/relationships/header" Target="header11.xml"/><Relationship Id="rId13" Type="http://schemas.openxmlformats.org/officeDocument/2006/relationships/header" Target="header12.xml"/><Relationship Id="rId14" Type="http://schemas.openxmlformats.org/officeDocument/2006/relationships/footer" Target="footer1.xml"/><Relationship Id="rId15" Type="http://schemas.openxmlformats.org/officeDocument/2006/relationships/footer" Target="footer2.xml"/><Relationship Id="rId16" Type="http://schemas.openxmlformats.org/officeDocument/2006/relationships/footer" Target="footer3.xml"/><Relationship Id="rId17" Type="http://schemas.openxmlformats.org/officeDocument/2006/relationships/numbering" Target="numbering.xml"/><Relationship Id="rId18" Type="http://schemas.openxmlformats.org/officeDocument/2006/relationships/fontTable" Target="fontTable.xml"/><Relationship Id="rId19" Type="http://schemas.openxmlformats.org/officeDocument/2006/relationships/settings" Target="settings.xml"/><Relationship Id="rId20" Type="http://schemas.openxmlformats.org/officeDocument/2006/relationships/theme" Target="theme/theme1.xml"/><Relationship Id="rId2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9DFA12-347F-452E-9999-EF3AC393A8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Application>AlterOffice/2025.2.1.0$Linux_X86_64 LibreOffice_project/d2c615264c9535987c375e0f04a158be6015ce3d</Application>
  <AppVersion>15.0000</AppVersion>
  <Pages>14</Pages>
  <Words>2237</Words>
  <Characters>16012</Characters>
  <CharactersWithSpaces>17890</CharactersWithSpaces>
  <Paragraphs>365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2026-09-07T14:28:00Z</dcterms:created>
  <dc:creator>Быстров Олег Геннадьевич</dc:creator>
  <dc:description/>
  <dc:language>ru-RU</dc:language>
  <cp:lastModifiedBy>musalaevmm@corp.gidroogk.com</cp:lastModifiedBy>
  <cp:lastPrinted>2024-11-28T02:53:00Z</cp:lastPrinted>
  <dcterms:modified xsi:type="dcterms:W3CDTF">2026-09-21T10:55:18Z</dcterms:modified>
  <cp:revision>5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