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eastAsia="Calibri"/>
          <w:b/>
          <w:sz w:val="24"/>
          <w:szCs w:val="24"/>
          <w:lang w:eastAsia="ar-SA"/>
        </w:rPr>
      </w:pPr>
      <w:bookmarkStart w:id="0" w:name="_GoBack"/>
      <w:bookmarkEnd w:id="0"/>
      <w:r>
        <w:rPr>
          <w:rFonts w:eastAsia="Calibri"/>
          <w:b/>
          <w:sz w:val="24"/>
          <w:szCs w:val="24"/>
          <w:lang w:eastAsia="ar-SA"/>
        </w:rPr>
        <w:t xml:space="preserve">Техническое задание на выполнение пусконаладочных работ </w:t>
      </w:r>
    </w:p>
    <w:p>
      <w:pPr>
        <w:pStyle w:val="Normal"/>
        <w:jc w:val="center"/>
        <w:rPr>
          <w:rFonts w:eastAsia="Calibri"/>
          <w:b/>
          <w:sz w:val="24"/>
          <w:szCs w:val="24"/>
          <w:lang w:eastAsia="ar-SA"/>
        </w:rPr>
      </w:pPr>
      <w:r>
        <w:rPr>
          <w:rFonts w:eastAsia="Calibri"/>
          <w:b/>
          <w:sz w:val="24"/>
          <w:szCs w:val="24"/>
          <w:lang w:eastAsia="ar-SA"/>
        </w:rPr>
        <w:t>средств защиты информации</w:t>
      </w:r>
    </w:p>
    <w:p>
      <w:pPr>
        <w:pStyle w:val="Normal"/>
        <w:tabs>
          <w:tab w:val="clear" w:pos="708"/>
          <w:tab w:val="left" w:pos="142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tbl>
      <w:tblPr>
        <w:tblW w:w="10314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67"/>
        <w:gridCol w:w="2268"/>
        <w:gridCol w:w="7479"/>
      </w:tblGrid>
      <w:tr>
        <w:trPr>
          <w:trHeight w:val="161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3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</w:t>
            </w:r>
          </w:p>
        </w:tc>
      </w:tr>
      <w:tr>
        <w:trPr>
          <w:trHeight w:val="553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7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Выполнение пусконаладочных работ средств защиты информации </w:t>
            </w:r>
          </w:p>
        </w:tc>
      </w:tr>
      <w:tr>
        <w:trPr>
          <w:trHeight w:val="652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 на выполнение работ</w:t>
            </w:r>
          </w:p>
        </w:tc>
        <w:tc>
          <w:tcPr>
            <w:tcW w:w="7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Бурятский филиал ПАО «Ростелеком»</w:t>
            </w:r>
          </w:p>
        </w:tc>
      </w:tr>
      <w:tr>
        <w:trPr>
          <w:trHeight w:val="513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выполнения работ</w:t>
            </w:r>
          </w:p>
        </w:tc>
        <w:tc>
          <w:tcPr>
            <w:tcW w:w="7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56 медицинских учреждений Забайкальского края</w:t>
            </w:r>
          </w:p>
        </w:tc>
      </w:tr>
      <w:tr>
        <w:trPr>
          <w:trHeight w:val="480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 работ</w:t>
            </w:r>
          </w:p>
        </w:tc>
        <w:tc>
          <w:tcPr>
            <w:tcW w:w="7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Срок н</w:t>
            </w:r>
            <w:r>
              <w:rPr>
                <w:bCs/>
                <w:sz w:val="24"/>
                <w:szCs w:val="24"/>
                <w:shd w:fill="auto" w:val="clear"/>
              </w:rPr>
              <w:t xml:space="preserve">ачала работ: с момента заключения </w:t>
            </w:r>
            <w:r>
              <w:rPr>
                <w:bCs/>
                <w:sz w:val="24"/>
                <w:szCs w:val="24"/>
                <w:shd w:fill="auto" w:val="clear"/>
              </w:rPr>
              <w:t>договора</w:t>
            </w:r>
            <w:r>
              <w:rPr>
                <w:bCs/>
                <w:sz w:val="24"/>
                <w:szCs w:val="24"/>
                <w:shd w:fill="auto" w:val="clear"/>
              </w:rPr>
              <w:t xml:space="preserve"> до 31.12.2026 г.</w:t>
            </w:r>
          </w:p>
        </w:tc>
      </w:tr>
      <w:tr>
        <w:trPr>
          <w:trHeight w:val="480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Исполнителю</w:t>
            </w:r>
          </w:p>
        </w:tc>
        <w:tc>
          <w:tcPr>
            <w:tcW w:w="7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 Перед началом работ согласовать время проведения работ, контактные данные ответственного лица за проведение монтажных работ со стороны Исполнителя;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провести мероприятия по переводу (миграции) защищенной сети Заказчика на централизованное администрирование под управлением ViPNet Prime: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перенос всех действующих политик безопасности, групп узлов и маршрутов из системы управления предыдущей версии (ViPNet Administrator 4.x) с использованием штатных инструментов миграции в новую централизованную консоль ViPNet Prime с сохранением исходной структуры и логики доступа;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установка, настройка, конфигурация операционной системы (Astra Linux SE/Ubuntu) согласно техническим требованиям ViPNet Prime на серверных мощностях, предоставляемых Заказчиком;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установка ViPNet Prime на имеющийся у Заказчика сервер;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первичный запуск, инициализация центра управления защищенной сетью ViPNet Prime, сеть ViPNet №2395 Заказчика;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проверка индикаторов и логов на наличие сбоев или предупреждений;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настройка рабочих мест администраторов ViPNet-сети для доступа к веб-интерфейсу ViPNet Prime;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устранение сбоев и предупреждений (при необходимости);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настройка системы мониторинга состояния защищённой сети и оповещений/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подключить Оборудование, обеспечить штатную работоспособность установленного Оборудования.;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для осуществления настройки криптошлюзов Исполнитель должен: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установить на криптошлюзы справочники и ключи;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настроить требуемые сетевые фильтры;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включить регистрацию в журнале всех IP-пакетов для каждого настроенного сетевого интерфейса (на время пуско-наладочных работ);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настроить параметры размера журнала и интервала агрегации для каждого настроенного сетевого интерфейса, исходя из интенсивности трафика, проходящего через сетевой узел;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запретить или ограничить удаленное управление ОС путем настроек, запрещающих фильтров для протоколов и портов удаленного управления ОС для всех узлов, кроме специально выделенных для этих целей;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настроить сетевые узлы защищённой ViPNet-сети № 2395 Заказчика и координаторы из других сетей, участвуюих в межсетевом взаимодействии с сетью Заказчика, на работу через настраиваемые криптошлюзы;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установить и настроить работу горячего резервирования (на площадках где развернуты кластеры);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• </w:t>
            </w:r>
            <w:r>
              <w:rPr>
                <w:rFonts w:eastAsia="Calibri"/>
                <w:sz w:val="24"/>
                <w:szCs w:val="24"/>
              </w:rPr>
              <w:t>проверить доступность и корректность работы смонтированного Оборудования.</w:t>
            </w:r>
          </w:p>
          <w:p>
            <w:pPr>
              <w:pStyle w:val="ListParagraph"/>
              <w:ind w:star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993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45f65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c8141b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8c4f3f"/>
    <w:pPr>
      <w:spacing w:before="0" w:after="0"/>
      <w:ind w:start="720"/>
      <w:contextualSpacing/>
    </w:pPr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8667</TotalTime>
  <Application>LibreOffice/25.8.7.3$Linux_X86_64 LibreOffice_project/30742500f2d3eb4366ac312fa33d3dcabdb3eba5</Application>
  <AppVersion>15.0000</AppVersion>
  <Pages>2</Pages>
  <Words>345</Words>
  <Characters>2428</Characters>
  <CharactersWithSpaces>2815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2024-03-06T13:08:00Z</dcterms:created>
  <dc:creator>user</dc:creator>
  <dc:description/>
  <dc:language>ru-RU</dc:language>
  <cp:lastModifiedBy/>
  <dcterms:modified xsi:type="dcterms:W3CDTF">2026-09-17T11:01:16Z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