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Техническое задание 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на </w:t>
      </w:r>
      <w:r>
        <w:rPr>
          <w:rFonts w:ascii="Times New Roman" w:hAnsi="Times New Roman"/>
          <w:b w:val="1"/>
          <w:sz w:val="24"/>
          <w:u w:val="single"/>
        </w:rPr>
        <w:t>поставку камер видеонаблюдения</w:t>
      </w:r>
    </w:p>
    <w:p w14:paraId="03000000">
      <w:pPr>
        <w:widowControl w:val="1"/>
        <w:spacing w:after="0" w:line="240" w:lineRule="auto"/>
        <w:ind/>
        <w:jc w:val="center"/>
        <w:rPr>
          <w:rStyle w:val="Style_1_ch"/>
          <w:b w:val="0"/>
          <w:sz w:val="24"/>
          <w:u w:val="single"/>
        </w:rPr>
      </w:pPr>
    </w:p>
    <w:p w14:paraId="04000000">
      <w:pPr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Style w:val="Style_1_ch"/>
          <w:b w:val="0"/>
          <w:color w:val="000000"/>
          <w:sz w:val="24"/>
        </w:rPr>
      </w:pPr>
      <w:r>
        <w:rPr>
          <w:rStyle w:val="Style_1_ch"/>
          <w:sz w:val="24"/>
          <w:u w:val="single"/>
        </w:rPr>
        <w:t>Предмет закупки:</w:t>
      </w:r>
      <w:r>
        <w:rPr>
          <w:rStyle w:val="Style_1_ch"/>
          <w:sz w:val="24"/>
        </w:rPr>
        <w:t xml:space="preserve"> </w:t>
      </w:r>
      <w:r>
        <w:rPr>
          <w:rFonts w:ascii="Times New Roman" w:hAnsi="Times New Roman"/>
          <w:sz w:val="24"/>
        </w:rPr>
        <w:t>Поставка камер видеонаблюдения</w:t>
      </w:r>
      <w:r>
        <w:rPr>
          <w:rFonts w:ascii="Times New Roman" w:hAnsi="Times New Roman"/>
          <w:sz w:val="24"/>
        </w:rPr>
        <w:t>.</w:t>
      </w:r>
    </w:p>
    <w:p w14:paraId="05000000">
      <w:pPr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Style w:val="Style_1_ch"/>
          <w:sz w:val="24"/>
          <w:u w:val="single"/>
        </w:rPr>
        <w:t>Заказчик:</w:t>
      </w:r>
      <w:r>
        <w:rPr>
          <w:rStyle w:val="Style_1_ch"/>
          <w:sz w:val="24"/>
        </w:rPr>
        <w:t xml:space="preserve"> </w:t>
      </w:r>
      <w:r>
        <w:rPr>
          <w:rStyle w:val="Style_1_ch"/>
          <w:b w:val="0"/>
          <w:sz w:val="24"/>
        </w:rPr>
        <w:t xml:space="preserve">Сахалинский филиал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АО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Ростелеком</w:t>
      </w:r>
      <w:r>
        <w:rPr>
          <w:rFonts w:ascii="Times New Roman" w:hAnsi="Times New Roman"/>
          <w:sz w:val="24"/>
        </w:rPr>
        <w:t>».</w:t>
      </w:r>
    </w:p>
    <w:p w14:paraId="06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Style w:val="Style_1_ch"/>
          <w:sz w:val="24"/>
          <w:u w:val="single"/>
        </w:rPr>
        <w:t>Место доставки поставляемых товаров</w:t>
      </w:r>
      <w:r>
        <w:rPr>
          <w:rStyle w:val="Style_1_ch"/>
          <w:sz w:val="24"/>
          <w:u w:val="single"/>
        </w:rPr>
        <w:t>:</w:t>
      </w:r>
      <w:r>
        <w:rPr>
          <w:rStyle w:val="Style_1_ch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Южно-Сахалинск</w:t>
      </w:r>
      <w:r>
        <w:rPr>
          <w:rFonts w:ascii="Times New Roman" w:hAnsi="Times New Roman"/>
          <w:sz w:val="24"/>
        </w:rPr>
        <w:t>, ул.</w:t>
      </w:r>
      <w:r>
        <w:rPr>
          <w:rFonts w:ascii="Times New Roman" w:hAnsi="Times New Roman"/>
          <w:sz w:val="24"/>
        </w:rPr>
        <w:t xml:space="preserve"> Пуркаева</w:t>
      </w:r>
      <w:r>
        <w:rPr>
          <w:rFonts w:ascii="Times New Roman" w:hAnsi="Times New Roman"/>
          <w:sz w:val="24"/>
        </w:rPr>
        <w:t>, д.7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</w:p>
    <w:p w14:paraId="07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Style w:val="Style_1_ch"/>
          <w:sz w:val="24"/>
          <w:u w:val="single"/>
        </w:rPr>
        <w:t>Срок и условия оплаты поставки товара</w:t>
      </w:r>
      <w:r>
        <w:rPr>
          <w:rStyle w:val="Style_1_ch"/>
          <w:sz w:val="24"/>
          <w:u w:val="single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Форма оплаты - безналичный расчет. Аванс </w:t>
      </w:r>
      <w:r>
        <w:rPr>
          <w:rFonts w:ascii="Times New Roman" w:hAnsi="Times New Roman"/>
          <w:sz w:val="24"/>
        </w:rPr>
        <w:t>30% от суммы заказа в течение 10 дней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Окончательный р</w:t>
      </w:r>
      <w:r>
        <w:rPr>
          <w:rFonts w:ascii="Times New Roman" w:hAnsi="Times New Roman"/>
          <w:sz w:val="24"/>
        </w:rPr>
        <w:t>асч</w:t>
      </w:r>
      <w:r>
        <w:rPr>
          <w:rFonts w:ascii="Times New Roman" w:hAnsi="Times New Roman"/>
          <w:sz w:val="24"/>
        </w:rPr>
        <w:t>ё</w:t>
      </w: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 xml:space="preserve"> по заказу</w:t>
      </w:r>
      <w:r>
        <w:rPr>
          <w:rFonts w:ascii="Times New Roman" w:hAnsi="Times New Roman"/>
          <w:sz w:val="24"/>
        </w:rPr>
        <w:t xml:space="preserve"> осуществляются по факту </w:t>
      </w:r>
      <w:r>
        <w:rPr>
          <w:rFonts w:ascii="Times New Roman" w:hAnsi="Times New Roman"/>
          <w:sz w:val="24"/>
        </w:rPr>
        <w:t xml:space="preserve">поставки товара в течение не более чем </w:t>
      </w:r>
      <w:r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календарных</w:t>
      </w:r>
      <w:r>
        <w:rPr>
          <w:rFonts w:ascii="Times New Roman" w:hAnsi="Times New Roman"/>
          <w:sz w:val="24"/>
        </w:rPr>
        <w:t xml:space="preserve"> дней с даты подписания Заказчиком </w:t>
      </w:r>
      <w:r>
        <w:rPr>
          <w:rFonts w:ascii="Times New Roman" w:hAnsi="Times New Roman"/>
          <w:sz w:val="24"/>
        </w:rPr>
        <w:t>товарной накладной/УПД путем</w:t>
      </w:r>
      <w:r>
        <w:rPr>
          <w:rFonts w:ascii="Times New Roman" w:hAnsi="Times New Roman"/>
          <w:sz w:val="24"/>
        </w:rPr>
        <w:t xml:space="preserve"> перечисления денежных средств на расчётный счёт </w:t>
      </w:r>
      <w:r>
        <w:rPr>
          <w:rFonts w:ascii="Times New Roman" w:hAnsi="Times New Roman"/>
          <w:sz w:val="24"/>
        </w:rPr>
        <w:t>Поставщика</w:t>
      </w:r>
      <w:r>
        <w:rPr>
          <w:rFonts w:ascii="Times New Roman" w:hAnsi="Times New Roman"/>
          <w:sz w:val="24"/>
        </w:rPr>
        <w:t>.</w:t>
      </w:r>
    </w:p>
    <w:p w14:paraId="08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Style w:val="Style_3_ch"/>
          <w:b w:val="0"/>
          <w:color w:val="000000"/>
          <w:sz w:val="24"/>
          <w:u w:val="single"/>
        </w:rPr>
      </w:pPr>
      <w:r>
        <w:rPr>
          <w:rStyle w:val="Style_3_ch"/>
          <w:color w:val="000000"/>
          <w:sz w:val="24"/>
          <w:u w:val="single"/>
        </w:rPr>
        <w:t>Срок поставки товара</w:t>
      </w:r>
      <w:r>
        <w:rPr>
          <w:rStyle w:val="Style_3_ch"/>
          <w:b w:val="0"/>
          <w:color w:val="000000"/>
          <w:sz w:val="24"/>
        </w:rPr>
        <w:t xml:space="preserve">: </w:t>
      </w:r>
      <w:r>
        <w:rPr>
          <w:rStyle w:val="Style_3_ch"/>
          <w:b w:val="0"/>
          <w:color w:val="000000"/>
          <w:sz w:val="24"/>
        </w:rPr>
        <w:t xml:space="preserve">с даты заключения договора в течение </w:t>
      </w:r>
      <w:r>
        <w:rPr>
          <w:rStyle w:val="Style_3_ch"/>
          <w:b w:val="0"/>
          <w:color w:val="000000"/>
          <w:sz w:val="24"/>
        </w:rPr>
        <w:t>9</w:t>
      </w:r>
      <w:r>
        <w:rPr>
          <w:rStyle w:val="Style_3_ch"/>
          <w:b w:val="0"/>
          <w:color w:val="000000"/>
          <w:sz w:val="24"/>
        </w:rPr>
        <w:t>0</w:t>
      </w:r>
      <w:r>
        <w:rPr>
          <w:rStyle w:val="Style_3_ch"/>
          <w:b w:val="0"/>
          <w:color w:val="000000"/>
          <w:sz w:val="24"/>
        </w:rPr>
        <w:t xml:space="preserve"> (</w:t>
      </w:r>
      <w:r>
        <w:rPr>
          <w:rStyle w:val="Style_3_ch"/>
          <w:b w:val="0"/>
          <w:color w:val="000000"/>
          <w:sz w:val="24"/>
        </w:rPr>
        <w:t>девяносто</w:t>
      </w:r>
      <w:r>
        <w:rPr>
          <w:rStyle w:val="Style_3_ch"/>
          <w:b w:val="0"/>
          <w:color w:val="000000"/>
          <w:sz w:val="24"/>
        </w:rPr>
        <w:t xml:space="preserve">) </w:t>
      </w:r>
      <w:r>
        <w:rPr>
          <w:rStyle w:val="Style_3_ch"/>
          <w:b w:val="0"/>
          <w:color w:val="000000"/>
          <w:sz w:val="24"/>
        </w:rPr>
        <w:t>календарных</w:t>
      </w:r>
      <w:r>
        <w:rPr>
          <w:rStyle w:val="Style_3_ch"/>
          <w:b w:val="0"/>
          <w:color w:val="000000"/>
          <w:sz w:val="24"/>
        </w:rPr>
        <w:t xml:space="preserve"> дней.</w:t>
      </w:r>
    </w:p>
    <w:p w14:paraId="09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Style w:val="Style_1_ch"/>
          <w:b w:val="0"/>
          <w:sz w:val="24"/>
        </w:rPr>
      </w:pPr>
      <w:r>
        <w:rPr>
          <w:rStyle w:val="Style_1_ch"/>
          <w:sz w:val="24"/>
          <w:u w:val="single"/>
        </w:rPr>
        <w:t>Требования к качеству, упаковке и поставке товара:</w:t>
      </w:r>
      <w:r>
        <w:rPr>
          <w:rStyle w:val="Style_1_ch"/>
          <w:b w:val="0"/>
          <w:sz w:val="24"/>
        </w:rPr>
        <w:t xml:space="preserve"> </w:t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При наличии заводской упаковки Товар поставляется в заводской упаковке, при отсутствии данной упаковки Товар поставляется в обеспечивающей безопасность, сохранность Товара при транспортировке и хранении упаковке. 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Упаковка, порядок погрузки-разгрузки и транспортировки должны исключать возможность механических повреждений поставляемого Товара. 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Доставка, погрузочно-разгрузочные работы осуществляются силами и за счет средств Поставщика.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Поставляемый Товар должен быть полностью укомплектован.</w:t>
      </w: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Качество Товара должно соответствовать действующим в Российской Федерации стандартам, техническим условиям, требованиям безопасности и сопровождаться сертификатами соответствия и паспортами качества для данного вида Товара.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Товар должен быть новым (ранее не использованным) и не бывшим в употреблении.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Наименование товара и производитель поставляемых товаров должны соответствовать наименованию товара и его производителю, указанным в предоставляемых при поставке товара документах.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Товар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произведённые в России,</w:t>
      </w:r>
      <w:r>
        <w:rPr>
          <w:rFonts w:ascii="Times New Roman" w:hAnsi="Times New Roman"/>
          <w:sz w:val="24"/>
        </w:rPr>
        <w:t xml:space="preserve"> должн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входить в реестр Минпромторга. </w:t>
      </w: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Данная спецификация будет являться приложением к рамочному договору со сроком действия на 2 года, где поставка товара будет обозначена частичными объёмами при помощи подписания заказов. 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 w:val="1"/>
          <w:sz w:val="24"/>
        </w:rPr>
        <w:t xml:space="preserve"> 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Требования к гарантийному сроку товара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Поставщик гарантирует качество поставляемого Товара </w:t>
      </w:r>
      <w:r>
        <w:rPr>
          <w:rFonts w:ascii="Times New Roman" w:hAnsi="Times New Roman"/>
          <w:sz w:val="24"/>
        </w:rPr>
        <w:t xml:space="preserve">на срок </w:t>
      </w:r>
      <w:r>
        <w:rPr>
          <w:rFonts w:ascii="Times New Roman" w:hAnsi="Times New Roman"/>
          <w:sz w:val="24"/>
        </w:rPr>
        <w:t>не менее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z w:val="24"/>
        </w:rPr>
        <w:t xml:space="preserve"> месяцев</w:t>
      </w:r>
      <w:r>
        <w:rPr>
          <w:rFonts w:ascii="Times New Roman" w:hAnsi="Times New Roman"/>
          <w:sz w:val="24"/>
        </w:rPr>
        <w:t>.</w:t>
      </w: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  <w:u w:val="single"/>
        </w:rPr>
        <w:t>.</w:t>
      </w:r>
      <w:r>
        <w:rPr>
          <w:rFonts w:ascii="Times New Roman" w:hAnsi="Times New Roman"/>
          <w:b w:val="1"/>
          <w:sz w:val="24"/>
          <w:u w:val="single"/>
        </w:rPr>
        <w:t>Характеристика  поставляемого товара:</w:t>
      </w:r>
    </w:p>
    <w:tbl>
      <w:tblPr>
        <w:tblStyle w:val="Style_4"/>
        <w:tblW w:type="auto" w:w="0"/>
        <w:tblInd w:type="dxa" w:w="-34"/>
        <w:tblLayout w:type="fixed"/>
      </w:tblPr>
      <w:tblGrid>
        <w:gridCol w:w="851"/>
        <w:gridCol w:w="1843"/>
        <w:gridCol w:w="4961"/>
        <w:gridCol w:w="1559"/>
        <w:gridCol w:w="1701"/>
      </w:tblGrid>
      <w:tr>
        <w:trPr>
          <w:trHeight w:hRule="atLeast" w:val="1150"/>
        </w:trPr>
        <w:tc>
          <w:tcPr>
            <w:tcW w:type="dxa" w:w="851"/>
          </w:tcPr>
          <w:p w14:paraId="15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16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17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№ п/п</w:t>
            </w:r>
          </w:p>
        </w:tc>
        <w:tc>
          <w:tcPr>
            <w:tcW w:type="dxa" w:w="1843"/>
          </w:tcPr>
          <w:p w14:paraId="18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19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1A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товара</w:t>
            </w:r>
          </w:p>
        </w:tc>
        <w:tc>
          <w:tcPr>
            <w:tcW w:type="dxa" w:w="4961"/>
          </w:tcPr>
          <w:p w14:paraId="1B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1C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1D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Характеристика товара</w:t>
            </w:r>
          </w:p>
        </w:tc>
        <w:tc>
          <w:tcPr>
            <w:tcW w:type="dxa" w:w="1559"/>
          </w:tcPr>
          <w:p w14:paraId="1E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1F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20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Кол-во товара</w:t>
            </w:r>
          </w:p>
        </w:tc>
        <w:tc>
          <w:tcPr>
            <w:tcW w:type="dxa" w:w="1701"/>
          </w:tcPr>
          <w:p w14:paraId="21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22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23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Ед.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изм.</w:t>
            </w:r>
          </w:p>
        </w:tc>
      </w:tr>
      <w:tr>
        <w:trPr>
          <w:trHeight w:hRule="atLeast" w:val="2258"/>
        </w:trPr>
        <w:tc>
          <w:tcPr>
            <w:tcW w:type="dxa" w:w="851"/>
          </w:tcPr>
          <w:p w14:paraId="24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</w:p>
          <w:p w14:paraId="25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</w:p>
          <w:p w14:paraId="26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</w:p>
          <w:p w14:paraId="27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</w:p>
          <w:p w14:paraId="28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</w:p>
          <w:p w14:paraId="29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</w:p>
          <w:p w14:paraId="2A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1843"/>
            <w:vAlign w:val="center"/>
          </w:tcPr>
          <w:p w14:paraId="2B000000">
            <w:pPr>
              <w:widowControl w:val="1"/>
              <w:tabs>
                <w:tab w:leader="none" w:pos="1590" w:val="left"/>
              </w:tabs>
              <w:ind/>
              <w:jc w:val="center"/>
              <w:rPr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Домофон (IP-камера видеонаблюдения тип 1)</w:t>
            </w:r>
          </w:p>
        </w:tc>
        <w:tc>
          <w:tcPr>
            <w:tcW w:type="dxa" w:w="4961"/>
          </w:tcPr>
          <w:p w14:paraId="2C000000">
            <w:pPr>
              <w:widowControl w:val="1"/>
              <w:tabs>
                <w:tab w:leader="none" w:pos="70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Форм-фактор: вызывная панель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Антивандальный корпус: Да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Камера видеонаблюдения: Да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Класс защиты IP: IP66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Количество абонентов: 1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Количество кнопок вызова: 1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Комплектация: Вызывная панель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Материал наружных блоков: Металл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Место установки: Уличные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Назначение: на дверь , на калитку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Подключение: Проводное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Протокол связи: SIP/TCP/IP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Разрешение камеры (Матрица/сенсор</w:t>
            </w:r>
            <w:r>
              <w:rPr>
                <w:rFonts w:ascii="Times New Roman" w:hAnsi="Times New Roman"/>
              </w:rPr>
              <w:t>): 2 мп (КМОП 1/2.8</w:t>
            </w:r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Запись на карту памяти: да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Способ монтажа: Накладной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Тип: Ip-домофон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Тип кнопок: Механические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Угол обзора камеры (горизонтальный): не менее </w:t>
            </w:r>
            <w:r>
              <w:rPr>
                <w:rFonts w:ascii="Times New Roman" w:hAnsi="Times New Roman"/>
              </w:rPr>
              <w:t>85 градусов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Цвет наружных блоков: серый или черный.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Питание: PoE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Широкий динамический диапазон (WDR): есть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ИК-подсветка: с дальностью не менее 10 метров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Скорость затвора От 1/25 до 1/8000 сек.</w:t>
            </w:r>
          </w:p>
          <w:p w14:paraId="2D000000">
            <w:pPr>
              <w:widowControl w:val="1"/>
              <w:tabs>
                <w:tab w:leader="none" w:pos="708" w:val="left"/>
              </w:tabs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559"/>
            <w:vAlign w:val="center"/>
          </w:tcPr>
          <w:p w14:paraId="2E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171</w:t>
            </w:r>
          </w:p>
        </w:tc>
        <w:tc>
          <w:tcPr>
            <w:tcW w:type="dxa" w:w="1701"/>
            <w:vAlign w:val="center"/>
          </w:tcPr>
          <w:p w14:paraId="2F000000">
            <w:pPr>
              <w:widowControl w:val="1"/>
              <w:ind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шт.</w:t>
            </w:r>
          </w:p>
        </w:tc>
      </w:tr>
      <w:tr>
        <w:trPr>
          <w:trHeight w:hRule="atLeast" w:val="3042"/>
        </w:trPr>
        <w:tc>
          <w:tcPr>
            <w:tcW w:type="dxa" w:w="851"/>
            <w:vAlign w:val="center"/>
          </w:tcPr>
          <w:p w14:paraId="30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1843"/>
            <w:vAlign w:val="center"/>
          </w:tcPr>
          <w:p w14:paraId="31000000">
            <w:pPr>
              <w:widowControl w:val="1"/>
              <w:tabs>
                <w:tab w:leader="none" w:pos="1590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IP-камера видеонаблюдения тип 2</w:t>
            </w:r>
          </w:p>
        </w:tc>
        <w:tc>
          <w:tcPr>
            <w:tcW w:type="dxa" w:w="4961"/>
          </w:tcPr>
          <w:p w14:paraId="32000000">
            <w:pPr>
              <w:widowControl w:val="1"/>
              <w:tabs>
                <w:tab w:leader="none" w:pos="70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Форм-фактор: цилиндрическая; Камера видеонаблюдения: Да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Класс защиты IP: IP66 или IP67; Материал: Металлический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Место установки: Уличные; Назначение: на стену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Подключение: Проводное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Протокол связи: RTP через TCP/IP, CMP, HTTP, HTTPS, DHCP, DNS, RTP, RTSP, RTCP, NTP, UDP, ONVIF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Разрешение камеры (матрица): не менее 5 мп (не менее 1/2,</w:t>
            </w: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” CMOS-сенсор с прогрессивной разверткой)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ИК-подстветка: не менее 50 м.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Угол обзора камеры (горизонтальный): не хуже от </w:t>
            </w:r>
            <w:r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 xml:space="preserve"> до 1</w:t>
            </w: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 градусов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Угол обзора камеры (вертикальный): не хуже от 23 до 56 градусов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Цвет наружных блоков: белый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Фокусное расстояние: </w:t>
            </w:r>
            <w:r>
              <w:rPr>
                <w:rFonts w:ascii="Times New Roman" w:hAnsi="Times New Roman"/>
              </w:rPr>
              <w:t xml:space="preserve">не хуже </w:t>
            </w: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– 1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мм.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Количество потоков: не менее 2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Широкий динамический диапазон (WDR): наличие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Чувствительность: не </w:t>
            </w:r>
            <w:r>
              <w:rPr>
                <w:rFonts w:ascii="Times New Roman" w:hAnsi="Times New Roman"/>
              </w:rPr>
              <w:t>более</w:t>
            </w:r>
            <w:r>
              <w:rPr>
                <w:rFonts w:ascii="Times New Roman" w:hAnsi="Times New Roman"/>
              </w:rPr>
              <w:t xml:space="preserve"> 0.1 Лк (цветное)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Режим «День/ночь» - ИК-фильтр с автопереключением: есть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Форматы сжатия: Н.264 BP / Н.264 MP / Н.264 HP / H.265 MP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Разрешение основного потока видео: не менее 2560 × 1440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Разрешение дополнительного потока видео: не менее  1280 × 720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Битрейт: не менее 512 – 8192 Кбит/с, VBR / CBR (вариация ≤ ±10%)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Диапазон рабочих температур, ºС: не уже от -</w:t>
            </w:r>
            <w:r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 xml:space="preserve"> до +50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Размеры: в пределах 242-283 × 84-107 × 88-107 мм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Питание: PoE</w:t>
            </w:r>
          </w:p>
          <w:p w14:paraId="33000000">
            <w:pPr>
              <w:widowControl w:val="1"/>
              <w:tabs>
                <w:tab w:leader="none" w:pos="70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Встроенный нагревательный элемент: наличие</w:t>
            </w:r>
          </w:p>
          <w:p w14:paraId="34000000">
            <w:pPr>
              <w:widowControl w:val="1"/>
              <w:tabs>
                <w:tab w:leader="none" w:pos="708" w:val="left"/>
              </w:tabs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</w:rPr>
              <w:t>Страна производства: РФ</w:t>
            </w:r>
          </w:p>
        </w:tc>
        <w:tc>
          <w:tcPr>
            <w:tcW w:type="dxa" w:w="1559"/>
            <w:vAlign w:val="center"/>
          </w:tcPr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300</w:t>
            </w:r>
          </w:p>
        </w:tc>
        <w:tc>
          <w:tcPr>
            <w:tcW w:type="dxa" w:w="1701"/>
            <w:vAlign w:val="center"/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шт.</w:t>
            </w:r>
          </w:p>
        </w:tc>
      </w:tr>
      <w:tr>
        <w:trPr>
          <w:trHeight w:hRule="atLeast" w:val="3042"/>
        </w:trPr>
        <w:tc>
          <w:tcPr>
            <w:tcW w:type="dxa" w:w="851"/>
            <w:vAlign w:val="center"/>
          </w:tcPr>
          <w:p w14:paraId="37000000">
            <w:pPr>
              <w:widowControl w:val="1"/>
              <w:tabs>
                <w:tab w:leader="none" w:pos="708" w:val="left"/>
              </w:tabs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type="dxa" w:w="1843"/>
            <w:vAlign w:val="center"/>
          </w:tcPr>
          <w:p w14:paraId="38000000">
            <w:pPr>
              <w:widowControl w:val="1"/>
              <w:tabs>
                <w:tab w:leader="none" w:pos="1590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IP-камера видеонаблюдения тип 3</w:t>
            </w:r>
          </w:p>
        </w:tc>
        <w:tc>
          <w:tcPr>
            <w:tcW w:type="dxa" w:w="4961"/>
          </w:tcPr>
          <w:p w14:paraId="39000000">
            <w:pPr>
              <w:widowControl w:val="1"/>
              <w:tabs>
                <w:tab w:leader="none" w:pos="708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Форм-фактор: цилиндрическая; Камера видеонаблюдения: Да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Класс защиты IP: IP67 или IP66; Материал: Металлический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Место установки: Уличные; Назначение: на стену; Подключение: Проводное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Протокол связи: RTP через TCP/IP, CMP, HTTP, HTTPS, DHCP, DNS, RTP, RTSP, RTCP, NTP, UDP, ONVIF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Разрешение камеры (матрица): не менее </w:t>
            </w: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 xml:space="preserve"> мп (сенсор КМОП не менее 1/2.</w:t>
            </w:r>
            <w:r>
              <w:rPr>
                <w:rFonts w:ascii="Times New Roman" w:hAnsi="Times New Roman"/>
                <w:sz w:val="20"/>
              </w:rPr>
              <w:t>7</w:t>
            </w:r>
            <w:r>
              <w:rPr>
                <w:rFonts w:ascii="Times New Roman" w:hAnsi="Times New Roman"/>
                <w:sz w:val="20"/>
              </w:rPr>
              <w:t xml:space="preserve">"); оптический зум (оптическое увеличение): не менее </w:t>
            </w:r>
            <w:r>
              <w:rPr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ИК-подсветка: не менее 70 м.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Угол обзора камеры (горизонтальный): в пределах от </w:t>
            </w: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 xml:space="preserve"> до </w:t>
            </w:r>
            <w:r>
              <w:rPr>
                <w:rFonts w:ascii="Times New Roman" w:hAnsi="Times New Roman"/>
                <w:sz w:val="20"/>
              </w:rPr>
              <w:t>56</w:t>
            </w:r>
            <w:r>
              <w:rPr>
                <w:rFonts w:ascii="Times New Roman" w:hAnsi="Times New Roman"/>
                <w:sz w:val="20"/>
              </w:rPr>
              <w:t xml:space="preserve"> градусов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Угол обзора камеры (вертикальный):в пределах от </w:t>
            </w: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 xml:space="preserve"> до 27 градусов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Цвет наружных блоков: белый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Фокусное расстояние (объектив): в пределах не </w:t>
            </w: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  <w:t>98</w:t>
            </w:r>
            <w:r>
              <w:rPr>
                <w:rFonts w:ascii="Times New Roman" w:hAnsi="Times New Roman"/>
                <w:sz w:val="20"/>
              </w:rPr>
              <w:t xml:space="preserve"> мм. (Моторизованный, не менее  F2.0, АРД); Количество потоков: не менее 2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Широкий динамический диапазон (WDR) аппаратный: не менее 1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 xml:space="preserve">0dB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Чувствительность: не</w:t>
            </w:r>
            <w:r>
              <w:rPr>
                <w:rFonts w:ascii="Times New Roman" w:hAnsi="Times New Roman"/>
                <w:sz w:val="20"/>
              </w:rPr>
              <w:t xml:space="preserve"> более</w:t>
            </w:r>
            <w:r>
              <w:rPr>
                <w:rFonts w:ascii="Times New Roman" w:hAnsi="Times New Roman"/>
                <w:sz w:val="20"/>
              </w:rPr>
              <w:t xml:space="preserve"> 0.0</w:t>
            </w:r>
            <w:r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5 лк (день) / 0.01 лк (ночь)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Режим «День/ночь» - ИК-фильтр с автопереключением: есть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Скорость затвора: от 1 до 1/100000 сек.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Форматы сжатия: H.265 MP, H.264 MP/BP/HP, Motion JPEG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Разрешение основного потока видео: не менее </w:t>
            </w:r>
            <w:r>
              <w:rPr>
                <w:rFonts w:ascii="Times New Roman" w:hAnsi="Times New Roman"/>
                <w:sz w:val="20"/>
              </w:rPr>
              <w:t>2560 × 1440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Разрешение дополнительного потока видео: не менее  </w:t>
            </w:r>
            <w:r>
              <w:rPr>
                <w:rFonts w:ascii="Times New Roman" w:hAnsi="Times New Roman"/>
                <w:sz w:val="20"/>
              </w:rPr>
              <w:t>1280 х 720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Битрейт: не менее От 32 кбит/с до 8 Мбит/с (режимы работы VBR/CBR)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Параметры изображения (Яркость, контраст, насыщенность, резкость, поворот, переворот, отражение, АРУ, цифровая стабилизация изображения, баланс белого, выдержка (авто, вручную), компенсация засветки, BLC, HLC, антитуман, режим ИК-баланса): есть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Диапазон рабочих температур, ºС: в пределах от -</w:t>
            </w: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0 до +50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Размеры: в пределах </w:t>
            </w:r>
            <w:r>
              <w:rPr>
                <w:rFonts w:ascii="Times New Roman" w:hAnsi="Times New Roman"/>
                <w:sz w:val="20"/>
              </w:rPr>
              <w:t>8</w:t>
            </w:r>
            <w:r>
              <w:rPr>
                <w:rFonts w:ascii="Times New Roman" w:hAnsi="Times New Roman"/>
                <w:sz w:val="20"/>
              </w:rPr>
              <w:t>0-134x</w:t>
            </w:r>
            <w:r>
              <w:rPr>
                <w:rFonts w:ascii="Times New Roman" w:hAnsi="Times New Roman"/>
                <w:sz w:val="20"/>
              </w:rPr>
              <w:t>75</w:t>
            </w:r>
            <w:r>
              <w:rPr>
                <w:rFonts w:ascii="Times New Roman" w:hAnsi="Times New Roman"/>
                <w:sz w:val="20"/>
              </w:rPr>
              <w:t>-126x2</w:t>
            </w:r>
            <w:r>
              <w:rPr>
                <w:rFonts w:ascii="Times New Roman" w:hAnsi="Times New Roman"/>
                <w:sz w:val="20"/>
              </w:rPr>
              <w:t>33</w:t>
            </w:r>
            <w:r>
              <w:rPr>
                <w:rFonts w:ascii="Times New Roman" w:hAnsi="Times New Roman"/>
                <w:sz w:val="20"/>
              </w:rPr>
              <w:t>-330мм (с выдвинутым козырьком)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Питание: PoE; Поддержка карт памяти (не менее </w:t>
            </w:r>
            <w:r>
              <w:rPr>
                <w:rFonts w:ascii="Times New Roman" w:hAnsi="Times New Roman"/>
                <w:sz w:val="20"/>
              </w:rPr>
              <w:t>512</w:t>
            </w:r>
            <w:r>
              <w:rPr>
                <w:rFonts w:ascii="Times New Roman" w:hAnsi="Times New Roman"/>
                <w:sz w:val="20"/>
              </w:rPr>
              <w:t xml:space="preserve"> ГБ): есть</w:t>
            </w:r>
          </w:p>
          <w:p w14:paraId="3A000000">
            <w:pPr>
              <w:widowControl w:val="1"/>
              <w:tabs>
                <w:tab w:leader="none" w:pos="708" w:val="left"/>
              </w:tabs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</w:rPr>
              <w:t>Страна производства: РФ</w:t>
            </w:r>
          </w:p>
        </w:tc>
        <w:tc>
          <w:tcPr>
            <w:tcW w:type="dxa" w:w="1559"/>
            <w:vAlign w:val="center"/>
          </w:tcPr>
          <w:p w14:paraId="3B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  <w:tc>
          <w:tcPr>
            <w:tcW w:type="dxa" w:w="1701"/>
            <w:vAlign w:val="center"/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шт.</w:t>
            </w:r>
          </w:p>
        </w:tc>
      </w:tr>
    </w:tbl>
    <w:p w14:paraId="3D000000"/>
    <w:sectPr>
      <w:pgSz w:h="15840" w:orient="portrait" w:w="12240"/>
      <w:pgMar w:bottom="567" w:footer="720" w:gutter="0" w:header="720" w:left="992" w:right="618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  <w:rPr>
        <w:b w:val="0"/>
        <w:i w:val="0"/>
        <w:color w:val="000000"/>
        <w:u w:val="none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List Paragraph"/>
    <w:basedOn w:val="Style_5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5_ch"/>
    <w:link w:val="Style_2"/>
  </w:style>
  <w:style w:styleId="Style_3" w:type="paragraph">
    <w:name w:val="Основной текст (3) + Не полужирный"/>
    <w:basedOn w:val="Style_12"/>
    <w:link w:val="Style_3_ch"/>
    <w:rPr>
      <w:rFonts w:ascii="Times New Roman" w:hAnsi="Times New Roman"/>
      <w:b w:val="1"/>
      <w:color w:val="000000"/>
      <w:spacing w:val="0"/>
      <w:sz w:val="26"/>
      <w:u w:val="none"/>
    </w:rPr>
  </w:style>
  <w:style w:styleId="Style_3_ch" w:type="character">
    <w:name w:val="Основной текст (3) + Не полужирный"/>
    <w:basedOn w:val="Style_12_ch"/>
    <w:link w:val="Style_3"/>
    <w:rPr>
      <w:rFonts w:ascii="Times New Roman" w:hAnsi="Times New Roman"/>
      <w:b w:val="1"/>
      <w:color w:val="000000"/>
      <w:spacing w:val="0"/>
      <w:sz w:val="26"/>
      <w:u w:val="none"/>
    </w:rPr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Основной текст (2) + Полужирный"/>
    <w:basedOn w:val="Style_12"/>
    <w:link w:val="Style_1_ch"/>
    <w:rPr>
      <w:rFonts w:ascii="Times New Roman" w:hAnsi="Times New Roman"/>
      <w:b w:val="1"/>
      <w:color w:val="000000"/>
      <w:spacing w:val="0"/>
      <w:sz w:val="26"/>
      <w:highlight w:val="white"/>
    </w:rPr>
  </w:style>
  <w:style w:styleId="Style_1_ch" w:type="character">
    <w:name w:val="Основной текст (2) + Полужирный"/>
    <w:basedOn w:val="Style_12_ch"/>
    <w:link w:val="Style_1"/>
    <w:rPr>
      <w:rFonts w:ascii="Times New Roman" w:hAnsi="Times New Roman"/>
      <w:b w:val="1"/>
      <w:color w:val="000000"/>
      <w:spacing w:val="0"/>
      <w:sz w:val="26"/>
      <w:highlight w:val="white"/>
    </w:rPr>
  </w:style>
  <w:style w:styleId="Style_14" w:type="paragraph">
    <w:name w:val="heading 5"/>
    <w:next w:val="Style_5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basedOn w:val="Style_5"/>
    <w:link w:val="Style_15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5_ch" w:type="character">
    <w:name w:val="heading 1"/>
    <w:basedOn w:val="Style_5_ch"/>
    <w:link w:val="Style_15"/>
    <w:rPr>
      <w:rFonts w:ascii="Times New Roman" w:hAnsi="Times New Roman"/>
      <w:b w:val="1"/>
      <w:sz w:val="48"/>
    </w:rPr>
  </w:style>
  <w:style w:styleId="Style_16" w:type="paragraph">
    <w:name w:val="Balloon Text"/>
    <w:basedOn w:val="Style_5"/>
    <w:link w:val="Style_16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6_ch" w:type="character">
    <w:name w:val="Balloon Text"/>
    <w:basedOn w:val="Style_5_ch"/>
    <w:link w:val="Style_16"/>
    <w:rPr>
      <w:rFonts w:ascii="Tahoma" w:hAnsi="Tahoma"/>
      <w:sz w:val="16"/>
    </w:rPr>
  </w:style>
  <w:style w:styleId="Style_17" w:type="paragraph">
    <w:name w:val="Hyperlink"/>
    <w:basedOn w:val="Style_12"/>
    <w:link w:val="Style_17_ch"/>
    <w:rPr>
      <w:color w:val="2060A4"/>
      <w:u w:val="none"/>
    </w:rPr>
  </w:style>
  <w:style w:styleId="Style_17_ch" w:type="character">
    <w:name w:val="Hyperlink"/>
    <w:basedOn w:val="Style_12_ch"/>
    <w:link w:val="Style_17"/>
    <w:rPr>
      <w:color w:val="2060A4"/>
      <w:u w:val="non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ConsNormal"/>
    <w:link w:val="Style_24_ch"/>
    <w:pPr>
      <w:widowControl w:val="1"/>
      <w:spacing w:after="0" w:line="240" w:lineRule="auto"/>
      <w:ind w:firstLine="720" w:right="19772"/>
    </w:pPr>
    <w:rPr>
      <w:rFonts w:ascii="Arial" w:hAnsi="Arial"/>
      <w:sz w:val="20"/>
    </w:rPr>
  </w:style>
  <w:style w:styleId="Style_24_ch" w:type="character">
    <w:name w:val="ConsNormal"/>
    <w:link w:val="Style_24"/>
    <w:rPr>
      <w:rFonts w:ascii="Arial" w:hAnsi="Arial"/>
      <w:sz w:val="20"/>
    </w:rPr>
  </w:style>
  <w:style w:styleId="Style_25" w:type="paragraph">
    <w:name w:val="Subtitle"/>
    <w:next w:val="Style_5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5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5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5"/>
    <w:next w:val="Style_5"/>
    <w:link w:val="Style_28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28_ch" w:type="character">
    <w:name w:val="heading 2"/>
    <w:basedOn w:val="Style_5_ch"/>
    <w:link w:val="Style_28"/>
    <w:rPr>
      <w:rFonts w:asciiTheme="majorAscii" w:hAnsiTheme="majorHAnsi"/>
      <w:b w:val="1"/>
      <w:color w:themeColor="accent1" w:val="4F81BD"/>
      <w:sz w:val="26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" w:type="table">
    <w:name w:val="Сетка таблицы1"/>
    <w:basedOn w:val="Style_29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2026-09-18T06:59:00Z</dcterms:created>
  <dcterms:modified xsi:type="dcterms:W3CDTF">2026-09-18T07:47:08Z</dcterms:modified>
</cp:coreProperties>
</file>