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/>
      </w:r>
    </w:p>
    <w:p>
      <w:pPr>
        <w:pStyle w:val="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ТЕХНИЧЕСКОЕ ЗАДАНИЕ № 1</w:t>
        <w:br/>
        <w:t>Реализация коммуникационных проектов и проведение PR-мероприятий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Предельная стоимость / проект НМЦ: 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Универсальное ТЗ для коммуникационных и имиджевых мероприятий Дагестанского филиала ПАО «РусГидро» без привязки к конкретному стороннему событию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Заказчик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Дагестанский филиал ПАО «РусГидро»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Бюджетный титул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 xml:space="preserve">PR, реклама (прочие расходы) — «Реализация коммуникационных проектов и проведение PR-мероприятий»; 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Предмет закупки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Комплекс услуг по разработке и реализации коммуникационных проектов и проведению PR-мероприятий Заказчика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Территория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Республика Дагестан; отдельные работы могут выполняться дистанционно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Нормативная и закупочная основа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Федеральный закон от 18.07.2011 № 223-ФЗ «О закупках товаров, работ, услуг отдельными видами юридических лиц» — в части принципов закупочной деятельности и требований к закупкам.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Единое положение о проведении неконкурентной закупки в Группе РусГидро, утвержденное приказом ПАО «РусГидро» от 23.01.2025 № 54.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Единая методика формирования плановой цены на закупаемую продукцию для организаций Группы РусГидро, утвержденная приказом ПАО «РусГидро» от 21.11.2024 № 806.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должны быть объективно связаны с потребностью Заказчика, применяться одинаково ко всем участникам и не содержать необоснованных ограничений конкуренции.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Предельная стоимость в настоящем ТЗ является лимитом закупки. Плановая цена/НМЦ и комплект ценовых документов формируются отдельно по применимому методу Методики № 806.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предмет включает услуги и материальную продукцию разных частных категорий, расчет плановой цены выполняется по соответствующим частным категориям с последующим суммированием в итоговую цену комплексного лота.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Цель и принципы исполнения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 — обеспечить профессиональное информационное и имиджевое сопровождение деятельности Заказчика, его проектов, производственных, социальных, экологических, просветительских и корпоративных инициатив.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Конкретные темы, даты, площадки и информационные поводы определяются заявками Заказчика в период исполнения договора и не изменяют общий предмет закупки.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материалы должны соответствовать корпоративному стилю Заказчика, требованиям к использованию фирменной символики и согласованной информационной политике.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 не вправе публиковать или передавать материалы третьим лицам без согласования, если иное прямо не предусмотрено заявкой Заказчика.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Состав услуг и требования к результату</w:t>
      </w:r>
    </w:p>
    <w:tbl>
      <w:tblPr>
        <w:tblStyle w:val="TableGrid"/>
        <w:tblW w:w="10480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№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Работа / продукция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Объем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Минимальное содержание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Критерий приемки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Коммуникационная концепция и PR-план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комплект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Анализ целей и аудиторий; ключевые сообщения; карта каналов; календарь инфоповодов; сценарии коммуникаций; риски и порядок согласования.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Согласованный документ в DOCX/PPTX + PDF.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Креативная и визуальная поддержка PR-мероприятий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Разработка key visual и не менее 8 адаптивных макетов для цифровых и печатных форматов; адаптация под фирменный стиль.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Исходники + готовые файлы; отсутствие неурегулированных прав.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Редакционно-текстовый контент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15 материалов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Пресс-релизы, анонсы, посты, справочные материалы, тезисы, информационные карточки, тексты для раздаточных материалов.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Редактируемые файлы; факт-чекинг; согласование Заказчиком.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Фото- и видеопроизводство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Фото/видеосъемка мероприятий и проектов Заказчика: не менее 120 обработанных фото; не менее 20 коротких видеоклипов; базовая цветокоррекция.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Структурированная передача материалов, включая исходники по согласованию.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Имиджевые видеоматериалы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3 роликов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Монтаж роликов 30–90 сек., версии 16:9 и 9:16, титры/графика, адаптация для социальных сетей и экранов.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Full HD не ниже 1920×1080; правомерное использование музыки/графики.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Информационные баннеры и мобильные рекламные конструкции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Изготовление баннеров/панелей/пресс-воллов и элементов навигации по утвержденным макетам; суммарная площадь печати до 35 м².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Готовность к эксплуатации, аккуратная печать, комплектность.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Брендированные флаги и текстильные носители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12 шт.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Печать на полиэфирной ткани, обработка края, крепление по согласованному типу.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Макет согласован; дефекты печати/швов отсутствуют.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Информационная полиграфия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700 экз. совокупно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Листовки, буклеты, карточки, программы, памятки; полноцветная печать; тираж распределяется по заявкам Заказчика.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Тираж и качество соответствуют согласованным макетам.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Брендированная информационно-сувенирная продукция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комплект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Раздаточная продукция с корпоративной символикой для коммуникационных целей. Номенклатура и количество согласуются до производства; материальные позиции указываются отдельными строками в ТКП.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Новая продукция, нанесение символики, документы о соответствии при обязательности.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10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Информационно-имиджевые издания/книги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20 шт.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Полиграфические/книжные материалы информационно-просветительской направленности, связанные с энергетикой, экологией, культурой, историей и территорией присутствия.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Конкретные варианты согласуются Заказчиком; без фиксации автора/издательства в ТЗ.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11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Организация PR-зоны/информационной точки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2 выездов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Монтаж информационной зоны, размещение материалов, техническая подготовка, демонтаж; без капитальных конструкций.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Фотофиксация готовой зоны и акт оказанных услуг.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12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Медиамониторинг и итоговая аналитика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отчет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Реестр подготовленных/размещенных материалов, ссылки, скриншоты, охватные показатели при наличии, выводы и рекомендации.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XLSX/DOCX + PDF; подтверждающие материалы приложены.</w:t>
            </w:r>
          </w:p>
        </w:tc>
      </w:tr>
    </w:tbl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Лимитная калькуляция для Запроса ТКП</w:t>
      </w:r>
    </w:p>
    <w:tbl>
      <w:tblPr>
        <w:tblStyle w:val="TableGrid"/>
        <w:tblW w:w="10480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2620"/>
        <w:gridCol w:w="2620"/>
        <w:gridCol w:w="2622"/>
        <w:gridCol w:w="2617"/>
      </w:tblGrid>
      <w:tr>
        <w:trPr>
          <w:tblHeader w:val="true"/>
        </w:trPr>
        <w:tc>
          <w:tcPr>
            <w:tcW w:w="2620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№</w:t>
            </w:r>
          </w:p>
        </w:tc>
        <w:tc>
          <w:tcPr>
            <w:tcW w:w="2620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Позиция</w:t>
            </w:r>
          </w:p>
        </w:tc>
        <w:tc>
          <w:tcPr>
            <w:tcW w:w="2622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Объем</w:t>
            </w:r>
          </w:p>
        </w:tc>
        <w:tc>
          <w:tcPr>
            <w:tcW w:w="2617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Лимит, руб. без НДС</w:t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Коммуникационная концепция и PR-план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компл.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Креативная и визуальная поддержка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Редакционно-текстовый контент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Фото- и видеопроизводство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Имиджевые видеоматериалы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3 роликов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Баннеры/мобильные рекламные конструкции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Флаги и текстильные носители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12 шт.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Информационная полиграфия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700 экз.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Брендированная информационно-сувенирная продукция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компл.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10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Информационно-имиджевые издания/книги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20 шт.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11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Организация PR-зоны/информационной точки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2 выездов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12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Медиамониторинг и итоговая аналитика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отчет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ИТОГО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Важно: </w:t>
      </w:r>
      <w:r>
        <w:rPr>
          <w:rFonts w:ascii="Times New Roman" w:hAnsi="Times New Roman"/>
          <w:sz w:val="26"/>
          <w:szCs w:val="26"/>
        </w:rPr>
        <w:t>калькуляция задает предельное распределение для формирования предложения. Для материальных позиций и услуг, относящихся к разным частным категориям, плановая цена обосновывается по Методике № 806 отдельно по категориям с последующим суммированием.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Порядок заявок и согласования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течение 2 рабочих дней после начала исполнения Исполнитель предоставляет календарный план и контакт ответственного координатора.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Конкретные задания Заказчика направляются в письменной/электронной форме и содержат тему, требуемый результат, формат и срок.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Печатная, сувенирная и иная материальная продукция запускается в производство только после согласования макета/спецификации.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Замена согласованной номенклатуры допускается только с письменного согласия Заказчика и без ухудшения характеристик/увеличения цены.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Требования к исполнителю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Правоспособность и наличие ресурсов для выполнения комплекса услуг; допускаются соисполнители при полной ответственности Исполнителя.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Наличие не менее одного сопоставимого проекта в сфере PR, коммуникаций, производства контента или организации информационных мероприятий за последние 3 года; подтверждение — договор/акт/письмо-рекомендация или иной документ.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ТКП — калькуляция по каждой позиции, сроки, производственная схема, сведения о координаторе и соисполнителях.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 обеспечивает законность использования изображений, музыки, шрифтов и иных объектов интеллектуальной собственности и передает Заказчику права в объеме, необходимом для бессрочного корпоративного использования созданных материалов.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Приемка и отчетность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Этап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Подтверждение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Промежуточное согласование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Макеты, тексты, сценарии и спецификации, согласованные Заказчиком.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Передача результата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Файлы в редактируемых/экспортных форматах, материальная продукция по накладной/УПД при применимости.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Итоговый отчет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Перечень выполненных заявок, ссылки/скриншоты, фотофиксация, реестр переданных файлов/продукции.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Закрывающие документы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Акт оказанных услуг и иные документы по договору.</w:t>
            </w:r>
          </w:p>
        </w:tc>
      </w:tr>
    </w:tbl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 Специальные условия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ТЗ не устанавливает финансирование конкретного стороннего фестиваля, проекта или мероприятия. Услуги оказываются исключительно в интересах коммуникационных задач Заказчика.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 допускаются требования к конкретным торговым маркам, авторам, издателям или поставщикам, если это не обусловлено совместимостью/исключительными правами и не оформлено по правилам ЕПоЗ.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Сувенирная продукция используется как информационно-коммуникационный носитель; персональное награждение/подарки отдельным должностным лицам в предмет данного ТЗ не входят.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 Рабочий чек-лист закупочной процедуры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Шаг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Действие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Подтвердить бюджетный титул, лимит, наличие закупки в ГКПЗ либо решение о внеплановой закупке.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Утвердить ТЗ, сроки, требования к результату и объективные требования к участникам.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Определить категорию/частные категории продукции по Методике № 806 и сформировать обоснование плановой цены/НМЦ на основе сопоставимой ценовой информации.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Подготовить Запрос ТКП и проект договора. Цена предложения участника должна включать все расходы, необходимые для полного исполнения ТЗ.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Определить способ проведения закупки по действующим ЕПоЗ/ЛНД(А). Для нерегламентированной закупки свыше 100 000 руб. без НДС анализ рынка и Аналитическая записка обязательны; для упрощенной закупки действуют специальные условия Положения № 54.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При адресной рассылке соблюдать требования применимого способа к количеству адресатов/полученных ТКП; фиксировать направление Запроса ТКП и поступившие ответы.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Проверить соответствие ТКП требованиям ТЗ. Выбор потенциального контрагента производить по правилам применимого способа закупки; при нескольких соответствующих предложениях — с учетом минимальной цены, если иное не предусмотрено ЕПоЗ.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Оформить и утвердить Аналитическую записку (если требуется), приложив Запрос ТКП, предложения, материалы анализа рынка и обоснование выбора.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После оформления результата перейти к договорной работе и обеспечить приемку строго по измеримым результатам настоящего ТЗ.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Предельная стоимость закупки: 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 Согласование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Роль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 w:val="17"/>
                <w:szCs w:val="22"/>
                <w:lang w:val="en-US" w:eastAsia="en-US" w:bidi="ar-SA"/>
              </w:rPr>
              <w:t>Подпись / Ф.И.О.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Технический куратор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________________ / ______________________________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Ответственный исполнитель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________________ / ______________________________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Дата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7"/>
                <w:szCs w:val="22"/>
                <w:lang w:val="en-US" w:eastAsia="en-US" w:bidi="ar-SA"/>
              </w:rPr>
              <w:t>«___» __________ 2026 г.</w:t>
            </w:r>
          </w:p>
        </w:tc>
      </w:tr>
    </w:tbl>
    <w:sectPr>
      <w:headerReference w:type="default" r:id="rId2"/>
      <w:footerReference w:type="default" r:id="rId3"/>
      <w:type w:val="nextPage"/>
      <w:pgSz w:w="12240" w:h="15840"/>
      <w:pgMar w:left="964" w:right="794" w:gutter="0" w:header="397" w:top="907" w:footer="397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5"/>
      </w:rPr>
      <w:t xml:space="preserve">Проект технического задания  | 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sz w:val="15"/>
      </w:rPr>
      <w:t>Дагестанский филиал ПАО «РусГидро»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2" w:before="0" w:after="60"/>
      <w:jc w:val="left"/>
    </w:pPr>
    <w:rPr>
      <w:rFonts w:ascii="Arial" w:hAnsi="Arial" w:eastAsia="ＭＳ 明朝" w:cs="" w:cstheme="minorBidi" w:eastAsiaTheme="minorEastAsia"/>
      <w:color w:val="auto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40" w:after="8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">
    <w:name w:val="Указатель"/>
    <w:basedOn w:val="Normal"/>
    <w:qFormat/>
    <w:pPr>
      <w:suppressLineNumbers/>
    </w:pPr>
    <w:rPr>
      <w:rFonts w:cs="Arial Unicode MS"/>
    </w:rPr>
  </w:style>
  <w:style w:type="paragraph" w:styleId="Style2">
    <w:name w:val="Колонтитул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spacing w:val="5"/>
      <w:kern w:val="2"/>
      <w:sz w:val="3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1">
    <w:name w:val="List Bullet 31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Styl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AlterOffice/2026.2.0.0$Linux_X86_64 LibreOffice_project/bc4ef1adf80b36c7a6365f8ed6cbf29021361edd</Application>
  <AppVersion>15.0000</AppVersion>
  <Pages>8</Pages>
  <Words>1252</Words>
  <Characters>9113</Characters>
  <CharactersWithSpaces>10162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>alievaam@corp.gidroogk.com</cp:lastModifiedBy>
  <dcterms:modified xsi:type="dcterms:W3CDTF">2026-09-22T12:27:57Z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