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Title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ТЕХНИЧЕСКОЕ ЗАДАНИЕ № 3</w:t>
        <w:br/>
        <w:t>Услуги по организации корпоративных мероприятий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Предельная стоимость / проект НМЦ: </w:t>
      </w:r>
    </w:p>
    <w:p>
      <w:pPr>
        <w:pStyle w:val="Normal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i/>
          <w:sz w:val="26"/>
          <w:szCs w:val="26"/>
        </w:rPr>
        <w:t>Включая самостоятельные блоки по организации велопробега и автопробега, а также организационно-техническое сопровождение иных корпоративных мероприятий Заказчика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Заказчик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Дагестанский филиал ПАО «РусГидро»</w:t>
            </w:r>
          </w:p>
        </w:tc>
      </w:tr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Бюджетный титул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«Расходы на PR услуги, рекламные акции, СМИ в рамках корпоративных мероприятий и организация корпоративных мероприятий (91 сч.)» — «Услуги по организации корпоративных мероприятий»;</w:t>
            </w:r>
          </w:p>
        </w:tc>
      </w:tr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Предмет закупки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Организационно-технические услуги по подготовке и проведению корпоративных мероприятий Заказчика</w:t>
            </w:r>
          </w:p>
        </w:tc>
      </w:tr>
      <w:tr>
        <w:trPr/>
        <w:tc>
          <w:tcPr>
            <w:tcW w:w="5241" w:type="dxa"/>
            <w:tcBorders/>
            <w:shd w:fill="EDEDED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Территория</w:t>
            </w:r>
          </w:p>
        </w:tc>
        <w:tc>
          <w:tcPr>
            <w:tcW w:w="524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Республика Дагестан; конкретные маршруты и площадки согласуются Заказчиком</w:t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Нормативная и закупочная основа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Федеральный закон от 18.07.2011 № 223-ФЗ «О закупках товаров, работ, услуг отдельными видами юридических лиц» — в части принципов закупочной деятельности и требований к закупкам.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Единое положение о проведении неконкурентной закупки в Группе РусГидро, утвержденное приказом ПАО «РусГидро» от 23.01.2025 № 54.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Единая методика формирования плановой цены на закупаемую продукцию для организаций Группы РусГидро, утвержденная приказом ПАО «РусГидро» от 21.11.2024 № 806.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должны быть объективно связаны с потребностью Заказчика, применяться одинаково ко всем участникам и не содержать необоснованных ограничений конкуренции.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Предельная стоимость в настоящем ТЗ является лимитом закупки. Плановая цена/НМЦ и комплект ценовых документов формируются отдельно по применимому методу Методики № 806.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 Структура предмета закупки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Блок А — организация велопробега Заказчика как самостоятельного корпоративного/имиджевого мероприятия: 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Блок Б — организация автопробега Заказчика как самостоятельного корпоративного/имиджевого мероприятия: 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Блок В — организационно-техническое сопровождение иных корпоративных мероприятий Заказчика по заявкам в пределах периода действия договора: 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Велопробег и автопробег являются самостоятельными корпоративными/имиджевыми мероприятиями Заказчика; для каждого формируются отдельные маршрутный план, тайминг, реестр и отчет.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3. Технические требования</w:t>
      </w:r>
    </w:p>
    <w:tbl>
      <w:tblPr>
        <w:tblStyle w:val="TableGrid"/>
        <w:tblW w:w="10480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2096"/>
        <w:gridCol w:w="2096"/>
        <w:gridCol w:w="2096"/>
        <w:gridCol w:w="2096"/>
        <w:gridCol w:w="2096"/>
      </w:tblGrid>
      <w:tr>
        <w:trPr>
          <w:tblHeader w:val="true"/>
        </w:trPr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Код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Услуга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Объем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Минимальное содержание</w:t>
            </w:r>
          </w:p>
        </w:tc>
        <w:tc>
          <w:tcPr>
            <w:tcW w:w="209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Приемка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А1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Подготовка велопробега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мероприятие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Маршрутный план, тайминг, регистрация, инструктаж, старт/финиш, контрольные точки, схема взаимодействия с Заказчиком и официальными службами.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Отдельный пакет документов и отчет по велопробегу.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А2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Персонал и логистика велопробега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Координатор, регистрационная группа, маршрутные маршалы, транспорт поддержки, связь, навигация, вода, базовые расходные материалы.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Фактическая готовность ресурсов в день проведения.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Б1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Подготовка автопробега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мероприятие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Маршрутный план, реестр экипажей, правила колонны, инструктаж водителей, точки сбора/финиша, схема связи и резервный план.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Отдельный пакет документов и отчет по автопробегу.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Б2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Персонал и логистика автопробега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Координатор колонны, техническая/логистическая поддержка, связь, навигация, оформление старт/финиш, организационные расходные материалы.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Фактическая готовность ресурсов в день проведения.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В1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Организационная подготовка корпоративных мероприятий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 заявкам, 1 пакет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Сценарно-организационный план, тайминг, зонирование, регистрация/встреча участников, координация подрядчиков и площадки.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Согласованный план по каждой заявке.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В2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Техническое и логистическое сопровождение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 заявкам, 1 пакет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Доставка/монтаж/демонтаж мобильного оборудования и материалов, звук/микрофоны/электропитание при необходимости, навигация, столы/регистрационная зона, транспорт и погрузка в пределах заявки.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Фотофиксация и акт фактически оказанных услуг.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В3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Организационная безопасность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 всем мероприятиям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Инструктаж персонала, сигнальные жилеты/маркеры, аптечки для организационных точек, план взаимодействия с официальными службами.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Комплектность до начала; не подменяет функции полиции, МЧС и медицинских организаций.</w:t>
            </w:r>
          </w:p>
        </w:tc>
      </w:tr>
      <w:tr>
        <w:trPr/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В4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Итоговая отчетность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3 отдельных блока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Отчет по велопробегу, отчет по автопробегу, сводный отчет по иным корпоративным мероприятиям; реестры, фото, описание фактических услуг и отклонений.</w:t>
            </w:r>
          </w:p>
        </w:tc>
        <w:tc>
          <w:tcPr>
            <w:tcW w:w="209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Отчеты и закрывающие документы приняты Заказчиком.</w:t>
            </w:r>
          </w:p>
        </w:tc>
      </w:tr>
    </w:tbl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4. Финансовая структура и лимиты</w:t>
      </w:r>
    </w:p>
    <w:tbl>
      <w:tblPr>
        <w:tblStyle w:val="TableGrid"/>
        <w:tblW w:w="10480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2620"/>
        <w:gridCol w:w="2620"/>
        <w:gridCol w:w="2623"/>
        <w:gridCol w:w="2616"/>
      </w:tblGrid>
      <w:tr>
        <w:trPr>
          <w:tblHeader w:val="true"/>
        </w:trPr>
        <w:tc>
          <w:tcPr>
            <w:tcW w:w="2620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Блок</w:t>
            </w:r>
          </w:p>
        </w:tc>
        <w:tc>
          <w:tcPr>
            <w:tcW w:w="2620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Позиция</w:t>
            </w:r>
          </w:p>
        </w:tc>
        <w:tc>
          <w:tcPr>
            <w:tcW w:w="2623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Объем</w:t>
            </w:r>
          </w:p>
        </w:tc>
        <w:tc>
          <w:tcPr>
            <w:tcW w:w="2616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Лимит, руб. без НДС</w:t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А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Организация велопробега</w:t>
            </w:r>
          </w:p>
        </w:tc>
        <w:tc>
          <w:tcPr>
            <w:tcW w:w="2623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мероприятие</w:t>
            </w:r>
          </w:p>
        </w:tc>
        <w:tc>
          <w:tcPr>
            <w:tcW w:w="261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Б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Организация автопробега</w:t>
            </w:r>
          </w:p>
        </w:tc>
        <w:tc>
          <w:tcPr>
            <w:tcW w:w="2623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мероприятие</w:t>
            </w:r>
          </w:p>
        </w:tc>
        <w:tc>
          <w:tcPr>
            <w:tcW w:w="261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В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Организационно-техническое сопровождение иных корпоративных мероприятий</w:t>
            </w:r>
          </w:p>
        </w:tc>
        <w:tc>
          <w:tcPr>
            <w:tcW w:w="2623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 пакет по заявкам</w:t>
            </w:r>
          </w:p>
        </w:tc>
        <w:tc>
          <w:tcPr>
            <w:tcW w:w="261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  <w:tr>
        <w:trPr/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ИТОГО</w:t>
            </w:r>
          </w:p>
        </w:tc>
        <w:tc>
          <w:tcPr>
            <w:tcW w:w="2620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623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  <w:tc>
          <w:tcPr>
            <w:tcW w:w="2616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Лимиты блоков являются предельными. </w:t>
      </w:r>
      <w:r>
        <w:rPr>
          <w:rFonts w:ascii="Times New Roman" w:hAnsi="Times New Roman"/>
          <w:sz w:val="26"/>
          <w:szCs w:val="26"/>
        </w:rPr>
        <w:t>Перераспределение между блоками допускается только при наличии соответствующего бюджетного и договорного основания и документированного согласования Заказчика; по умолчанию каждый блок закрывается отдельно.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5. Детализация обязательных ресурсов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>
          <w:tblHeader w:val="true"/>
        </w:trPr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Ресурс</w:t>
            </w:r>
          </w:p>
        </w:tc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Минимальное требование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Управление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Один руководитель проекта/координатор, отвечающий за все взаимодействие с Заказчиком.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Связь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6 переносных средств оперативной связи или функционального эквивалента на мероприятиях, где это требуется маршрутом.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Маркировка/навигация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15 мобильных указателей/табличек совокупно по каждому пробегу либо эквивалент, достаточный для согласованного маршрута.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Сигнальная экипировка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20 сигнальных жилетов/элементов повышенной видимости для персонала и маршрутных точек при необходимости.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Транспорт поддержки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Не менее 1 транспортной единицы на каждый пробег; конкретный тип определяется Исполнителем исходя из маршрута и согласуется Заказчиком.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Вода/расходные материалы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В объеме, согласованном по реестру участников/экипажей; стоимость включена в лимит соответствующего блока.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Монтаж/демонтаж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Все собственные временные элементы Исполнителя устанавливаются до начала и демонтируются после завершения мероприятия.</w:t>
            </w:r>
          </w:p>
        </w:tc>
      </w:tr>
    </w:tbl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6. Разграничение ответственности и безопасность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Исполнитель отвечает за организационную подготовку, персонал, логистику и ресурсы, прямо предусмотренные ТЗ и согласованным планом.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Официальное регулирование дорожного движения, полномочия полиции, МЧС, скорой медицинской помощи и иных государственных служб не подменяются Исполнителем. Необходимое взаимодействие/согласование с такими службами осуществляется Заказчиком и/или Исполнителем в объеме, прямо предусмотренном договором.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Медицинские услуги, требующие лицензии, могут оказываться только лицом, имеющим соответствующее разрешение. Наличие аптечек у организационного персонала не означает оказание медицинской услуги.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Маршруты и тайминг могут корректироваться по требованиям уполномоченных органов/служб безопасности с обязательным документированием изменений.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7. Требования к исполнителю и ТКП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Опыт организации как минимум одного массового, корпоративного, спортивно-имиджевого или PR-мероприятия за последние 3 года; документальное подтверждение факта исполнения.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ТКП — отдельная калькуляция блоков А, Б и В; ресурсный план; транспорт/оборудование; схема персонала; сведения о соисполнителях.</w:t>
      </w:r>
    </w:p>
    <w:p>
      <w:pPr>
        <w:pStyle w:val="ListBullet"/>
        <w:numPr>
          <w:ilvl w:val="0"/>
          <w:numId w:val="1"/>
        </w:numPr>
        <w:spacing w:before="0" w:after="40"/>
        <w:contextualSpacing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Соисполнители допускаются; Исполнитель несет полную ответственность перед Заказчиком за общий результат и соблюдение ТЗ.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8. Приемка и отчетность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>
          <w:tblHeader w:val="true"/>
        </w:trPr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Блок</w:t>
            </w:r>
          </w:p>
        </w:tc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Документы приемки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А — велопробег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Маршрут/тайминг, реестр участников, подтверждение ресурсов, фотофиксация, отдельный отчет, акт.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Б — автопробег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Маршрут/тайминг, реестр экипажей, подтверждение ресурсов, фотофиксация, отдельный отчет, акт.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В — иные корпоративные мероприятия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Заявки Заказчика, планы/тайминги, подтверждение фактических услуг, фотофиксация, сводный отчет.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Общий комплект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Закрывающие документы по договору и иные документы, предусмотренные применимой формой договора.</w:t>
            </w:r>
          </w:p>
        </w:tc>
      </w:tr>
    </w:tbl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9. Рабочий чек-лист закупочной процедуры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>
          <w:tblHeader w:val="true"/>
        </w:trPr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Шаг</w:t>
            </w:r>
          </w:p>
        </w:tc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Действие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1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Подтвердить бюджетный титул, лимит, наличие закупки в ГКПЗ либо решение о внеплановой закупке.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2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Утвердить ТЗ, сроки, требования к результату и объективные требования к участникам.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3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Определить категорию/частные категории продукции по Методике № 806 и сформировать обоснование плановой цены/НМЦ на основе сопоставимой ценовой информации.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4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Подготовить Запрос ТКП и проект договора. Цена предложения участника должна включать все расходы, необходимые для полного исполнения ТЗ.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5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Определить способ проведения закупки по действующим ЕПоЗ/ЛНД(А). Для нерегламентированной закупки свыше 100 000 руб. без НДС анализ рынка и Аналитическая записка обязательны; для упрощенной закупки действуют специальные условия Положения № 54.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6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При адресной рассылке соблюдать требования применимого способа к количеству адресатов/полученных ТКП; фиксировать направление Запроса ТКП и поступившие ответы.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7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Проверить соответствие ТКП требованиям ТЗ. Выбор потенциального контрагента производить по правилам применимого способа закупки; при нескольких соответствующих предложениях — с учетом минимальной цены, если иное не предусмотрено ЕПоЗ.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8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Оформить и утвердить Аналитическую записку (если требуется), приложив Запрос ТКП, предложения, материалы анализа рынка и обоснование выбора.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9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После оформления результата перейти к договорной работе и обеспечить приемку строго по измеримым результатам настоящего ТЗ.</w:t>
            </w:r>
          </w:p>
        </w:tc>
      </w:tr>
    </w:tbl>
    <w:p>
      <w:pPr>
        <w:pStyle w:val="Normal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Предельная стоимость закупки: </w:t>
      </w:r>
    </w:p>
    <w:p>
      <w:pPr>
        <w:pStyle w:val="Heading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10. Согласование</w:t>
      </w:r>
    </w:p>
    <w:tbl>
      <w:tblPr>
        <w:tblStyle w:val="TableGrid"/>
        <w:tblW w:w="10483" w:type="dxa"/>
        <w:jc w:val="center"/>
        <w:tblInd w:w="0" w:type="dxa"/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4a0" w:noHBand="0" w:noVBand="1" w:firstColumn="1" w:lastRow="0" w:lastColumn="0" w:firstRow="1"/>
      </w:tblPr>
      <w:tblGrid>
        <w:gridCol w:w="5241"/>
        <w:gridCol w:w="5241"/>
      </w:tblGrid>
      <w:tr>
        <w:trPr>
          <w:tblHeader w:val="true"/>
        </w:trPr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Роль</w:t>
            </w:r>
          </w:p>
        </w:tc>
        <w:tc>
          <w:tcPr>
            <w:tcW w:w="5241" w:type="dxa"/>
            <w:tcBorders/>
            <w:shd w:fill="D9E2F3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6"/>
                <w:szCs w:val="26"/>
                <w:lang w:val="en-US" w:eastAsia="en-US" w:bidi="ar-SA"/>
              </w:rPr>
              <w:t>Подпись / Ф.И.О.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Технический куратор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________________ / ______________________________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Ответственный исполнитель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________________ / ______________________________</w:t>
            </w:r>
          </w:p>
        </w:tc>
      </w:tr>
      <w:tr>
        <w:trPr/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Дата</w:t>
            </w:r>
          </w:p>
        </w:tc>
        <w:tc>
          <w:tcPr>
            <w:tcW w:w="5241" w:type="dxa"/>
            <w:tcBorders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Times New Roman" w:hAnsi="Times New Roman" w:eastAsia="ＭＳ 明朝" w:cs=""/>
                <w:kern w:val="0"/>
                <w:sz w:val="26"/>
                <w:szCs w:val="26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6"/>
                <w:szCs w:val="26"/>
                <w:lang w:val="en-US" w:eastAsia="en-US" w:bidi="ar-SA"/>
              </w:rPr>
              <w:t>«___» __________ 2026 г.</w:t>
            </w:r>
          </w:p>
        </w:tc>
      </w:tr>
    </w:tbl>
    <w:sectPr>
      <w:headerReference w:type="default" r:id="rId2"/>
      <w:footerReference w:type="default" r:id="rId3"/>
      <w:type w:val="nextPage"/>
      <w:pgSz w:w="12240" w:h="15840"/>
      <w:pgMar w:left="964" w:right="794" w:gutter="0" w:header="397" w:top="907" w:footer="397" w:bottom="90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>
        <w:sz w:val="15"/>
      </w:rPr>
      <w:t xml:space="preserve">Проект технического задания  | 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right"/>
      <w:rPr/>
    </w:pPr>
    <w:r>
      <w:rPr>
        <w:sz w:val="15"/>
      </w:rPr>
      <w:t>Дагестанский филиал ПАО «РусГидро»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suppressAutoHyphens w:val="true"/>
      <w:bidi w:val="0"/>
      <w:spacing w:lineRule="auto" w:line="252" w:before="0" w:after="60"/>
      <w:jc w:val="left"/>
    </w:pPr>
    <w:rPr>
      <w:rFonts w:ascii="Arial" w:hAnsi="Arial" w:eastAsia="ＭＳ 明朝" w:cs="" w:cstheme="minorBidi" w:eastAsiaTheme="minorEastAsia"/>
      <w:color w:val="auto"/>
      <w:kern w:val="0"/>
      <w:sz w:val="19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140" w:after="8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hanging="360" w:left="360"/>
      <w:contextualSpacing/>
    </w:pPr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">
    <w:name w:val="Указатель"/>
    <w:basedOn w:val="Normal"/>
    <w:qFormat/>
    <w:pPr>
      <w:suppressLineNumbers/>
    </w:pPr>
    <w:rPr>
      <w:rFonts w:cs="Arial Unicode MS"/>
    </w:rPr>
  </w:style>
  <w:style w:type="paragraph" w:styleId="Style2">
    <w:name w:val="Колонтитул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suppressAutoHyphens w:val="true"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b/>
      <w:spacing w:val="5"/>
      <w:kern w:val="2"/>
      <w:sz w:val="30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rsid w:val="00326f90"/>
    <w:pPr>
      <w:spacing w:before="0" w:after="60"/>
      <w:ind w:hanging="360" w:left="720"/>
      <w:contextualSpacing/>
    </w:pPr>
    <w:rPr/>
  </w:style>
  <w:style w:type="paragraph" w:styleId="ListBullet4">
    <w:name w:val="List Bullet 4"/>
    <w:basedOn w:val="Normal"/>
    <w:uiPriority w:val="99"/>
    <w:unhideWhenUsed/>
    <w:qFormat/>
    <w:rsid w:val="00326f90"/>
    <w:pPr>
      <w:spacing w:before="0" w:after="6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1">
    <w:name w:val="List Bullet 31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suppressAutoHyphens w:val="true"/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1">
    <w:name w:val="caption1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styleId="IndexHeading">
    <w:name w:val="Index Heading"/>
    <w:basedOn w:val="Style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AlterOffice/2026.2.0.0$Linux_X86_64 LibreOffice_project/bc4ef1adf80b36c7a6365f8ed6cbf29021361edd</Application>
  <AppVersion>15.0000</AppVersion>
  <Pages>2</Pages>
  <Words>1075</Words>
  <Characters>8124</Characters>
  <CharactersWithSpaces>9046</CharactersWithSpaces>
  <Paragraphs>154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ru-RU</dc:language>
  <cp:lastModifiedBy>alievaam@corp.gidroogk.com</cp:lastModifiedBy>
  <dcterms:modified xsi:type="dcterms:W3CDTF">2026-09-22T12:41:31Z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