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Техническое задание</w:t>
      </w:r>
    </w:p>
    <w:p>
      <w:pPr>
        <w:pStyle w:val="Normal"/>
        <w:shd w:val="clear" w:fill="FFFFFF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 оказание услуг по предоставлению доступа к системе для контроля работы сервисных подразделений и обслуживания оборудования</w:t>
      </w:r>
    </w:p>
    <w:p>
      <w:pPr>
        <w:pStyle w:val="Normal"/>
        <w:shd w:val="clear" w:fill="FFFFFF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6"/>
          <w:numId w:val="2"/>
        </w:numPr>
        <w:shd w:val="clear" w:fill="FFFFFF"/>
        <w:spacing w:before="0" w:after="0"/>
        <w:ind w:firstLine="386"/>
        <w:contextualSpacing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Общие сведения</w:t>
      </w:r>
    </w:p>
    <w:p>
      <w:pPr>
        <w:pStyle w:val="Normal"/>
        <w:keepNext w:val="true"/>
        <w:keepLines/>
        <w:numPr>
          <w:ilvl w:val="1"/>
          <w:numId w:val="1"/>
        </w:numPr>
        <w:shd w:val="clear" w:fill="FFFFFF"/>
        <w:ind w:firstLine="386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1.1. Наименование Услуг</w:t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Услуги по предоставлению доступа к системе для контроля работы сервисных подразделений и обслуживания оборудования (далее - «Услуги»).</w:t>
      </w:r>
    </w:p>
    <w:p>
      <w:pPr>
        <w:pStyle w:val="Normal"/>
        <w:numPr>
          <w:ilvl w:val="1"/>
          <w:numId w:val="1"/>
        </w:numPr>
        <w:shd w:val="clear" w:fill="FFFFFF"/>
        <w:ind w:firstLine="386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hd w:val="clear" w:fill="FFFFFF"/>
        <w:ind w:firstLine="38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1.2. Сроки и место оказания Услуг</w:t>
      </w:r>
    </w:p>
    <w:p>
      <w:pPr>
        <w:pStyle w:val="Normal"/>
        <w:shd w:val="clear" w:fill="FFFFFF"/>
        <w:spacing w:before="0" w:after="0"/>
        <w:ind w:firstLine="386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Срок оказания услуг: услуги оказываются  с даты заключения Договора </w:t>
      </w:r>
      <w:r>
        <w:rPr>
          <w:rFonts w:ascii="Times New Roman" w:hAnsi="Times New Roman"/>
          <w:sz w:val="22"/>
          <w:szCs w:val="22"/>
        </w:rPr>
        <w:t>по 30.09.2027</w:t>
      </w:r>
    </w:p>
    <w:p>
      <w:pPr>
        <w:pStyle w:val="Normal"/>
        <w:shd w:val="clear" w:fill="FFFFFF"/>
        <w:spacing w:before="0" w:after="0"/>
        <w:ind w:firstLine="386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Место оказания услуг: Волгоградская область, г. Волгоград, ул. Мира, 16.</w:t>
      </w:r>
    </w:p>
    <w:p>
      <w:pPr>
        <w:pStyle w:val="Normal"/>
        <w:numPr>
          <w:ilvl w:val="1"/>
          <w:numId w:val="1"/>
        </w:numPr>
        <w:shd w:val="clear" w:fill="FFFFFF"/>
        <w:ind w:firstLine="386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keepNext w:val="true"/>
        <w:keepLines/>
        <w:numPr>
          <w:ilvl w:val="1"/>
          <w:numId w:val="1"/>
        </w:numPr>
        <w:shd w:val="clear" w:fill="FFFFFF"/>
        <w:ind w:firstLine="386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1.3. Перечень сокращений</w:t>
      </w:r>
    </w:p>
    <w:tbl>
      <w:tblPr>
        <w:tblW w:w="967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18"/>
        <w:gridCol w:w="6859"/>
      </w:tblGrid>
      <w:tr>
        <w:trPr>
          <w:tblHeader w:val="true"/>
        </w:trPr>
        <w:tc>
          <w:tcPr>
            <w:tcW w:w="28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/>
            </w:pPr>
            <w:r>
              <w:rPr>
                <w:rStyle w:val="Strong"/>
                <w:rFonts w:ascii="Times New Roman" w:hAnsi="Times New Roman"/>
                <w:color w:val="000000"/>
              </w:rPr>
              <w:t>Сокращение</w:t>
            </w:r>
          </w:p>
        </w:tc>
        <w:tc>
          <w:tcPr>
            <w:tcW w:w="685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/>
            </w:pPr>
            <w:r>
              <w:rPr>
                <w:rStyle w:val="Strong"/>
                <w:rFonts w:ascii="Times New Roman" w:hAnsi="Times New Roman"/>
                <w:color w:val="000000"/>
              </w:rPr>
              <w:t>Расшифровка</w:t>
            </w:r>
          </w:p>
        </w:tc>
      </w:tr>
      <w:tr>
        <w:trPr/>
        <w:tc>
          <w:tcPr>
            <w:tcW w:w="2818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Бизнес-процесс</w:t>
            </w:r>
          </w:p>
        </w:tc>
        <w:tc>
          <w:tcPr>
            <w:tcW w:w="68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Последовательность взаимосвязанных работ, выполняющихся при оказании услуг по технической поддержке государственных информационных систем Волгоградской области сотрудниками ПАО «Ростелеком»</w:t>
            </w:r>
          </w:p>
        </w:tc>
      </w:tr>
      <w:tr>
        <w:trPr/>
        <w:tc>
          <w:tcPr>
            <w:tcW w:w="2818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ВКС</w:t>
            </w:r>
          </w:p>
        </w:tc>
        <w:tc>
          <w:tcPr>
            <w:tcW w:w="68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Видеоконференцсвязь на базе программного продукта Заказчика. Для проведения видеоконференции Заказчик формирует и направляет ссылку на участие.</w:t>
            </w:r>
          </w:p>
        </w:tc>
      </w:tr>
      <w:tr>
        <w:trPr/>
        <w:tc>
          <w:tcPr>
            <w:tcW w:w="2818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Интернет</w:t>
            </w:r>
          </w:p>
        </w:tc>
        <w:tc>
          <w:tcPr>
            <w:tcW w:w="68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Коммуникационная сеть и глобальная система объединённых компьютерных сетей для хранения и передачи информации</w:t>
            </w:r>
          </w:p>
        </w:tc>
      </w:tr>
      <w:tr>
        <w:trPr>
          <w:trHeight w:val="283" w:hRule="atLeast"/>
        </w:trPr>
        <w:tc>
          <w:tcPr>
            <w:tcW w:w="2818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Общество</w:t>
            </w:r>
          </w:p>
        </w:tc>
        <w:tc>
          <w:tcPr>
            <w:tcW w:w="68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ПАО «Ростелеком»</w:t>
            </w:r>
          </w:p>
        </w:tc>
      </w:tr>
      <w:tr>
        <w:trPr/>
        <w:tc>
          <w:tcPr>
            <w:tcW w:w="2818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Система</w:t>
            </w:r>
          </w:p>
        </w:tc>
        <w:tc>
          <w:tcPr>
            <w:tcW w:w="68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Система для контроля работы сервисных подразделений и обслуживания оборудования, развернутая на серверных ресурсах Исполнителя</w:t>
            </w:r>
          </w:p>
        </w:tc>
      </w:tr>
    </w:tbl>
    <w:p>
      <w:pPr>
        <w:pStyle w:val="Normal"/>
        <w:numPr>
          <w:ilvl w:val="1"/>
          <w:numId w:val="1"/>
        </w:numPr>
        <w:shd w:val="clear" w:fill="FFFFFF"/>
        <w:spacing w:lineRule="auto" w:line="276" w:before="0" w:after="0"/>
        <w:ind w:firstLine="397"/>
        <w:contextualSpacing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6"/>
          <w:numId w:val="2"/>
        </w:numPr>
        <w:shd w:val="clear" w:fill="FFFFFF"/>
        <w:spacing w:before="0" w:after="0"/>
        <w:contextualSpacing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Цели оказания Услуг</w:t>
      </w:r>
    </w:p>
    <w:p>
      <w:pPr>
        <w:pStyle w:val="Normal"/>
        <w:keepNext w:val="true"/>
        <w:keepLines/>
        <w:numPr>
          <w:ilvl w:val="1"/>
          <w:numId w:val="1"/>
        </w:numPr>
        <w:shd w:val="clear" w:fill="FFFFFF"/>
        <w:ind w:firstLine="397"/>
        <w:jc w:val="both"/>
        <w:outlineLvl w:val="1"/>
        <w:rPr/>
      </w:pPr>
      <w:r>
        <w:rPr>
          <w:rStyle w:val="Style14"/>
          <w:rFonts w:ascii="Times New Roman" w:hAnsi="Times New Roman"/>
          <w:sz w:val="22"/>
          <w:szCs w:val="22"/>
        </w:rPr>
        <w:t>Услуги предназначены для автоматизации работ по обеспечению работоспособности государственных информационных систем сотрудниками Волгоградского филиала ПАО «Ростелеком» с целью снижения рисков нарушения сроков устранения неисправностей по вине Общества по заключенным государственным контрактам на территории Волгоградской области.</w:t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3. Этапы оказания Услуг</w:t>
      </w:r>
    </w:p>
    <w:p>
      <w:pPr>
        <w:pStyle w:val="Normal"/>
        <w:shd w:val="clear" w:fill="FFFFFF"/>
        <w:ind w:firstLine="39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Исполнитель обязуется оказывать Услуги в соответствии со следующим графиком.</w:t>
      </w:r>
    </w:p>
    <w:p>
      <w:pPr>
        <w:pStyle w:val="Normal"/>
        <w:keepLines/>
        <w:shd w:val="clear" w:fill="FFFFFF"/>
        <w:spacing w:before="0" w:after="0"/>
        <w:contextualSpacing/>
        <w:rPr/>
      </w:pPr>
      <w:r>
        <w:rPr>
          <w:rStyle w:val="Style14"/>
          <w:rFonts w:ascii="Times New Roman" w:hAnsi="Times New Roman"/>
          <w:i/>
          <w:sz w:val="22"/>
          <w:szCs w:val="22"/>
        </w:rPr>
        <w:t>Таблица 1. График оказания Услуг</w:t>
      </w:r>
    </w:p>
    <w:tbl>
      <w:tblPr>
        <w:tblW w:w="935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921"/>
        <w:gridCol w:w="4654"/>
        <w:gridCol w:w="2781"/>
      </w:tblGrid>
      <w:tr>
        <w:trPr>
          <w:trHeight w:val="400" w:hRule="atLeast"/>
        </w:trPr>
        <w:tc>
          <w:tcPr>
            <w:tcW w:w="1921" w:type="dxa"/>
            <w:tcBorders>
              <w:top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2"/>
                <w:szCs w:val="22"/>
              </w:rPr>
              <w:t xml:space="preserve">№ </w:t>
            </w:r>
            <w:r>
              <w:rPr>
                <w:rStyle w:val="Style14"/>
                <w:rFonts w:ascii="Times New Roman" w:hAnsi="Times New Roman"/>
                <w:b/>
                <w:sz w:val="22"/>
                <w:szCs w:val="22"/>
              </w:rPr>
              <w:t>Этапа</w:t>
            </w:r>
          </w:p>
        </w:tc>
        <w:tc>
          <w:tcPr>
            <w:tcW w:w="4654" w:type="dxa"/>
            <w:tcBorders>
              <w:top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781" w:type="dxa"/>
            <w:tcBorders>
              <w:top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2"/>
                <w:szCs w:val="22"/>
              </w:rPr>
              <w:t>Сроки выполнения работ</w:t>
            </w:r>
          </w:p>
        </w:tc>
      </w:tr>
      <w:tr>
        <w:trPr/>
        <w:tc>
          <w:tcPr>
            <w:tcW w:w="192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Этап</w:t>
            </w:r>
          </w:p>
        </w:tc>
        <w:tc>
          <w:tcPr>
            <w:tcW w:w="465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Демонстрация функциональных возможностей системы и проверка соответствия функциональным требованиям  Заказчика.</w:t>
            </w:r>
          </w:p>
        </w:tc>
        <w:tc>
          <w:tcPr>
            <w:tcW w:w="27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 позднее 2 календарных дней с даты заключения Договора</w:t>
            </w:r>
          </w:p>
        </w:tc>
      </w:tr>
      <w:tr>
        <w:trPr>
          <w:trHeight w:val="349" w:hRule="atLeast"/>
        </w:trPr>
        <w:tc>
          <w:tcPr>
            <w:tcW w:w="192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 Этап</w:t>
            </w:r>
          </w:p>
        </w:tc>
        <w:tc>
          <w:tcPr>
            <w:tcW w:w="465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Сбор требований по организации бизнес-процессов Заказчика. Адаптация системы под бизнес-процессы Заказчика. Инструктаж сотрудников Заказчика</w:t>
            </w:r>
          </w:p>
        </w:tc>
        <w:tc>
          <w:tcPr>
            <w:tcW w:w="27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 позднее 30 календарных дней с даты заключения Договора</w:t>
            </w:r>
          </w:p>
        </w:tc>
      </w:tr>
      <w:tr>
        <w:trPr>
          <w:trHeight w:val="697" w:hRule="atLeast"/>
        </w:trPr>
        <w:tc>
          <w:tcPr>
            <w:tcW w:w="192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Этап</w:t>
            </w:r>
          </w:p>
        </w:tc>
        <w:tc>
          <w:tcPr>
            <w:tcW w:w="465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Предоставление доступа к системе по сети «интернет»</w:t>
            </w:r>
          </w:p>
        </w:tc>
        <w:tc>
          <w:tcPr>
            <w:tcW w:w="278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 позднее 365 календарных дней с даты завершения 2 Этапа.</w:t>
            </w:r>
          </w:p>
        </w:tc>
      </w:tr>
    </w:tbl>
    <w:p>
      <w:pPr>
        <w:pStyle w:val="Normal"/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keepNext w:val="true"/>
        <w:keepLines/>
        <w:numPr>
          <w:ilvl w:val="1"/>
          <w:numId w:val="1"/>
        </w:numPr>
        <w:shd w:val="clear" w:fill="FFFFFF"/>
        <w:ind w:firstLine="386"/>
        <w:jc w:val="both"/>
        <w:outlineLvl w:val="1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4. Требования к оказанию Услуг</w:t>
      </w:r>
    </w:p>
    <w:p>
      <w:pPr>
        <w:pStyle w:val="Normal"/>
        <w:keepNext w:val="true"/>
        <w:keepLines/>
        <w:numPr>
          <w:ilvl w:val="1"/>
          <w:numId w:val="1"/>
        </w:numPr>
        <w:shd w:val="clear" w:fill="FFFFFF"/>
        <w:ind w:firstLine="386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Требования к демонстрации функциональных возможностей системы и проверка соответствия функциональным требованиям  Заказчика.</w:t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/>
      </w:pPr>
      <w:r>
        <w:rPr>
          <w:rStyle w:val="Style14"/>
          <w:rFonts w:ascii="Times New Roman" w:hAnsi="Times New Roman"/>
          <w:sz w:val="22"/>
          <w:szCs w:val="22"/>
        </w:rPr>
        <w:t xml:space="preserve">В соответствии со сроками, указанными в п.3 настоящего технического задания, Исполнитель предоставляет тестовый доступ к системе сотрудникам Заказчика (направляет на электронные адреса Заказчика </w:t>
      </w:r>
      <w:hyperlink r:id="rId2" w:tgtFrame="_top">
        <w:r>
          <w:rPr>
            <w:rStyle w:val="Hyperlink"/>
            <w:rFonts w:ascii="Times New Roman" w:hAnsi="Times New Roman"/>
            <w:sz w:val="22"/>
            <w:szCs w:val="22"/>
          </w:rPr>
          <w:t>svyatoslav.ovdin@rt.ru</w:t>
        </w:r>
      </w:hyperlink>
      <w:r>
        <w:rPr>
          <w:rStyle w:val="Style14"/>
          <w:rFonts w:ascii="Times New Roman" w:hAnsi="Times New Roman"/>
          <w:sz w:val="22"/>
          <w:szCs w:val="22"/>
        </w:rPr>
        <w:t xml:space="preserve"> </w:t>
      </w:r>
      <w:hyperlink r:id="rId3" w:tgtFrame="_top">
        <w:r>
          <w:rPr>
            <w:rStyle w:val="Hyperlink"/>
            <w:rFonts w:ascii="Times New Roman" w:hAnsi="Times New Roman"/>
            <w:sz w:val="22"/>
            <w:szCs w:val="22"/>
          </w:rPr>
          <w:t>konstantin_popov@south.rt.ru</w:t>
        </w:r>
      </w:hyperlink>
      <w:r>
        <w:rPr>
          <w:rStyle w:val="Style14"/>
          <w:rFonts w:ascii="Times New Roman" w:hAnsi="Times New Roman"/>
          <w:sz w:val="22"/>
          <w:szCs w:val="22"/>
        </w:rPr>
        <w:t xml:space="preserve"> атрибуты доступа к системе) и проводит демонстрацию функциональных возможностей системы. Для проверки соответствия системы требованиям  настоящего технического задания Исполнитель перед демонстрацией направляет на согласование Заказчику программу и методику испытаний. Система в обязательном порядке должна обладать следующим функционалом: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Хранение на серверном оборудовании Исполнителя;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Соответствие действующим требованиям федерального и регионального законодательства Российской Федерации по обеспечению информационной безопасности при обработке персональных данных;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Обеспечение сохранности внесенной Заказчиком информации в случае возникновения неисправностей на серверном оборудовании Исполнителя;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Возможность заполнения чек-листов;</w:t>
      </w:r>
    </w:p>
    <w:p>
      <w:pPr>
        <w:pStyle w:val="Normal"/>
        <w:numPr>
          <w:ilvl w:val="0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Маршрутизация заявок по условиям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Маршрут заявки должен зависеть от типа заявки, критичности, вида работ, объекта, участка, заказчика, состава оборудования и значений пользовательских полей.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Переход между стадиями должен требовать выполнения заданных условий: заполнения чек-листа, приложенных фото/видео, указания причины, подтверждения заказчика.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Должна поддерживаться настройка разных маршрутов для аварийных, плановых, регламентных и складских работ.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Прикладывание фото/видео отчетов;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Встроенный просмотрщик файлов: PDF, фото и видео;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Управление элементами через ролевую модель;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Настройка ролевой модели в отдельном интерфейсе личного кабинета Заказчика, с возможностью управления по ролям доступностью заявок, полей данных и справочников без разработки и выпуска новых версий приложений со стороны Исполнителя;</w:t>
      </w:r>
    </w:p>
    <w:p>
      <w:pPr>
        <w:pStyle w:val="Normal"/>
        <w:numPr>
          <w:ilvl w:val="0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Настраиваемая форма и права на уровне полей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каждой роли, типа заявки и стадии маршрута должна настраиваться видимость, обязательность и доступность для редактирования отдельных полей.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Настройка должна выполняться силами администратора Заказчика через интерфейс системы, без выпуска новой версии программного обеспечения.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Должна поддерживаться настройка отдельных форм для диспетчера, исполнителя, руководителя и заказчика.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Отображение в заявке карты с расположением объекта обслуживания;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Отображение в заявке плана помещений/территорий с возможностью отмечать на плане место выполнения работ или поломок;</w:t>
      </w:r>
    </w:p>
    <w:p>
      <w:pPr>
        <w:pStyle w:val="Normal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План объекта как интерактивный слой заявки</w:t>
      </w:r>
    </w:p>
    <w:p>
      <w:pPr>
        <w:pStyle w:val="Normal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объекта должна поддерживаться загрузка нескольких планов: территория, этаж, помещение, схема стойки/узла.</w:t>
      </w:r>
    </w:p>
    <w:p>
      <w:pPr>
        <w:pStyle w:val="Normal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Пользователь должен иметь возможность отметить точку инцидента на плане при создании заявки и видеть её при выполнении работ.</w:t>
      </w:r>
    </w:p>
    <w:p>
      <w:pPr>
        <w:pStyle w:val="Normal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плану должна быть доступна фильтрация и просмотр связанных заявок, включая историю инцидентов в выбранной зоне.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Вывод заявок в виде точек на карте;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Просмотр заявок с карты;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Подача заявки с карты;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Фильтрация, сортировка и поиск заявок на карте;</w:t>
      </w:r>
    </w:p>
    <w:p>
      <w:pPr>
        <w:pStyle w:val="Style21"/>
        <w:numPr>
          <w:ilvl w:val="0"/>
          <w:numId w:val="3"/>
        </w:numPr>
        <w:rPr/>
      </w:pPr>
      <w:r>
        <w:rPr/>
        <w:t>Двухконтурная коммуникация по заявке</w:t>
      </w:r>
      <w:r>
        <w:rPr>
          <w:rStyle w:val="Style14"/>
          <w:lang w:val="en-US"/>
        </w:rPr>
        <w:t>;</w:t>
      </w:r>
    </w:p>
    <w:p>
      <w:pPr>
        <w:pStyle w:val="Style21"/>
        <w:numPr>
          <w:ilvl w:val="1"/>
          <w:numId w:val="3"/>
        </w:numPr>
        <w:rPr/>
      </w:pPr>
      <w:r>
        <w:rPr/>
        <w:t>В карточке заявки должны быть раздельные каналы: внешний чат с заказчиком и внутренний чат команды исполнения.</w:t>
      </w:r>
    </w:p>
    <w:p>
      <w:pPr>
        <w:pStyle w:val="Style21"/>
        <w:numPr>
          <w:ilvl w:val="1"/>
          <w:numId w:val="3"/>
        </w:numPr>
        <w:rPr/>
      </w:pPr>
      <w:r>
        <w:rPr/>
        <w:t>Должна быть исключена возможность отображения внутренних сообщений, вложений и служебных комментариев внешнему заказчику.</w:t>
      </w:r>
    </w:p>
    <w:p>
      <w:pPr>
        <w:pStyle w:val="Style21"/>
        <w:numPr>
          <w:ilvl w:val="1"/>
          <w:numId w:val="3"/>
        </w:numPr>
        <w:rPr/>
      </w:pPr>
      <w:r>
        <w:rPr/>
        <w:t>Должна храниться история переписки и вложений по каждому каналу.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Просмотр карточки объекта с историей ремонтов;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Архив заявок;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Добавление заявок в избранные;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Изменяемый набор полей объекта с различными типами данных;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История обслуживания;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Возможность добавить вложения в заявку;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Возможность добавить вложения в объект;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Связь объекта с одним или несколькими участками;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Контакты по объекту;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Возможность выстраивать иерархию родительских и дочерних объектов без ограничений по уровню вложенности;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Наличие модуля склад и инструментов. Учёт остатков, резервирование под заявку, выдачу/возврат, инвентаризацию, минимальные остатки и историю движения;</w:t>
      </w:r>
    </w:p>
    <w:p>
      <w:pPr>
        <w:pStyle w:val="Normal"/>
        <w:numPr>
          <w:ilvl w:val="0"/>
          <w:numId w:val="3"/>
        </w:numPr>
        <w:shd w:val="clear" w:fill="FFFFFF"/>
        <w:spacing w:before="0" w:after="0"/>
        <w:contextualSpacing/>
        <w:jc w:val="both"/>
        <w:rPr/>
      </w:pPr>
      <w:r>
        <w:rPr>
          <w:rStyle w:val="Style14"/>
          <w:rFonts w:ascii="Times New Roman" w:hAnsi="Times New Roman"/>
          <w:sz w:val="22"/>
          <w:szCs w:val="22"/>
        </w:rPr>
        <w:t>Аналитические отчеты - SLA, просрочки, загрузка сотрудников, аварийность объектов, повторные инциденты, история ремонтов, движение ЗИП, складские остатки;</w:t>
      </w:r>
    </w:p>
    <w:p>
      <w:pPr>
        <w:pStyle w:val="Style21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Функционал оперативного создания кастомных аналитических форм, панелей, отчетов, автоматизаций;</w:t>
      </w:r>
    </w:p>
    <w:p>
      <w:pPr>
        <w:pStyle w:val="Style21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Функционал встроенного импорта и экспорта данных;</w:t>
      </w:r>
    </w:p>
    <w:p>
      <w:pPr>
        <w:pStyle w:val="Style21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Модуль по настройке работы штатных/внештатных специалистов (подряд);</w:t>
      </w:r>
    </w:p>
    <w:p>
      <w:pPr>
        <w:pStyle w:val="Style21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Встроенная база знаний;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Модуль инвентаризации оборудования. Должна быть возможность создать комплекс оборудования состоящий из различных устройств и привязать его к объекту. На объекте может быть несколько комплексов со своим S/N.</w:t>
      </w:r>
    </w:p>
    <w:p>
      <w:pPr>
        <w:pStyle w:val="Normal"/>
        <w:numPr>
          <w:ilvl w:val="0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Паспорт комплекса оборудования и жизненный цикл ЗИП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Комплекс должен состоять из отдельных единиц оборудования с серийными номерами, статусом, составом и историей.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Должны фиксироваться операции: установка, демонтаж, перемещение, передача в ремонт, выдача/возврат со склада, замена на ЗИП, списание.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Каждая операция должна быть связана с заявкой, исполнителем, датой и объектом.</w:t>
      </w:r>
    </w:p>
    <w:p>
      <w:pPr>
        <w:pStyle w:val="Normal"/>
        <w:numPr>
          <w:ilvl w:val="1"/>
          <w:numId w:val="3"/>
        </w:numPr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Должна быть доступна сквозная история как от объекта к оборудованию, так и от единицы оборудования к заявкам и перемещениям.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Аудит критичных действий</w:t>
      </w:r>
    </w:p>
    <w:p>
      <w:pPr>
        <w:pStyle w:val="Normal"/>
        <w:numPr>
          <w:ilvl w:val="1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Система должна вести неизменяемый журнал действий пользователей: создание, изменение и удаление данных; изменение маршрута, ролей, прав, сроков, исполнителя, статуса и состава оборудования.</w:t>
      </w:r>
    </w:p>
    <w:p>
      <w:pPr>
        <w:pStyle w:val="Normal"/>
        <w:numPr>
          <w:ilvl w:val="1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журнале должны фиксироваться пользователь, дата и время, прежнее и новое значения.</w:t>
      </w:r>
    </w:p>
    <w:p>
      <w:pPr>
        <w:pStyle w:val="Normal"/>
        <w:numPr>
          <w:ilvl w:val="1"/>
          <w:numId w:val="3"/>
        </w:numPr>
        <w:shd w:val="clear" w:fill="FFFFFF"/>
        <w:rPr/>
      </w:pPr>
      <w:r>
        <w:rPr>
          <w:rStyle w:val="Style14"/>
          <w:rFonts w:ascii="Times New Roman" w:hAnsi="Times New Roman"/>
          <w:sz w:val="22"/>
          <w:szCs w:val="22"/>
        </w:rPr>
        <w:t>Журнал должен быть доступен администраторам Заказчика для поиска и выгрузки.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Контроль качества и повторных инцидентов</w:t>
      </w:r>
    </w:p>
    <w:p>
      <w:pPr>
        <w:pStyle w:val="Normal"/>
        <w:numPr>
          <w:ilvl w:val="1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После закрытия заявки заказчик должен иметь возможность оценить качество выполнения работ и оставить комментарий.</w:t>
      </w:r>
    </w:p>
    <w:p>
      <w:pPr>
        <w:pStyle w:val="Normal"/>
        <w:numPr>
          <w:ilvl w:val="1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низкой оценке или повторном обращении по тому же объекту система должна автоматически создавать задачу на контроль качества либо направлять уведомление руководителю.</w:t>
      </w:r>
    </w:p>
    <w:p>
      <w:pPr>
        <w:pStyle w:val="Normal"/>
        <w:numPr>
          <w:ilvl w:val="1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Должны формироваться отчёты по повторным неисправностям, причинам отказов, качеству выполнения и рейтингу исполнителей.</w:t>
      </w:r>
    </w:p>
    <w:p>
      <w:pPr>
        <w:pStyle w:val="Normal"/>
        <w:numPr>
          <w:ilvl w:val="0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SLA с рабочими календарями и эскалациями</w:t>
      </w:r>
    </w:p>
    <w:p>
      <w:pPr>
        <w:pStyle w:val="Normal"/>
        <w:numPr>
          <w:ilvl w:val="1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Сроки реакции и устранения должны рассчитываться с учётом индивидуальных графиков работы, выходных, праздничных дней и нерабочего времени.</w:t>
      </w:r>
    </w:p>
    <w:p>
      <w:pPr>
        <w:pStyle w:val="Normal"/>
        <w:numPr>
          <w:ilvl w:val="1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Правила SLA должны настраиваться по критичности, типу заявки, объекту, заказчику и договору.</w:t>
      </w:r>
    </w:p>
    <w:p>
      <w:pPr>
        <w:pStyle w:val="Normal"/>
        <w:numPr>
          <w:ilvl w:val="1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риске нарушения срока система должна автоматически направлять уведомление и эскалировать заявку руководителю.</w:t>
      </w:r>
    </w:p>
    <w:p>
      <w:pPr>
        <w:pStyle w:val="Normal"/>
        <w:numPr>
          <w:ilvl w:val="1"/>
          <w:numId w:val="3"/>
        </w:numPr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Отчётность должна показывать соблюдение SLA, причины просрочек и динамику по исполнителям, объектам и заказчикам.</w:t>
      </w:r>
    </w:p>
    <w:p>
      <w:pPr>
        <w:pStyle w:val="Normal"/>
        <w:shd w:val="clear" w:fill="FFFFFF"/>
        <w:rPr>
          <w:rFonts w:ascii="Times New Roman" w:hAnsi="Times New Roman"/>
          <w:sz w:val="22"/>
          <w:szCs w:val="22"/>
          <w:shd w:fill="FFFF00" w:val="clear"/>
        </w:rPr>
      </w:pPr>
      <w:r>
        <w:rPr>
          <w:rFonts w:ascii="Times New Roman" w:hAnsi="Times New Roman"/>
          <w:sz w:val="22"/>
          <w:szCs w:val="22"/>
          <w:shd w:fill="FFFF00" w:val="clear"/>
        </w:rPr>
      </w:r>
    </w:p>
    <w:p>
      <w:pPr>
        <w:pStyle w:val="Normal"/>
        <w:shd w:val="clear" w:fill="FFFFFF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/>
      </w:pPr>
      <w:r>
        <w:rPr>
          <w:rStyle w:val="Style14"/>
          <w:rFonts w:ascii="Times New Roman" w:hAnsi="Times New Roman"/>
          <w:sz w:val="22"/>
          <w:szCs w:val="22"/>
        </w:rPr>
        <w:t>В рамках проведения демонстрации функциональных возможностей системы Исполнитель должен подтвердить наличие всех, указанных выше функций. В случае несоответствия системы требованиям настоящего технического задания Заказчик в праве расторгнуть договор в одностороннем порядке.</w:t>
      </w:r>
    </w:p>
    <w:p>
      <w:pPr>
        <w:pStyle w:val="Normal"/>
        <w:numPr>
          <w:ilvl w:val="1"/>
          <w:numId w:val="1"/>
        </w:numPr>
        <w:shd w:val="clear" w:fill="FFFFFF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1"/>
        </w:numPr>
        <w:shd w:val="clear" w:fill="FFFFFF"/>
        <w:ind w:firstLine="386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4.2. Требования к сбору требований по организации бизнес-процессов Заказчика.</w:t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соответствии со сроками, указанными в п.3 настоящего технического задания, Исполнитель производит сбор исходных данных для адаптации систем под бизнес-процессы Заказчика. Сбор исходных данных осуществляется посредством проведения видеоконференцсвязи. Должно быть проведено не менее шести совещаний. По результатам каждого совещания Исполнитель анализирует собранные исходные данные и формирует/корректирует описание бизнес-процессов Заказчика. По результатам выполнения работ по сбору требований Исполнитель направляет на согласование технические требования к адаптации системы под бизнес-процессы Заказчика и план реализации.</w:t>
      </w:r>
    </w:p>
    <w:p>
      <w:pPr>
        <w:pStyle w:val="Normal"/>
        <w:numPr>
          <w:ilvl w:val="1"/>
          <w:numId w:val="1"/>
        </w:numPr>
        <w:shd w:val="clear" w:fill="FFFFFF"/>
        <w:ind w:firstLine="386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1"/>
        </w:numPr>
        <w:shd w:val="clear" w:fill="FFFFFF"/>
        <w:ind w:firstLine="386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4.3. Требования к адаптации системы под бизнес-процессы Заказчика.</w:t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соответствии со сроками, указанными в п.3 настоящего технического задания, Исполнитель выполняет работы по адаптации системы в соответствии со следующими требованиями.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Использование пяти стандартных ролей (администратор, диспетчер, исполнитель, руководитель, заказчик). Дополнительно настраивается не более 5 ролей под требования Заказчика;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Создание аккаунтов пользователей - участников автоматизируемых бизнес-процессов. Указание их контактов, графиков, должностей. Не более 50 пользователей;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Настройка не более 10 правил автоматического выбора исполнителя на различных стадиях заявки;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Создание не более 5 типов обслуживаемых объектов для удобного анализа;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Создание не более 5 типов обслуживаемого оборудования на объектах для удобного анализа;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Разбор, систематизация и загрузка в систему данных не более десяти клиентов;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Формирование перечня объектов обслуживания (не более 400 объектов), загрузка объектов в систему с заполнением имеющийся о них информации;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Консультация как выстроить правильную иерархию для удобной работы в системе и загрузка в систему не более 1000 единиц оборудования;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Создание не более 20 видов работ;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Создание не более 10 чек-листов;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Создания не более 10 правил автоматического создания заявок по календарю;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Разработка любых 5 типов заявок (например: плановая, аварийная) и настройка для них оптимального маршрута с жизненным циклом;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Произвольные (настраиваемые, не предусмотренные стандартным функционалом системы) поля на формах заявок, оборудования, компаний и т. д. Не более 10 дополнительных полей;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Настройка в системе не более 10 закрепленных в договорах показателей качества услуг;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Настройка не более 10 вариантов автоматических уведомлений;</w:t>
      </w:r>
    </w:p>
    <w:p>
      <w:pPr>
        <w:pStyle w:val="Normal"/>
        <w:numPr>
          <w:ilvl w:val="0"/>
          <w:numId w:val="4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Интеграция с электронной почтой. Создание заявки из письма, добавление ответов к существующей заявке, прикрепление вложений, уведомления из системы и защита от создания дублей.</w:t>
      </w:r>
    </w:p>
    <w:p>
      <w:pPr>
        <w:pStyle w:val="Normal"/>
        <w:numPr>
          <w:ilvl w:val="1"/>
          <w:numId w:val="1"/>
        </w:numPr>
        <w:shd w:val="clear" w:fill="FFFFFF"/>
        <w:ind w:firstLine="386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1"/>
        </w:numPr>
        <w:shd w:val="clear" w:fill="FFFFFF"/>
        <w:ind w:firstLine="386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 Требования к проведению инструктажа.</w:t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соответствии со сроками, указанными в п.3 настоящего технического задания, Исполнитель выполняет следующие работы.</w:t>
      </w:r>
    </w:p>
    <w:p>
      <w:pPr>
        <w:pStyle w:val="Normal"/>
        <w:numPr>
          <w:ilvl w:val="0"/>
          <w:numId w:val="5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Предоставление инструкций пользователя;</w:t>
      </w:r>
    </w:p>
    <w:p>
      <w:pPr>
        <w:pStyle w:val="Normal"/>
        <w:numPr>
          <w:ilvl w:val="0"/>
          <w:numId w:val="5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Предоставление обучающих видео;</w:t>
      </w:r>
    </w:p>
    <w:p>
      <w:pPr>
        <w:pStyle w:val="Normal"/>
        <w:numPr>
          <w:ilvl w:val="0"/>
          <w:numId w:val="5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Проведение инструктажа сотрудников Заказчика в формате ВКС на адаптированной системе к бизнес-процессам Заказчика;</w:t>
      </w:r>
    </w:p>
    <w:p>
      <w:pPr>
        <w:pStyle w:val="Normal"/>
        <w:numPr>
          <w:ilvl w:val="0"/>
          <w:numId w:val="5"/>
        </w:numPr>
        <w:shd w:val="clear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Корректировка настроек системы после проведения инструктажа.</w:t>
      </w:r>
    </w:p>
    <w:p>
      <w:pPr>
        <w:pStyle w:val="Normal"/>
        <w:numPr>
          <w:ilvl w:val="1"/>
          <w:numId w:val="1"/>
        </w:numPr>
        <w:shd w:val="clear" w:fill="FFFFFF"/>
        <w:ind w:firstLine="386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1"/>
        </w:numPr>
        <w:shd w:val="clear" w:fill="FFFFFF"/>
        <w:ind w:firstLine="386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4.5. Требования к предоставлению доступа к системе по сети «интернет»</w:t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соответствии со сроками, указанными в п.3 настоящего технического задания, Исполнитель предоставляет доступ к системе по сети «интернет». В течение 3 рабочих дней с даты заключения Договора Исполнитель направляет в адрес Заказчика контактные данные службы технической поддержки. В рамках исполнения Договора Исполнитель обеспечивает наличие доступа к системе и соответствие функциональным требованиям, указанным в п.4.1. настоящего технического задания и указанным в технических требованиях к адаптации системы под бизнес-процессы Заказчика.</w:t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1"/>
        </w:numPr>
        <w:shd w:val="clear" w:fill="FFFFFF"/>
        <w:ind w:firstLine="39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выявления Заказчиком недоступности Услуги или несоответствия функциональным требованиям Заказчик направляет заявку на устранение неисправности в адрес Исполнителя. Исполнитель осуществляет устранение неисправностей в соответствии с нормативным временем (Таблица 2),</w:t>
      </w:r>
    </w:p>
    <w:p>
      <w:pPr>
        <w:pStyle w:val="Normal"/>
        <w:numPr>
          <w:ilvl w:val="1"/>
          <w:numId w:val="1"/>
        </w:numPr>
        <w:shd w:val="clear" w:fill="FFFFFF"/>
        <w:ind w:firstLine="386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keepLines/>
        <w:shd w:val="clear" w:fill="FFFFFF"/>
        <w:spacing w:before="0" w:after="0"/>
        <w:contextualSpacing/>
        <w:rPr/>
      </w:pPr>
      <w:r>
        <w:rPr>
          <w:rStyle w:val="Style14"/>
          <w:rFonts w:ascii="Times New Roman" w:hAnsi="Times New Roman"/>
          <w:i/>
          <w:sz w:val="22"/>
          <w:szCs w:val="22"/>
        </w:rPr>
        <w:t>Таблица 2. Нормативное время устранения инцидентов</w:t>
      </w:r>
    </w:p>
    <w:tbl>
      <w:tblPr>
        <w:tblW w:w="935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922"/>
        <w:gridCol w:w="3168"/>
        <w:gridCol w:w="4265"/>
      </w:tblGrid>
      <w:tr>
        <w:trPr>
          <w:trHeight w:val="638" w:hRule="atLeast"/>
        </w:trPr>
        <w:tc>
          <w:tcPr>
            <w:tcW w:w="1922" w:type="dxa"/>
            <w:tcBorders>
              <w:top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2"/>
                <w:szCs w:val="22"/>
              </w:rPr>
              <w:t>Приоритет неисправности</w:t>
            </w:r>
          </w:p>
        </w:tc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2"/>
                <w:szCs w:val="22"/>
              </w:rPr>
              <w:t>Описание инцидента</w:t>
            </w:r>
          </w:p>
        </w:tc>
        <w:tc>
          <w:tcPr>
            <w:tcW w:w="4265" w:type="dxa"/>
            <w:tcBorders>
              <w:top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2"/>
                <w:szCs w:val="22"/>
              </w:rPr>
              <w:t>Нормативное время устранения нцидентов</w:t>
            </w:r>
          </w:p>
        </w:tc>
      </w:tr>
      <w:tr>
        <w:trPr/>
        <w:tc>
          <w:tcPr>
            <w:tcW w:w="19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«1» Первый</w:t>
            </w:r>
          </w:p>
        </w:tc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Недоступность системы или недоступность функционала, не позволяющая выполнять основную функцию системы — заведение и закрытие заявок.</w:t>
            </w:r>
          </w:p>
        </w:tc>
        <w:tc>
          <w:tcPr>
            <w:tcW w:w="42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подготовка и предоставление временного решения Инцидента – не более 1 рабочего дня</w:t>
            </w:r>
          </w:p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подготовка и предоставление постоянного решения Инцидента не более  5 рабочих дней</w:t>
            </w:r>
          </w:p>
        </w:tc>
      </w:tr>
      <w:tr>
        <w:trPr>
          <w:trHeight w:val="669" w:hRule="atLeast"/>
        </w:trPr>
        <w:tc>
          <w:tcPr>
            <w:tcW w:w="19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«2» Второй</w:t>
            </w:r>
          </w:p>
        </w:tc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Частичное несоответствие функциональным требованиям</w:t>
            </w:r>
          </w:p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2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подготовка и предоставление временного решения Инцидента – не более 3 рабочих дней</w:t>
            </w:r>
          </w:p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подготовка и предоставление постоянного решения Инцидента не более  10 рабочих дней</w:t>
            </w:r>
          </w:p>
        </w:tc>
      </w:tr>
      <w:tr>
        <w:trPr>
          <w:trHeight w:val="344" w:hRule="atLeast"/>
        </w:trPr>
        <w:tc>
          <w:tcPr>
            <w:tcW w:w="9355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Изменение типа приоритета возможно только после согласования с Заказчиком</w:t>
            </w:r>
          </w:p>
        </w:tc>
      </w:tr>
    </w:tbl>
    <w:p>
      <w:pPr>
        <w:pStyle w:val="Normal"/>
        <w:shd w:val="clear" w:fill="FFFFFF"/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(%4)"/>
      <w:lvlJc w:val="start"/>
      <w:pPr>
        <w:tabs>
          <w:tab w:val="num" w:pos="0"/>
        </w:tabs>
        <w:ind w:start="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</w:pPr>
    <w:rPr>
      <w:rFonts w:ascii="Liberation Serif" w:hAnsi="Liberation Serif" w:eastAsia="Tahoma" w:cs="Noto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character" w:styleId="Style14">
    <w:name w:val="Основной шрифт абзаца"/>
    <w:qFormat/>
    <w:rPr/>
  </w:style>
  <w:style w:type="character" w:styleId="Strong">
    <w:name w:val="Strong"/>
    <w:qFormat/>
    <w:rPr>
      <w:b/>
      <w:bCs/>
    </w:rPr>
  </w:style>
  <w:style w:type="character" w:styleId="user">
    <w:name w:val="Символ нумерации (user)"/>
    <w:qFormat/>
    <w:rPr/>
  </w:style>
  <w:style w:type="character" w:styleId="Hyperlink">
    <w:name w:val="Hyperlink"/>
    <w:rPr>
      <w:color w:val="000080"/>
      <w:u w:val="single"/>
    </w:rPr>
  </w:style>
  <w:style w:type="character" w:styleId="user1">
    <w:name w:val="Маркеры (user)"/>
    <w:qFormat/>
    <w:rPr>
      <w:rFonts w:ascii="OpenSymbol" w:hAnsi="OpenSymbol" w:eastAsia="OpenSymbol" w:cs="OpenSymbol"/>
    </w:rPr>
  </w:style>
  <w:style w:type="character" w:styleId="Style15">
    <w:name w:val="Верхний колонтитул Знак"/>
    <w:basedOn w:val="Style14"/>
    <w:qFormat/>
    <w:rPr>
      <w:rFonts w:cs="Mangal"/>
      <w:szCs w:val="21"/>
    </w:rPr>
  </w:style>
  <w:style w:type="character" w:styleId="Style16">
    <w:name w:val="Нижний колонтитул Знак"/>
    <w:basedOn w:val="Style14"/>
    <w:qFormat/>
    <w:rPr>
      <w:rFonts w:cs="Mangal"/>
      <w:szCs w:val="21"/>
    </w:rPr>
  </w:style>
  <w:style w:type="character" w:styleId="WWCharLFO2LVL1">
    <w:name w:val="WW_CharLFO2LVL1"/>
    <w:qFormat/>
    <w:rPr>
      <w:rFonts w:ascii="OpenSymbol" w:hAnsi="OpenSymbol" w:eastAsia="OpenSymbol" w:cs="OpenSymbol"/>
    </w:rPr>
  </w:style>
  <w:style w:type="character" w:styleId="WWCharLFO2LVL2">
    <w:name w:val="WW_CharLFO2LVL2"/>
    <w:qFormat/>
    <w:rPr>
      <w:rFonts w:ascii="OpenSymbol" w:hAnsi="OpenSymbol" w:eastAsia="OpenSymbol" w:cs="OpenSymbol"/>
    </w:rPr>
  </w:style>
  <w:style w:type="character" w:styleId="WWCharLFO2LVL3">
    <w:name w:val="WW_CharLFO2LVL3"/>
    <w:qFormat/>
    <w:rPr>
      <w:rFonts w:ascii="OpenSymbol" w:hAnsi="OpenSymbol" w:eastAsia="OpenSymbol" w:cs="OpenSymbol"/>
    </w:rPr>
  </w:style>
  <w:style w:type="character" w:styleId="WWCharLFO2LVL4">
    <w:name w:val="WW_CharLFO2LVL4"/>
    <w:qFormat/>
    <w:rPr>
      <w:rFonts w:ascii="OpenSymbol" w:hAnsi="OpenSymbol" w:eastAsia="OpenSymbol" w:cs="OpenSymbol"/>
    </w:rPr>
  </w:style>
  <w:style w:type="character" w:styleId="WWCharLFO2LVL5">
    <w:name w:val="WW_CharLFO2LVL5"/>
    <w:qFormat/>
    <w:rPr>
      <w:rFonts w:ascii="OpenSymbol" w:hAnsi="OpenSymbol" w:eastAsia="OpenSymbol" w:cs="OpenSymbol"/>
    </w:rPr>
  </w:style>
  <w:style w:type="character" w:styleId="WWCharLFO2LVL6">
    <w:name w:val="WW_CharLFO2LVL6"/>
    <w:qFormat/>
    <w:rPr>
      <w:rFonts w:ascii="OpenSymbol" w:hAnsi="OpenSymbol" w:eastAsia="OpenSymbol" w:cs="OpenSymbol"/>
    </w:rPr>
  </w:style>
  <w:style w:type="character" w:styleId="WWCharLFO2LVL7">
    <w:name w:val="WW_CharLFO2LVL7"/>
    <w:qFormat/>
    <w:rPr>
      <w:rFonts w:ascii="OpenSymbol" w:hAnsi="OpenSymbol" w:eastAsia="OpenSymbol" w:cs="OpenSymbol"/>
    </w:rPr>
  </w:style>
  <w:style w:type="character" w:styleId="WWCharLFO2LVL8">
    <w:name w:val="WW_CharLFO2LVL8"/>
    <w:qFormat/>
    <w:rPr>
      <w:rFonts w:ascii="OpenSymbol" w:hAnsi="OpenSymbol" w:eastAsia="OpenSymbol" w:cs="OpenSymbol"/>
    </w:rPr>
  </w:style>
  <w:style w:type="character" w:styleId="WWCharLFO2LVL9">
    <w:name w:val="WW_CharLFO2LVL9"/>
    <w:qFormat/>
    <w:rPr>
      <w:rFonts w:ascii="OpenSymbol" w:hAnsi="OpenSymbol" w:eastAsia="OpenSymbol" w:cs="OpenSymbol"/>
    </w:rPr>
  </w:style>
  <w:style w:type="character" w:styleId="WWCharLFO3LVL1">
    <w:name w:val="WW_CharLFO3LVL1"/>
    <w:qFormat/>
    <w:rPr>
      <w:rFonts w:ascii="OpenSymbol" w:hAnsi="OpenSymbol" w:eastAsia="OpenSymbol" w:cs="OpenSymbol"/>
    </w:rPr>
  </w:style>
  <w:style w:type="character" w:styleId="WWCharLFO3LVL2">
    <w:name w:val="WW_CharLFO3LVL2"/>
    <w:qFormat/>
    <w:rPr>
      <w:rFonts w:ascii="OpenSymbol" w:hAnsi="OpenSymbol" w:eastAsia="OpenSymbol" w:cs="OpenSymbol"/>
    </w:rPr>
  </w:style>
  <w:style w:type="character" w:styleId="WWCharLFO3LVL3">
    <w:name w:val="WW_CharLFO3LVL3"/>
    <w:qFormat/>
    <w:rPr>
      <w:rFonts w:ascii="OpenSymbol" w:hAnsi="OpenSymbol" w:eastAsia="OpenSymbol" w:cs="OpenSymbol"/>
    </w:rPr>
  </w:style>
  <w:style w:type="character" w:styleId="WWCharLFO3LVL4">
    <w:name w:val="WW_CharLFO3LVL4"/>
    <w:qFormat/>
    <w:rPr>
      <w:rFonts w:ascii="OpenSymbol" w:hAnsi="OpenSymbol" w:eastAsia="OpenSymbol" w:cs="OpenSymbol"/>
    </w:rPr>
  </w:style>
  <w:style w:type="character" w:styleId="WWCharLFO3LVL5">
    <w:name w:val="WW_CharLFO3LVL5"/>
    <w:qFormat/>
    <w:rPr>
      <w:rFonts w:ascii="OpenSymbol" w:hAnsi="OpenSymbol" w:eastAsia="OpenSymbol" w:cs="OpenSymbol"/>
    </w:rPr>
  </w:style>
  <w:style w:type="character" w:styleId="WWCharLFO3LVL6">
    <w:name w:val="WW_CharLFO3LVL6"/>
    <w:qFormat/>
    <w:rPr>
      <w:rFonts w:ascii="OpenSymbol" w:hAnsi="OpenSymbol" w:eastAsia="OpenSymbol" w:cs="OpenSymbol"/>
    </w:rPr>
  </w:style>
  <w:style w:type="character" w:styleId="WWCharLFO3LVL7">
    <w:name w:val="WW_CharLFO3LVL7"/>
    <w:qFormat/>
    <w:rPr>
      <w:rFonts w:ascii="OpenSymbol" w:hAnsi="OpenSymbol" w:eastAsia="OpenSymbol" w:cs="OpenSymbol"/>
    </w:rPr>
  </w:style>
  <w:style w:type="character" w:styleId="WWCharLFO3LVL8">
    <w:name w:val="WW_CharLFO3LVL8"/>
    <w:qFormat/>
    <w:rPr>
      <w:rFonts w:ascii="OpenSymbol" w:hAnsi="OpenSymbol" w:eastAsia="OpenSymbol" w:cs="OpenSymbol"/>
    </w:rPr>
  </w:style>
  <w:style w:type="character" w:styleId="WWCharLFO3LVL9">
    <w:name w:val="WW_CharLFO3LVL9"/>
    <w:qFormat/>
    <w:rPr>
      <w:rFonts w:ascii="OpenSymbol" w:hAnsi="OpenSymbol" w:eastAsia="OpenSymbol" w:cs="OpenSymbol"/>
    </w:rPr>
  </w:style>
  <w:style w:type="character" w:styleId="WWCharLFO4LVL1">
    <w:name w:val="WW_CharLFO4LVL1"/>
    <w:qFormat/>
    <w:rPr>
      <w:rFonts w:ascii="OpenSymbol" w:hAnsi="OpenSymbol" w:eastAsia="OpenSymbol" w:cs="OpenSymbol"/>
    </w:rPr>
  </w:style>
  <w:style w:type="character" w:styleId="WWCharLFO4LVL2">
    <w:name w:val="WW_CharLFO4LVL2"/>
    <w:qFormat/>
    <w:rPr>
      <w:rFonts w:ascii="OpenSymbol" w:hAnsi="OpenSymbol" w:eastAsia="OpenSymbol" w:cs="OpenSymbol"/>
    </w:rPr>
  </w:style>
  <w:style w:type="character" w:styleId="WWCharLFO4LVL3">
    <w:name w:val="WW_CharLFO4LVL3"/>
    <w:qFormat/>
    <w:rPr>
      <w:rFonts w:ascii="OpenSymbol" w:hAnsi="OpenSymbol" w:eastAsia="OpenSymbol" w:cs="OpenSymbol"/>
    </w:rPr>
  </w:style>
  <w:style w:type="character" w:styleId="WWCharLFO4LVL4">
    <w:name w:val="WW_CharLFO4LVL4"/>
    <w:qFormat/>
    <w:rPr>
      <w:rFonts w:ascii="OpenSymbol" w:hAnsi="OpenSymbol" w:eastAsia="OpenSymbol" w:cs="OpenSymbol"/>
    </w:rPr>
  </w:style>
  <w:style w:type="character" w:styleId="WWCharLFO4LVL5">
    <w:name w:val="WW_CharLFO4LVL5"/>
    <w:qFormat/>
    <w:rPr>
      <w:rFonts w:ascii="OpenSymbol" w:hAnsi="OpenSymbol" w:eastAsia="OpenSymbol" w:cs="OpenSymbol"/>
    </w:rPr>
  </w:style>
  <w:style w:type="character" w:styleId="WWCharLFO4LVL6">
    <w:name w:val="WW_CharLFO4LVL6"/>
    <w:qFormat/>
    <w:rPr>
      <w:rFonts w:ascii="OpenSymbol" w:hAnsi="OpenSymbol" w:eastAsia="OpenSymbol" w:cs="OpenSymbol"/>
    </w:rPr>
  </w:style>
  <w:style w:type="character" w:styleId="WWCharLFO4LVL7">
    <w:name w:val="WW_CharLFO4LVL7"/>
    <w:qFormat/>
    <w:rPr>
      <w:rFonts w:ascii="OpenSymbol" w:hAnsi="OpenSymbol" w:eastAsia="OpenSymbol" w:cs="OpenSymbol"/>
    </w:rPr>
  </w:style>
  <w:style w:type="character" w:styleId="WWCharLFO4LVL8">
    <w:name w:val="WW_CharLFO4LVL8"/>
    <w:qFormat/>
    <w:rPr>
      <w:rFonts w:ascii="OpenSymbol" w:hAnsi="OpenSymbol" w:eastAsia="OpenSymbol" w:cs="OpenSymbol"/>
    </w:rPr>
  </w:style>
  <w:style w:type="character" w:styleId="WWCharLFO4LVL9">
    <w:name w:val="WW_CharLFO4LVL9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">
    <w:name w:val="List"/>
    <w:basedOn w:val="BodyText"/>
    <w:qFormat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Style19">
    <w:name w:val="Обычный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</w:pPr>
    <w:rPr>
      <w:rFonts w:ascii="Liberation Serif" w:hAnsi="Liberation Serif" w:eastAsia="Tahoma" w:cs="Noto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user2">
    <w:name w:val="Заголовок (user)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/>
      <w:sz w:val="28"/>
      <w:szCs w:val="28"/>
    </w:rPr>
  </w:style>
  <w:style w:type="paragraph" w:styleId="Style20">
    <w:name w:val="Название объекта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user3">
    <w:name w:val="Указатель (user)"/>
    <w:basedOn w:val="Normal"/>
    <w:qFormat/>
    <w:pPr>
      <w:suppressLineNumbers/>
      <w:suppressAutoHyphens w:val="true"/>
    </w:pPr>
    <w:rPr/>
  </w:style>
  <w:style w:type="paragraph" w:styleId="user4">
    <w:name w:val="Содержимое таблицы (user)"/>
    <w:basedOn w:val="Normal"/>
    <w:qFormat/>
    <w:pPr>
      <w:widowControl w:val="false"/>
      <w:suppressLineNumbers/>
      <w:suppressAutoHyphens w:val="true"/>
    </w:pPr>
    <w:rPr/>
  </w:style>
  <w:style w:type="paragraph" w:styleId="user5">
    <w:name w:val="Заголовок таблицы (user)"/>
    <w:basedOn w:val="user4"/>
    <w:qFormat/>
    <w:pPr>
      <w:suppressAutoHyphens w:val="true"/>
      <w:jc w:val="center"/>
    </w:pPr>
    <w:rPr>
      <w:b/>
      <w:bCs/>
    </w:rPr>
  </w:style>
  <w:style w:type="paragraph" w:styleId="Style21">
    <w:name w:val="Абзац списка"/>
    <w:basedOn w:val="Style19"/>
    <w:qFormat/>
    <w:pPr>
      <w:tabs>
        <w:tab w:val="clear" w:pos="709"/>
      </w:tabs>
      <w:suppressAutoHyphens w:val="true"/>
      <w:spacing w:before="0" w:after="0"/>
      <w:ind w:start="720"/>
      <w:contextualSpacing/>
    </w:pPr>
    <w:rPr>
      <w:rFonts w:cs="Mangal"/>
      <w:szCs w:val="21"/>
    </w:rPr>
  </w:style>
  <w:style w:type="paragraph" w:styleId="Style22">
    <w:name w:val="Колонтитулы"/>
    <w:basedOn w:val="Normal"/>
    <w:qFormat/>
    <w:pPr/>
    <w:rPr/>
  </w:style>
  <w:style w:type="paragraph" w:styleId="Header">
    <w:name w:val="header"/>
    <w:basedOn w:val="Style19"/>
    <w:qFormat/>
    <w:pPr>
      <w:tabs>
        <w:tab w:val="clear" w:pos="709"/>
        <w:tab w:val="center" w:pos="4677" w:leader="none"/>
        <w:tab w:val="right" w:pos="9355" w:leader="none"/>
      </w:tabs>
      <w:suppressAutoHyphens w:val="true"/>
    </w:pPr>
    <w:rPr>
      <w:rFonts w:cs="Mangal"/>
      <w:szCs w:val="21"/>
    </w:rPr>
  </w:style>
  <w:style w:type="paragraph" w:styleId="Footer">
    <w:name w:val="footer"/>
    <w:basedOn w:val="Style19"/>
    <w:qFormat/>
    <w:pPr>
      <w:tabs>
        <w:tab w:val="clear" w:pos="709"/>
        <w:tab w:val="center" w:pos="4677" w:leader="none"/>
        <w:tab w:val="right" w:pos="9355" w:leader="none"/>
      </w:tabs>
      <w:suppressAutoHyphens w:val="true"/>
    </w:pPr>
    <w:rPr>
      <w:rFonts w:cs="Mangal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vyatoslav.ovdin@rt.ru" TargetMode="External"/><Relationship Id="rId3" Type="http://schemas.openxmlformats.org/officeDocument/2006/relationships/hyperlink" Target="mailto:konstantin_popov@south.rt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LibreOffice/25.8.7.3$Linux_X86_64 LibreOffice_project/30742500f2d3eb4366ac312fa33d3dcabdb3eba5</Application>
  <AppVersion>15.0000</AppVersion>
  <Pages>5</Pages>
  <Words>1728</Words>
  <Characters>12050</Characters>
  <CharactersWithSpaces>13551</CharactersWithSpaces>
  <Paragraphs>149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2026-09-11T09:58:00Z</dcterms:created>
  <dc:creator/>
  <dc:description/>
  <dc:language>ru-RU</dc:language>
  <cp:lastModifiedBy/>
  <dcterms:modified xsi:type="dcterms:W3CDTF">2026-09-22T09:30:14Z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