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header8.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пгт. Талакан</w:t>
        <w:tab/>
        <w:tab/>
        <w:tab/>
        <w:tab/>
        <w:tab/>
        <w:tab/>
        <w:t xml:space="preserve">                        «___» _________ 20__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pPr>
        <w:pStyle w:val="BodyText3"/>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pPr>
        <w:pStyle w:val="BodyText3"/>
        <w:ind w:firstLine="708"/>
        <w:rPr>
          <w:bCs/>
          <w:color w:val="auto"/>
          <w:lang w:val="ru-RU"/>
        </w:rPr>
      </w:pPr>
      <w:r>
        <w:rPr>
          <w:color w:val="auto"/>
        </w:rPr>
        <w:t xml:space="preserve">совместно в дальнейшем именуемые «Стороны», а по отдельности – «Сторона», </w:t>
      </w:r>
      <w:r>
        <w:rPr>
          <w:color w:val="auto"/>
          <w:highlight w:val="lightGray"/>
        </w:rPr>
        <w:t>по результатам проведенной Заказчиком конкурентной процедуры по лоту №_________</w:t>
      </w:r>
      <w:r>
        <w:rPr>
          <w:bCs/>
          <w:color w:val="auto"/>
          <w:highlight w:val="lightGray"/>
        </w:rPr>
        <w:t>,</w:t>
      </w:r>
      <w:r>
        <w:rPr>
          <w:highlight w:val="lightGray"/>
        </w:rPr>
        <w:t xml:space="preserve"> </w:t>
      </w:r>
      <w:r>
        <w:rPr>
          <w:color w:val="auto"/>
          <w:highlight w:val="lightGray"/>
          <w:lang w:val="ru-RU"/>
        </w:rPr>
        <w:t>и</w:t>
      </w:r>
      <w:r>
        <w:rPr>
          <w:highlight w:val="lightGray"/>
          <w:lang w:val="ru-RU"/>
        </w:rPr>
        <w:t xml:space="preserve"> </w:t>
      </w:r>
      <w:r>
        <w:rPr>
          <w:bCs/>
          <w:color w:val="auto"/>
          <w:highlight w:val="lightGray"/>
        </w:rPr>
        <w:t>на основании Протокола №_______ от «___»__________ года</w:t>
      </w:r>
      <w:r>
        <w:rPr>
          <w:bCs/>
          <w:color w:val="auto"/>
          <w:highlight w:val="lightGray"/>
          <w:lang w:val="ru-RU"/>
        </w:rPr>
        <w:t>,</w:t>
      </w:r>
    </w:p>
    <w:p>
      <w:pPr>
        <w:pStyle w:val="BodyText3"/>
        <w:ind w:firstLine="708"/>
        <w:rPr>
          <w:color w:val="auto"/>
          <w:lang w:val="ru-RU"/>
        </w:rPr>
      </w:pPr>
      <w:r>
        <w:rPr>
          <w:color w:val="auto"/>
        </w:rPr>
        <w:t>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shd w:val="clear" w:color="auto" w:fill="FFFFFF"/>
        <w:tabs>
          <w:tab w:val="clear" w:pos="709"/>
          <w:tab w:val="left" w:pos="284" w:leader="none"/>
        </w:tabs>
        <w:ind w:hanging="0" w:left="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firstLine="708" w:left="0"/>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9"/>
          <w:tab w:val="left" w:pos="567" w:leader="none"/>
          <w:tab w:val="left" w:pos="1134" w:leader="none"/>
        </w:tabs>
        <w:overflowPunct w:val="true"/>
        <w:ind w:firstLine="709" w:left="0"/>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rP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«Давальческие материалы и запасные части»</w:t>
      </w:r>
      <w:r>
        <w:rPr>
          <w:lang w:eastAsia="en-US"/>
        </w:rPr>
        <w:t xml:space="preserve"> – материалы (запасные части), </w:t>
      </w:r>
      <w:r>
        <w:rPr/>
        <w:t xml:space="preserve">которые будут являться составной частью Результата Работ по Договору, </w:t>
      </w:r>
      <w:r>
        <w:rP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 </w:t>
      </w: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 / или сооружений.</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при завершении выполнения Работ по Объекту. </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10"/>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10"/>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10"/>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9"/>
          <w:tab w:val="left" w:pos="567" w:leader="none"/>
          <w:tab w:val="left" w:pos="1134" w:leader="none"/>
        </w:tabs>
        <w:overflowPunct w:val="true"/>
        <w:ind w:firstLine="720" w:left="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9"/>
          <w:tab w:val="left" w:pos="567" w:leader="none"/>
        </w:tabs>
        <w:overflowPunct w:val="tru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w:t>
      </w:r>
      <w:r>
        <w:rPr>
          <w:b w:val="false"/>
          <w:sz w:val="24"/>
          <w:szCs w:val="24"/>
          <w:highlight w:val="lightGray"/>
          <w:lang w:val="ru-RU" w:eastAsia="en-US"/>
        </w:rPr>
        <w:t>Давальческих материалов и запасных частей</w:t>
      </w:r>
      <w:r>
        <w:rPr>
          <w:b w:val="false"/>
          <w:sz w:val="24"/>
          <w:szCs w:val="24"/>
          <w:lang w:val="ru-RU" w:eastAsia="en-US"/>
        </w:rPr>
        <w:t xml:space="preserve">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tabs>
          <w:tab w:val="left" w:pos="709" w:leader="none"/>
        </w:tabs>
        <w:spacing w:lineRule="auto" w:line="240"/>
        <w:ind w:firstLine="709"/>
        <w:rPr>
          <w:bCs/>
          <w:sz w:val="24"/>
          <w:szCs w:val="24"/>
        </w:rPr>
      </w:pPr>
      <w:r>
        <w:rPr>
          <w:b/>
          <w:sz w:val="24"/>
          <w:szCs w:val="24"/>
        </w:rPr>
        <w:t>«Скрытые работы»</w:t>
      </w:r>
      <w:r>
        <w:rPr>
          <w:sz w:val="24"/>
          <w:szCs w:val="24"/>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Heading3"/>
        <w:keepNext w:val="false"/>
        <w:widowControl w:val="false"/>
        <w:tabs>
          <w:tab w:val="clear" w:pos="709"/>
          <w:tab w:val="left" w:pos="567" w:leader="none"/>
        </w:tabs>
        <w:overflowPunct w:val="true"/>
        <w:spacing w:before="0" w:after="0"/>
        <w:ind w:firstLine="708"/>
        <w:jc w:val="both"/>
        <w:textAlignment w:val="baseline"/>
        <w:rPr>
          <w:sz w:val="24"/>
          <w:szCs w:val="24"/>
          <w:lang w:val="ru-RU" w:eastAsia="en-US"/>
        </w:rPr>
      </w:pPr>
      <w:r>
        <w:rPr>
          <w:b w:val="false"/>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Pr>
          <w:sz w:val="24"/>
          <w:szCs w:val="24"/>
          <w:lang w:val="ru-RU" w:eastAsia="en-US"/>
        </w:rPr>
        <w:t xml:space="preserve"> </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«Строительная площадка»</w:t>
      </w:r>
      <w:r>
        <w:rPr>
          <w:b w:val="false"/>
          <w:sz w:val="24"/>
          <w:szCs w:val="24"/>
          <w:lang w:val="ru-RU" w:eastAsia="en-US"/>
        </w:rPr>
        <w:t xml:space="preserve"> или </w:t>
      </w:r>
      <w:r>
        <w:rPr>
          <w:sz w:val="24"/>
          <w:szCs w:val="24"/>
          <w:lang w:val="ru-RU" w:eastAsia="en-US"/>
        </w:rPr>
        <w:t>«Стройплощадка»</w:t>
      </w:r>
      <w:r>
        <w:rPr>
          <w:b w:val="false"/>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w:t>
      </w:r>
      <w:r>
        <w:rPr>
          <w:b w:val="false"/>
          <w:color w:val="000000"/>
          <w:sz w:val="24"/>
          <w:szCs w:val="24"/>
          <w:shd w:fill="auto" w:val="clear"/>
          <w:lang w:val="ru-RU" w:eastAsia="en-US"/>
        </w:rPr>
        <w:t>Амурская область, Бурейский район, п.г.т. Талакан, Бурейская ГЭС, верхний бъеф, отм. 262,00.</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rPr>
          <w:lang w:val="x-none" w:eastAsia="x-none"/>
        </w:rPr>
      </w:pPr>
      <w:r>
        <w:rPr>
          <w:lang w:val="x-none" w:eastAsia="x-none"/>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firstLine="709" w:left="0"/>
        <w:jc w:val="both"/>
        <w:rPr>
          <w:bCs/>
        </w:rPr>
      </w:pPr>
      <w:bookmarkStart w:id="0" w:name="_Ref361410951"/>
      <w:r>
        <w:rPr>
          <w:bCs/>
        </w:rPr>
        <w:t>Подрядчик обязуется по заданию Заказчика в соответствии с Техническим заданием (Приложение № 1 к Договору) выполнить работы по текущему ремонту дизель-генератора стационарного ВБ №1 Бурейской ГЭС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4"/>
        </w:numPr>
        <w:shd w:val="clear" w:color="auto" w:fill="FFFFFF"/>
        <w:tabs>
          <w:tab w:val="clear" w:pos="709"/>
          <w:tab w:val="left" w:pos="1134" w:leader="none"/>
        </w:tabs>
        <w:ind w:firstLine="709" w:left="0"/>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Работы по Договору выполняются для нужд </w:t>
      </w:r>
      <w:r>
        <w:rPr>
          <w:bCs/>
          <w:shd w:fill="auto" w:val="clear"/>
        </w:rPr>
        <w:t xml:space="preserve">филиала ПАО «РусГидро»-«Бурейская ГЭС». </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Место выполнения Работ: </w:t>
      </w:r>
      <w:r>
        <w:rPr>
          <w:b w:val="false"/>
          <w:bCs/>
          <w:color w:val="000000"/>
          <w:sz w:val="24"/>
          <w:szCs w:val="24"/>
          <w:shd w:fill="auto" w:val="clear"/>
          <w:lang w:val="ru-RU" w:eastAsia="en-US"/>
        </w:rPr>
        <w:t xml:space="preserve">Амурская область, Бурейский </w:t>
      </w:r>
      <w:r>
        <w:rPr>
          <w:b w:val="false"/>
          <w:bCs/>
          <w:color w:val="000000"/>
          <w:sz w:val="24"/>
          <w:szCs w:val="24"/>
          <w:shd w:fill="auto" w:val="clear"/>
          <w:lang w:val="ru-RU" w:eastAsia="en-US"/>
        </w:rPr>
        <w:t>м.о.</w:t>
      </w:r>
      <w:r>
        <w:rPr>
          <w:b w:val="false"/>
          <w:bCs/>
          <w:color w:val="000000"/>
          <w:sz w:val="24"/>
          <w:szCs w:val="24"/>
          <w:shd w:fill="auto" w:val="clear"/>
          <w:lang w:val="ru-RU" w:eastAsia="en-US"/>
        </w:rPr>
        <w:t>, п.г.т. Талакан, Бурейская ГЭС, верхний бъеф, отм. 262,00</w:t>
      </w:r>
      <w:r>
        <w:rPr/>
        <w:t>.</w:t>
      </w:r>
    </w:p>
    <w:p>
      <w:pPr>
        <w:pStyle w:val="ListParagraph"/>
        <w:numPr>
          <w:ilvl w:val="1"/>
          <w:numId w:val="4"/>
        </w:numPr>
        <w:shd w:val="clear" w:color="auto" w:fill="FFFFFF"/>
        <w:tabs>
          <w:tab w:val="clear" w:pos="709"/>
          <w:tab w:val="left" w:pos="1134" w:leader="none"/>
        </w:tabs>
        <w:ind w:firstLine="709" w:left="0"/>
        <w:jc w:val="both"/>
        <w:rPr>
          <w:bCs/>
        </w:rPr>
      </w:pPr>
      <w:bookmarkStart w:id="1" w:name="_Ref361320424"/>
      <w:r>
        <w:rPr>
          <w:bCs/>
        </w:rPr>
        <w:t>Работы выполняются Подрядчиком в следующие сроки:</w:t>
      </w:r>
      <w:bookmarkEnd w:id="1"/>
    </w:p>
    <w:p>
      <w:pPr>
        <w:pStyle w:val="ListParagraph"/>
        <w:numPr>
          <w:ilvl w:val="2"/>
          <w:numId w:val="4"/>
        </w:numPr>
        <w:shd w:val="clear" w:color="auto" w:fill="FFFFFF"/>
        <w:tabs>
          <w:tab w:val="clear" w:pos="709"/>
          <w:tab w:val="left" w:pos="1418" w:leader="none"/>
        </w:tabs>
        <w:ind w:firstLine="709" w:left="0"/>
        <w:jc w:val="both"/>
        <w:rPr/>
      </w:pPr>
      <w:r>
        <w:rPr>
          <w:bCs/>
        </w:rPr>
        <w:t xml:space="preserve">начало выполнения </w:t>
      </w:r>
      <w:r>
        <w:rPr>
          <w:bCs/>
          <w:shd w:fill="auto" w:val="clear"/>
        </w:rPr>
        <w:t>Работ: с даты подписания договора</w:t>
      </w:r>
      <w:r>
        <w:rPr>
          <w:shd w:fill="auto" w:val="clear"/>
        </w:rPr>
        <w:t>;</w:t>
      </w:r>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bCs/>
          <w:shd w:fill="auto" w:val="clear"/>
        </w:rPr>
        <w:t xml:space="preserve">окончание выполнения Работ: </w:t>
      </w:r>
      <w:r>
        <w:rPr>
          <w:shd w:fill="auto" w:val="clear"/>
        </w:rPr>
        <w:t xml:space="preserve">«15» февраля 2027 г. </w:t>
      </w:r>
    </w:p>
    <w:p>
      <w:pPr>
        <w:pStyle w:val="ListParagraph"/>
        <w:numPr>
          <w:ilvl w:val="1"/>
          <w:numId w:val="4"/>
        </w:numPr>
        <w:shd w:val="clear" w:color="auto" w:fill="FFFFFF"/>
        <w:tabs>
          <w:tab w:val="clear" w:pos="709"/>
          <w:tab w:val="left" w:pos="1134" w:leader="none"/>
        </w:tabs>
        <w:ind w:firstLine="709" w:left="0"/>
        <w:jc w:val="both"/>
        <w:rPr>
          <w:bCs/>
        </w:rPr>
      </w:pPr>
      <w:r>
        <w:rPr>
          <w:bCs/>
          <w:shd w:fill="auto" w:val="clear"/>
        </w:rPr>
        <w:t xml:space="preserve">Работы, указанные в </w:t>
      </w:r>
      <w:r>
        <w:rPr>
          <w:shd w:fill="auto" w:val="clear"/>
        </w:rPr>
        <w:t>пункте 1.1</w:t>
      </w:r>
      <w:r>
        <w:rPr>
          <w:bCs/>
          <w:shd w:fill="auto" w:val="clear"/>
        </w:rPr>
        <w:t xml:space="preserve"> Договора, под</w:t>
      </w:r>
      <w:r>
        <w:rPr>
          <w:bCs/>
        </w:rPr>
        <w:t xml:space="preserve">лежат выполнению в отношении следующего Объекта: </w:t>
      </w:r>
      <w:r>
        <w:rPr>
          <w:rFonts w:cs="Times New Roman"/>
          <w:bCs/>
          <w:sz w:val="24"/>
          <w:szCs w:val="24"/>
        </w:rPr>
        <w:t>Дизель генератор стационарный ВБ №1, инв. №БР12389.</w:t>
      </w:r>
    </w:p>
    <w:p>
      <w:pPr>
        <w:pStyle w:val="Normal"/>
        <w:widowControl w:val="false"/>
        <w:shd w:val="clear" w:color="auto" w:fill="FFFFFF"/>
        <w:spacing w:lineRule="auto" w:line="240"/>
        <w:ind w:hanging="0" w:left="567"/>
        <w:rPr>
          <w:sz w:val="24"/>
          <w:szCs w:val="24"/>
        </w:rPr>
      </w:pPr>
      <w:r>
        <w:rPr>
          <w:sz w:val="24"/>
          <w:szCs w:val="24"/>
        </w:rPr>
      </w:r>
    </w:p>
    <w:p>
      <w:pPr>
        <w:pStyle w:val="ListParagraph"/>
        <w:numPr>
          <w:ilvl w:val="0"/>
          <w:numId w:val="4"/>
        </w:numPr>
        <w:shd w:val="clear" w:color="auto" w:fill="FFFFFF"/>
        <w:tabs>
          <w:tab w:val="clear" w:pos="709"/>
          <w:tab w:val="left" w:pos="284" w:leader="none"/>
        </w:tabs>
        <w:ind w:hanging="0" w:left="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firstLine="709" w:left="0"/>
        <w:jc w:val="both"/>
        <w:rPr/>
      </w:pPr>
      <w:bookmarkStart w:id="2" w:name="_Ref361396847"/>
      <w:bookmarkStart w:id="3" w:name="_Ref361320734"/>
      <w:bookmarkStart w:id="4" w:name="_Ref361401696"/>
      <w:r>
        <w:rPr>
          <w:bCs/>
        </w:rPr>
        <w:t xml:space="preserve">В течение </w:t>
      </w:r>
      <w:r>
        <w:rPr>
          <w:bCs/>
          <w:highlight w:val="lightGray"/>
        </w:rPr>
        <w:t>3 (трех)</w:t>
      </w:r>
      <w:r>
        <w:rPr>
          <w:bCs/>
        </w:rPr>
        <w:t xml:space="preserve">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11"/>
        </w:numPr>
        <w:shd w:val="clear" w:color="auto" w:fill="FFFFFF"/>
        <w:tabs>
          <w:tab w:val="left" w:pos="709" w:leader="none"/>
          <w:tab w:val="left" w:pos="1418" w:leader="none"/>
        </w:tabs>
        <w:ind w:firstLine="709" w:left="0"/>
        <w:jc w:val="both"/>
        <w:rPr/>
      </w:pPr>
      <w:r>
        <w:rPr/>
        <w:t xml:space="preserve">место производства Работ, </w:t>
      </w:r>
      <w:r>
        <w:rPr>
          <w:highlight w:val="lightGray"/>
        </w:rPr>
        <w:t>место (помещение) для складирования Материально-технических ресурсов, Давальческих материалов и запасных частей</w:t>
      </w:r>
      <w:r>
        <w:rPr/>
        <w:t xml:space="preserve"> по соответствующим актам сдачи-приемки (Приложение № 3.1 к Договору);</w:t>
      </w:r>
    </w:p>
    <w:p>
      <w:pPr>
        <w:pStyle w:val="ListParagraph"/>
        <w:numPr>
          <w:ilvl w:val="0"/>
          <w:numId w:val="11"/>
        </w:numPr>
        <w:shd w:val="clear" w:color="auto" w:fill="FFFFFF"/>
        <w:tabs>
          <w:tab w:val="left" w:pos="709" w:leader="none"/>
          <w:tab w:val="left" w:pos="1418" w:leader="none"/>
        </w:tabs>
        <w:ind w:firstLine="709" w:left="0"/>
        <w:jc w:val="both"/>
        <w:rPr/>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3.2 к Договору);</w:t>
      </w:r>
      <w:r>
        <w:rPr/>
        <w:t xml:space="preserve"> </w:t>
      </w:r>
    </w:p>
    <w:p>
      <w:pPr>
        <w:pStyle w:val="ListParagraph"/>
        <w:numPr>
          <w:ilvl w:val="0"/>
          <w:numId w:val="11"/>
        </w:numPr>
        <w:shd w:val="clear" w:color="auto" w:fill="FFFFFF"/>
        <w:tabs>
          <w:tab w:val="left" w:pos="709" w:leader="none"/>
          <w:tab w:val="left" w:pos="1418" w:leader="none"/>
        </w:tabs>
        <w:ind w:firstLine="709" w:left="0"/>
        <w:jc w:val="both"/>
        <w:rPr/>
      </w:pPr>
      <w:r>
        <w:rPr>
          <w:bCs/>
          <w:highlight w:val="lightGray"/>
        </w:rPr>
        <w:t>оборудование и инструменты, которые не будут являться составной частью Результата Работ, по Акту сдачи-приемки оборудования и инструментов (Приложение № 3.3 к Договору)</w:t>
      </w:r>
      <w:r>
        <w:rPr>
          <w:bCs/>
        </w:rPr>
        <w:t>.</w:t>
      </w:r>
      <w:bookmarkEnd w:id="4"/>
      <w:r>
        <w:rPr>
          <w:bCs/>
          <w:highlight w:val="yellow"/>
        </w:rPr>
        <w:t xml:space="preserve"> </w:t>
      </w:r>
      <w:bookmarkEnd w:id="3"/>
      <w:r>
        <w:rPr/>
        <w:t xml:space="preserve"> </w:t>
      </w:r>
      <w:bookmarkEnd w:id="2"/>
    </w:p>
    <w:p>
      <w:pPr>
        <w:pStyle w:val="PlainText"/>
        <w:numPr>
          <w:ilvl w:val="2"/>
          <w:numId w:val="4"/>
        </w:numPr>
        <w:ind w:firstLine="709" w:left="0"/>
        <w:jc w:val="both"/>
        <w:rPr>
          <w:rFonts w:ascii="Times New Roman" w:hAnsi="Times New Roman"/>
          <w:sz w:val="24"/>
          <w:szCs w:val="24"/>
        </w:rPr>
      </w:pPr>
      <w:r>
        <w:rPr>
          <w:rFonts w:ascii="Times New Roman" w:hAnsi="Times New Roman"/>
          <w:szCs w:val="22"/>
        </w:rPr>
        <w:t xml:space="preserve">При наличии технической возможности и </w:t>
      </w:r>
      <w:r>
        <w:rPr>
          <w:rFonts w:ascii="Times New Roman" w:hAnsi="Times New Roman"/>
          <w:sz w:val="24"/>
          <w:szCs w:val="24"/>
        </w:rPr>
        <w:t xml:space="preserve">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9"/>
          <w:tab w:val="left" w:pos="1418" w:leader="none"/>
        </w:tabs>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11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 </w:t>
      </w: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clear" w:pos="709"/>
          <w:tab w:val="left" w:pos="1418" w:leader="none"/>
        </w:tabs>
        <w:ind w:firstLine="709" w:left="0"/>
        <w:jc w:val="both"/>
        <w:rPr/>
      </w:pPr>
      <w:r>
        <w:rPr>
          <w:highlight w:val="lightGray"/>
        </w:rPr>
        <w:t>Предоставить Подрядчику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t>
      </w:r>
      <w:r>
        <w:rPr/>
        <w:t>.</w:t>
      </w:r>
    </w:p>
    <w:p>
      <w:pPr>
        <w:pStyle w:val="ListParagraph"/>
        <w:numPr>
          <w:ilvl w:val="2"/>
          <w:numId w:val="4"/>
        </w:numPr>
        <w:shd w:val="clear" w:color="auto" w:fill="FFFFFF"/>
        <w:tabs>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tabs>
          <w:tab w:val="left" w:pos="709" w:leader="none"/>
        </w:tabs>
        <w:ind w:firstLine="709" w:left="0"/>
        <w:jc w:val="both"/>
        <w:rPr>
          <w:bCs/>
        </w:rPr>
      </w:pPr>
      <w:r>
        <w:rPr>
          <w:bCs/>
        </w:rPr>
        <w:t>Производить освидетельствование (приемку) Скрытых работ.</w:t>
      </w:r>
    </w:p>
    <w:p>
      <w:pPr>
        <w:pStyle w:val="ListParagraph"/>
        <w:numPr>
          <w:ilvl w:val="2"/>
          <w:numId w:val="4"/>
        </w:numPr>
        <w:ind w:firstLine="709" w:left="0"/>
        <w:jc w:val="both"/>
        <w:rPr>
          <w:bCs/>
        </w:rPr>
      </w:pPr>
      <w:r>
        <w:rPr>
          <w:bCs/>
        </w:rPr>
        <w:t>Обеспечить Подрядчику доступ к ИС Maximo с целью фиксации факта выполнения Работ по Договору. Параметры и условия доступа к ИС Maximo указаны в Приложении № 6 к Договору.</w:t>
      </w:r>
    </w:p>
    <w:p>
      <w:pPr>
        <w:pStyle w:val="ListParagraph"/>
        <w:numPr>
          <w:ilvl w:val="2"/>
          <w:numId w:val="4"/>
        </w:numPr>
        <w:shd w:val="clear" w:color="auto" w:fill="FFFFFF"/>
        <w:tabs>
          <w:tab w:val="left" w:pos="709" w:leader="none"/>
        </w:tabs>
        <w:ind w:firstLine="709" w:left="0"/>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Круглосуточно осуществлять доступ к месту производства Работ, месту (помещению) для складирования Материально-технических ресурсов,</w:t>
      </w:r>
      <w:r>
        <w:rPr>
          <w:highlight w:val="lightGray"/>
        </w:rPr>
        <w:t xml:space="preserve"> Давальческих материалов и запасных частей</w:t>
      </w:r>
      <w:r>
        <w:rPr>
          <w:bCs/>
        </w:rPr>
        <w:t xml:space="preserve">. В случае предоставления Подрядчику отдельного помещения для складирования Материально-технических ресурсов, </w:t>
      </w:r>
      <w:r>
        <w:rPr>
          <w:highlight w:val="lightGray"/>
        </w:rPr>
        <w:t>Давальческих материалов и запасных частей</w:t>
      </w:r>
      <w:r>
        <w:rPr>
          <w:bCs/>
        </w:rPr>
        <w:t xml:space="preserve"> осуществлять осмотр такого помещения по первому требованию и в присутствии представителя Подрядчика. </w:t>
      </w:r>
    </w:p>
    <w:p>
      <w:pPr>
        <w:pStyle w:val="ListParagraph"/>
        <w:numPr>
          <w:ilvl w:val="2"/>
          <w:numId w:val="4"/>
        </w:numPr>
        <w:shd w:val="clear" w:color="auto" w:fill="FFFFFF"/>
        <w:tabs>
          <w:tab w:val="clear" w:pos="709"/>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4"/>
        </w:numPr>
        <w:shd w:val="clear" w:color="auto" w:fill="FFFFFF"/>
        <w:tabs>
          <w:tab w:val="clear" w:pos="709"/>
          <w:tab w:val="left" w:pos="1418" w:leader="none"/>
        </w:tabs>
        <w:ind w:firstLine="709" w:left="0"/>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shd w:val="clear" w:color="auto" w:fill="FFFFFF"/>
        <w:tabs>
          <w:tab w:val="clear" w:pos="709"/>
          <w:tab w:val="left" w:pos="567" w:leader="none"/>
        </w:tabs>
        <w:ind w:firstLine="567" w:left="0"/>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22"/>
        </w:numPr>
        <w:shd w:val="clear" w:color="auto" w:fill="FFFFFF"/>
        <w:tabs>
          <w:tab w:val="clear" w:pos="709"/>
          <w:tab w:val="left" w:pos="1418" w:leader="none"/>
        </w:tabs>
        <w:ind w:firstLine="709" w:left="0"/>
        <w:jc w:val="both"/>
        <w:rPr>
          <w:bCs/>
        </w:rPr>
      </w:pPr>
      <w:r>
        <w:rPr>
          <w:bCs/>
        </w:rPr>
        <w:t>место производства Работ,</w:t>
      </w:r>
      <w:r>
        <w:rPr>
          <w:bCs/>
          <w:color w:val="FF0000"/>
        </w:rPr>
        <w:t xml:space="preserve"> </w:t>
      </w:r>
      <w:r>
        <w:rPr>
          <w:bCs/>
          <w:highlight w:val="lightGray"/>
        </w:rPr>
        <w:t>место (помещение) для складирования Материально-технических ресурсов</w:t>
      </w:r>
      <w:r>
        <w:rPr>
          <w:bCs/>
        </w:rPr>
        <w:t>,</w:t>
      </w:r>
      <w:r>
        <w:rPr>
          <w:highlight w:val="lightGray"/>
        </w:rPr>
        <w:t xml:space="preserve"> Давальческих материалов и запасных частей</w:t>
      </w:r>
      <w:r>
        <w:rPr>
          <w:bCs/>
        </w:rPr>
        <w:t xml:space="preserve"> по соответствующим актам сдачи-приемки (Приложение № 3.1 к Договору);</w:t>
      </w:r>
    </w:p>
    <w:p>
      <w:pPr>
        <w:pStyle w:val="ListParagraph"/>
        <w:numPr>
          <w:ilvl w:val="0"/>
          <w:numId w:val="22"/>
        </w:numPr>
        <w:shd w:val="clear" w:color="auto" w:fill="FFFFFF"/>
        <w:tabs>
          <w:tab w:val="clear" w:pos="709"/>
          <w:tab w:val="left" w:pos="1418" w:leader="none"/>
        </w:tabs>
        <w:ind w:firstLine="709" w:left="0"/>
        <w:jc w:val="both"/>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3.2 к Договору); </w:t>
      </w:r>
    </w:p>
    <w:p>
      <w:pPr>
        <w:pStyle w:val="ListParagraph"/>
        <w:numPr>
          <w:ilvl w:val="0"/>
          <w:numId w:val="22"/>
        </w:numPr>
        <w:shd w:val="clear" w:color="auto" w:fill="FFFFFF"/>
        <w:tabs>
          <w:tab w:val="clear" w:pos="709"/>
          <w:tab w:val="left" w:pos="1418" w:leader="none"/>
        </w:tabs>
        <w:ind w:firstLine="709" w:left="0"/>
        <w:jc w:val="both"/>
        <w:rPr>
          <w:bCs/>
        </w:rPr>
      </w:pPr>
      <w:r>
        <w:rPr>
          <w:highlight w:val="lightGray"/>
        </w:rPr>
        <w:t xml:space="preserve">оборудование и инструменты, которые не будут являться составной частью Результата Работ, по Акту сдачи-приемки </w:t>
      </w:r>
      <w:r>
        <w:rPr>
          <w:bCs/>
          <w:highlight w:val="lightGray"/>
        </w:rPr>
        <w:t xml:space="preserve">оборудования и инструментов </w:t>
      </w:r>
      <w:r>
        <w:rPr>
          <w:highlight w:val="lightGray"/>
        </w:rPr>
        <w:t>(Приложение № 3.3 к Договору)</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При приемке места производства Работ, </w:t>
      </w:r>
      <w:r>
        <w:rPr>
          <w:bCs/>
          <w:highlight w:val="lightGray"/>
        </w:rPr>
        <w:t xml:space="preserve">места (помещения) для складирования Материально-технических ресурсов, </w:t>
      </w:r>
      <w:r>
        <w:rPr>
          <w:highlight w:val="lightGray"/>
        </w:rPr>
        <w:t>Давальческих материалов и запасных частей</w:t>
      </w:r>
      <w:r>
        <w:rPr>
          <w:bCs/>
          <w:highlight w:val="lightGray"/>
        </w:rPr>
        <w:t>, а также оборудования и инструмента,</w:t>
      </w:r>
      <w:r>
        <w:rPr>
          <w:highlight w:val="lightGray"/>
        </w:rPr>
        <w:t xml:space="preserve"> которые не будут являться составной частью Результата Работ</w:t>
      </w:r>
      <w:r>
        <w:rPr/>
        <w:t>,</w:t>
      </w:r>
      <w:r>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9"/>
          <w:tab w:val="left" w:pos="1418" w:leader="none"/>
        </w:tabs>
        <w:ind w:firstLine="709" w:left="0"/>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Выдать замечания в отношении технической и иной документации, предоставленной Заказчиком, в течение </w:t>
      </w:r>
      <w:r>
        <w:rPr>
          <w:bCs/>
          <w:highlight w:val="lightGray"/>
        </w:rPr>
        <w:t>5 (пяти)</w:t>
      </w:r>
      <w:r>
        <w:rPr>
          <w:bCs/>
        </w:rPr>
        <w:t xml:space="preserve"> рабочих дней с даты принятия её по Акту сдачи-приемки технической и иной документации (Приложение № 3.2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4"/>
        </w:numPr>
        <w:shd w:val="clear" w:color="auto" w:fill="FFFFFF"/>
        <w:tabs>
          <w:tab w:val="clear" w:pos="709"/>
          <w:tab w:val="left" w:pos="1418" w:leader="none"/>
        </w:tabs>
        <w:ind w:firstLine="709" w:left="0"/>
        <w:jc w:val="both"/>
        <w:rPr>
          <w:bCs/>
        </w:rPr>
      </w:pPr>
      <w:r>
        <w:rPr>
          <w:bCs/>
        </w:rPr>
        <w:t>До фактического начала выполнения Работ предоставить Заказчику:</w:t>
      </w:r>
    </w:p>
    <w:p>
      <w:pPr>
        <w:pStyle w:val="ListParagraph"/>
        <w:numPr>
          <w:ilvl w:val="0"/>
          <w:numId w:val="18"/>
        </w:numPr>
        <w:shd w:val="clear" w:color="auto" w:fill="FFFFFF"/>
        <w:tabs>
          <w:tab w:val="clear" w:pos="709"/>
          <w:tab w:val="left" w:pos="1418" w:leader="none"/>
        </w:tabs>
        <w:ind w:firstLine="709" w:left="0"/>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ИС </w:t>
      </w:r>
      <w:r>
        <w:rPr>
          <w:bCs/>
          <w:lang w:val="en-US"/>
        </w:rPr>
        <w:t>Maximo</w:t>
      </w:r>
      <w:r>
        <w:rPr>
          <w:bCs/>
        </w:rPr>
        <w:t xml:space="preserve">; </w:t>
      </w:r>
    </w:p>
    <w:p>
      <w:pPr>
        <w:pStyle w:val="ListParagraph"/>
        <w:numPr>
          <w:ilvl w:val="0"/>
          <w:numId w:val="18"/>
        </w:numPr>
        <w:shd w:val="clear" w:color="auto" w:fill="FFFFFF"/>
        <w:tabs>
          <w:tab w:val="left" w:pos="709" w:leader="none"/>
        </w:tabs>
        <w:ind w:firstLine="709" w:left="0"/>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18"/>
        </w:numPr>
        <w:shd w:val="clear" w:color="auto" w:fill="FFFFFF"/>
        <w:tabs>
          <w:tab w:val="left" w:pos="709" w:leader="none"/>
        </w:tabs>
        <w:ind w:firstLine="709" w:left="0"/>
        <w:jc w:val="both"/>
        <w:rPr>
          <w:bCs/>
        </w:rPr>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t>соответствующим актам сдачи-приемки (Приложение № 3.1 к Договору) в соответствии с пунктами 2.1.2 и 2.1.3 Договора.</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w:t>
      </w:r>
      <w:r>
        <w:rPr>
          <w:bCs/>
          <w:highlight w:val="lightGray"/>
        </w:rPr>
        <w:t>оборудования и инструмента</w:t>
      </w:r>
      <w:r>
        <w:rPr>
          <w:bCs/>
        </w:rPr>
        <w:t xml:space="preserve">,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firstLine="709" w:left="0"/>
        <w:jc w:val="both"/>
        <w:rPr/>
      </w:pPr>
      <w:r>
        <w:rPr/>
        <w:t>Обеспечить:</w:t>
      </w:r>
    </w:p>
    <w:p>
      <w:pPr>
        <w:pStyle w:val="ListParagraph"/>
        <w:numPr>
          <w:ilvl w:val="0"/>
          <w:numId w:val="19"/>
        </w:numPr>
        <w:shd w:val="clear" w:color="auto" w:fill="FFFFFF"/>
        <w:tabs>
          <w:tab w:val="clear" w:pos="709"/>
          <w:tab w:val="left" w:pos="567" w:leader="none"/>
        </w:tabs>
        <w:ind w:firstLine="709" w:left="0"/>
        <w:jc w:val="both"/>
        <w:rPr>
          <w:bCs/>
        </w:rPr>
      </w:pPr>
      <w:r>
        <w:rPr>
          <w:bCs/>
        </w:rPr>
        <w:t xml:space="preserve">участие в саморегулируемой организации, основанной на членстве лиц, </w:t>
      </w:r>
      <w:r>
        <w:rPr>
          <w:shd w:fill="FFFFFF" w:val="clear"/>
        </w:rPr>
        <w:t>осуществляющих строительство</w:t>
      </w:r>
      <w:r>
        <w:rPr>
          <w:bCs/>
        </w:rPr>
        <w:t xml:space="preserve"> (с учетом исключений, предусмотренных законодательством Российской Федерации</w:t>
      </w:r>
      <w:r>
        <w:rPr>
          <w:rStyle w:val="FootnoteReference"/>
          <w:bCs/>
        </w:rPr>
        <w:footnoteReference w:id="2"/>
      </w:r>
      <w:r>
        <w:rPr>
          <w:bCs/>
        </w:rPr>
        <w:t>);</w:t>
      </w:r>
    </w:p>
    <w:p>
      <w:pPr>
        <w:pStyle w:val="ListParagraph"/>
        <w:numPr>
          <w:ilvl w:val="0"/>
          <w:numId w:val="19"/>
        </w:numPr>
        <w:shd w:val="clear" w:color="auto" w:fill="FFFFFF"/>
        <w:tabs>
          <w:tab w:val="clear" w:pos="709"/>
          <w:tab w:val="left" w:pos="567" w:leader="none"/>
          <w:tab w:val="left" w:pos="1418" w:leader="none"/>
        </w:tabs>
        <w:ind w:firstLine="709" w:left="0"/>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9"/>
        </w:numPr>
        <w:tabs>
          <w:tab w:val="clear" w:pos="709"/>
          <w:tab w:val="left" w:pos="567" w:leader="none"/>
        </w:tabs>
        <w:ind w:firstLine="709" w:left="0"/>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4"/>
        </w:numPr>
        <w:shd w:val="clear" w:color="auto" w:fill="FFFFFF"/>
        <w:tabs>
          <w:tab w:val="clear" w:pos="709"/>
          <w:tab w:val="left" w:pos="1418" w:leader="none"/>
        </w:tabs>
        <w:ind w:firstLine="709" w:left="0"/>
        <w:jc w:val="both"/>
        <w:rPr>
          <w:bCs/>
        </w:rPr>
      </w:pPr>
      <w:r>
        <w:rP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firstLine="709" w:left="0"/>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9"/>
          <w:tab w:val="left" w:pos="1418" w:leader="none"/>
        </w:tabs>
        <w:ind w:firstLine="709" w:left="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4"/>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firstLine="709" w:left="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firstLine="709" w:left="0"/>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4"/>
        </w:numPr>
        <w:shd w:val="clear" w:color="auto" w:fill="FFFFFF"/>
        <w:tabs>
          <w:tab w:val="clear" w:pos="709"/>
          <w:tab w:val="left" w:pos="1418" w:leader="none"/>
        </w:tabs>
        <w:ind w:firstLine="709" w:left="0"/>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shd w:val="clear" w:color="auto" w:fill="FFFFFF"/>
        <w:tabs>
          <w:tab w:val="clear" w:pos="709"/>
          <w:tab w:val="left" w:pos="1418" w:leader="none"/>
        </w:tabs>
        <w:ind w:firstLine="709" w:left="0"/>
        <w:jc w:val="both"/>
        <w:rPr>
          <w:i/>
          <w:i/>
          <w:iCs/>
          <w:highlight w:val="none"/>
          <w:shd w:fill="C0C0C0" w:val="clear"/>
        </w:rPr>
      </w:pPr>
      <w:r>
        <w:rPr>
          <w:rFonts w:eastAsia="Times New Roman" w:cs="Times New Roman"/>
          <w:bCs/>
          <w:i/>
          <w:iCs/>
          <w:color w:val="000000"/>
          <w:kern w:val="0"/>
          <w:sz w:val="24"/>
          <w:szCs w:val="24"/>
          <w:shd w:fill="C0C0C0" w:val="clear"/>
          <w:lang w:val="ru-RU" w:eastAsia="ru-RU" w:bidi="ar-SA"/>
        </w:rPr>
        <w:t>л</w:t>
      </w:r>
      <w:r>
        <w:rPr>
          <w:bCs/>
          <w:i/>
          <w:iCs/>
          <w:shd w:fill="C0C0C0" w:val="clear"/>
        </w:rPr>
        <w:t>ибо</w:t>
      </w:r>
    </w:p>
    <w:p>
      <w:pPr>
        <w:pStyle w:val="ListParagraph"/>
        <w:shd w:val="clear" w:color="auto" w:fill="FFFFFF"/>
        <w:tabs>
          <w:tab w:val="clear" w:pos="709"/>
          <w:tab w:val="left" w:pos="1418" w:leader="none"/>
        </w:tabs>
        <w:ind w:firstLine="709" w:left="0"/>
        <w:jc w:val="both"/>
        <w:rPr>
          <w:highlight w:val="none"/>
          <w:shd w:fill="C0C0C0" w:val="clear"/>
        </w:rPr>
      </w:pPr>
      <w:r>
        <w:rPr>
          <w:bCs/>
          <w:shd w:fill="C0C0C0" w:val="clear"/>
        </w:rPr>
        <w:t>2.3.19. 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 а также исполнение обязанностей в области обращения с Отходами, в том числе:</w:t>
      </w:r>
    </w:p>
    <w:p>
      <w:pPr>
        <w:pStyle w:val="ListParagraph"/>
        <w:numPr>
          <w:ilvl w:val="3"/>
          <w:numId w:val="4"/>
        </w:numPr>
        <w:shd w:val="clear" w:color="auto" w:fill="FFFFFF"/>
        <w:tabs>
          <w:tab w:val="clear" w:pos="709"/>
          <w:tab w:val="left" w:pos="1418" w:leader="none"/>
        </w:tabs>
        <w:ind w:firstLine="709" w:left="0"/>
        <w:jc w:val="both"/>
        <w:rPr>
          <w:highlight w:val="none"/>
          <w:shd w:fill="C0C0C0" w:val="clear"/>
        </w:rPr>
      </w:pPr>
      <w:r>
        <w:rPr>
          <w:bCs/>
          <w:shd w:fill="C0C0C0" w:val="clear"/>
        </w:rPr>
        <w:t xml:space="preserve">Обеспечить за свой счет осуществление деятельности по сбору, накоплению, транспортированию, обработке, утилизации, обезвреживанию, </w:t>
      </w:r>
      <w:r>
        <w:rPr>
          <w:rFonts w:eastAsia="Times New Roman" w:cs="Times New Roman"/>
          <w:bCs/>
          <w:color w:val="000000"/>
          <w:kern w:val="0"/>
          <w:sz w:val="24"/>
          <w:szCs w:val="24"/>
          <w:shd w:fill="C0C0C0" w:val="clear"/>
          <w:lang w:val="ru-RU" w:eastAsia="ru-RU" w:bidi="ar-SA"/>
        </w:rPr>
        <w:t>размещению</w:t>
      </w:r>
      <w:r>
        <w:rPr>
          <w:bCs/>
          <w:shd w:fill="C0C0C0" w:val="clear"/>
        </w:rPr>
        <w:t xml:space="preserve"> Отходов, а также внесение платы за негативное воздействие на окружающую среду (далее </w:t>
      </w:r>
      <w:r>
        <w:rPr>
          <w:b w:val="false"/>
          <w:bCs/>
          <w:sz w:val="24"/>
          <w:szCs w:val="24"/>
          <w:shd w:fill="C0C0C0" w:val="clear"/>
          <w:lang w:val="ru-RU" w:eastAsia="en-US"/>
        </w:rPr>
        <w:t>–</w:t>
      </w:r>
      <w:r>
        <w:rPr>
          <w:bCs/>
          <w:shd w:fill="C0C0C0" w:val="clear"/>
        </w:rPr>
        <w:t xml:space="preserve"> НВОС) при размещении Отходов.</w:t>
      </w:r>
    </w:p>
    <w:p>
      <w:pPr>
        <w:pStyle w:val="ListParagraph"/>
        <w:numPr>
          <w:ilvl w:val="3"/>
          <w:numId w:val="4"/>
        </w:numPr>
        <w:shd w:val="clear" w:color="auto" w:fill="FFFFFF"/>
        <w:tabs>
          <w:tab w:val="clear" w:pos="709"/>
          <w:tab w:val="left" w:pos="1418" w:leader="none"/>
        </w:tabs>
        <w:ind w:firstLine="709" w:left="0"/>
        <w:jc w:val="both"/>
        <w:rPr>
          <w:highlight w:val="none"/>
          <w:shd w:fill="C0C0C0" w:val="clear"/>
        </w:rPr>
      </w:pPr>
      <w:r>
        <w:rPr>
          <w:shd w:fill="C0C0C0" w:val="clear"/>
        </w:rPr>
        <w:t xml:space="preserve">Обеспечить накопление </w:t>
      </w:r>
      <w:r>
        <w:rPr>
          <w:rFonts w:eastAsia="Times New Roman" w:cs="Times New Roman"/>
          <w:color w:val="000000"/>
          <w:kern w:val="0"/>
          <w:sz w:val="24"/>
          <w:szCs w:val="24"/>
          <w:shd w:fill="C0C0C0" w:val="clear"/>
          <w:lang w:val="ru-RU" w:eastAsia="ru-RU" w:bidi="ar-SA"/>
        </w:rPr>
        <w:t>Отходов</w:t>
      </w:r>
      <w:r>
        <w:rPr>
          <w:shd w:fill="C0C0C0" w:val="clear"/>
        </w:rPr>
        <w:t xml:space="preserve"> в </w:t>
      </w:r>
      <w:r>
        <w:rPr>
          <w:rFonts w:eastAsia="Times New Roman" w:cs="Times New Roman"/>
          <w:color w:val="000000"/>
          <w:kern w:val="0"/>
          <w:sz w:val="24"/>
          <w:szCs w:val="24"/>
          <w:shd w:fill="C0C0C0" w:val="clear"/>
          <w:lang w:val="ru-RU" w:eastAsia="ru-RU" w:bidi="ar-SA"/>
        </w:rPr>
        <w:t>местах</w:t>
      </w:r>
      <w:r>
        <w:rPr>
          <w:shd w:fill="C0C0C0" w:val="clear"/>
        </w:rPr>
        <w:t>, указанных или согласованных с Заказчиком.</w:t>
      </w:r>
    </w:p>
    <w:p>
      <w:pPr>
        <w:pStyle w:val="ListParagraph"/>
        <w:numPr>
          <w:ilvl w:val="3"/>
          <w:numId w:val="4"/>
        </w:numPr>
        <w:shd w:val="clear" w:color="auto" w:fill="FFFFFF"/>
        <w:tabs>
          <w:tab w:val="clear" w:pos="709"/>
          <w:tab w:val="left" w:pos="1418" w:leader="none"/>
        </w:tabs>
        <w:ind w:firstLine="709" w:left="0"/>
        <w:jc w:val="both"/>
        <w:rPr>
          <w:highlight w:val="none"/>
          <w:shd w:fill="C0C0C0" w:val="clear"/>
        </w:rPr>
      </w:pPr>
      <w:r>
        <w:rPr>
          <w:shd w:fill="C0C0C0" w:val="clear"/>
        </w:rPr>
        <w:t>Своевременно</w:t>
      </w:r>
      <w:r>
        <w:rPr>
          <w:rStyle w:val="FootnoteReference"/>
          <w:shd w:fill="C0C0C0" w:val="clear"/>
        </w:rPr>
        <w:footnoteReference w:id="3"/>
      </w:r>
      <w:r>
        <w:rPr>
          <w:shd w:fill="C0C0C0" w:val="clear"/>
        </w:rPr>
        <w:t xml:space="preserve"> транспортировать Отходы из мест накопления на объекты </w:t>
      </w:r>
      <w:r>
        <w:rPr>
          <w:rFonts w:eastAsia="Times New Roman" w:cs="Times New Roman"/>
          <w:color w:val="000000"/>
          <w:kern w:val="0"/>
          <w:sz w:val="24"/>
          <w:szCs w:val="24"/>
          <w:shd w:fill="C0C0C0" w:val="clear"/>
          <w:lang w:val="ru-RU" w:eastAsia="ru-RU" w:bidi="ar-SA"/>
        </w:rPr>
        <w:t>сбора</w:t>
      </w:r>
      <w:r>
        <w:rPr>
          <w:shd w:fill="C0C0C0" w:val="clear"/>
        </w:rPr>
        <w:t xml:space="preserve">, обработки, </w:t>
      </w:r>
      <w:r>
        <w:rPr>
          <w:rFonts w:eastAsia="Times New Roman" w:cs="Times New Roman"/>
          <w:color w:val="000000"/>
          <w:kern w:val="0"/>
          <w:sz w:val="24"/>
          <w:szCs w:val="24"/>
          <w:shd w:fill="C0C0C0" w:val="clear"/>
          <w:lang w:val="ru-RU" w:eastAsia="ru-RU" w:bidi="ar-SA"/>
        </w:rPr>
        <w:t>утилизации</w:t>
      </w:r>
      <w:r>
        <w:rPr>
          <w:shd w:fill="C0C0C0" w:val="clear"/>
        </w:rPr>
        <w:t>, обезвреживания, размещения Отходов в соответствии с соблюдением экологических требований, санитарно-</w:t>
      </w:r>
      <w:r>
        <w:rPr>
          <w:rFonts w:eastAsia="Times New Roman" w:cs="Times New Roman"/>
          <w:color w:val="000000"/>
          <w:kern w:val="0"/>
          <w:sz w:val="24"/>
          <w:szCs w:val="24"/>
          <w:shd w:fill="C0C0C0" w:val="clear"/>
          <w:lang w:val="ru-RU" w:eastAsia="ru-RU" w:bidi="ar-SA"/>
        </w:rPr>
        <w:t>эпидемиологических</w:t>
      </w:r>
      <w:r>
        <w:rPr>
          <w:shd w:fill="C0C0C0" w:val="clear"/>
        </w:rPr>
        <w:t xml:space="preserve"> требований и иных требований, установленных законодательством </w:t>
      </w:r>
      <w:r>
        <w:rPr>
          <w:rFonts w:eastAsia="Times New Roman" w:cs="Times New Roman"/>
          <w:color w:val="000000"/>
          <w:kern w:val="0"/>
          <w:sz w:val="24"/>
          <w:szCs w:val="24"/>
          <w:shd w:fill="C0C0C0" w:val="clear"/>
          <w:lang w:val="ru-RU" w:eastAsia="ru-RU" w:bidi="ar-SA"/>
        </w:rPr>
        <w:t>Российской</w:t>
      </w:r>
      <w:r>
        <w:rPr>
          <w:shd w:fill="C0C0C0" w:val="clear"/>
        </w:rPr>
        <w:t xml:space="preserve"> </w:t>
      </w:r>
      <w:r>
        <w:rPr>
          <w:rFonts w:eastAsia="Times New Roman" w:cs="Times New Roman"/>
          <w:color w:val="000000"/>
          <w:kern w:val="0"/>
          <w:sz w:val="24"/>
          <w:szCs w:val="24"/>
          <w:shd w:fill="C0C0C0" w:val="clear"/>
          <w:lang w:val="ru-RU" w:eastAsia="ru-RU" w:bidi="ar-SA"/>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4"/>
        </w:numPr>
        <w:shd w:val="clear" w:color="auto" w:fill="FFFFFF"/>
        <w:tabs>
          <w:tab w:val="clear" w:pos="709"/>
          <w:tab w:val="left" w:pos="1418" w:leader="none"/>
        </w:tabs>
        <w:ind w:firstLine="709" w:left="0"/>
        <w:jc w:val="both"/>
        <w:rPr>
          <w:highlight w:val="none"/>
          <w:shd w:fill="C0C0C0" w:val="clear"/>
        </w:rPr>
      </w:pPr>
      <w:r>
        <w:rPr>
          <w:rFonts w:eastAsia="Times New Roman" w:cs="Times New Roman"/>
          <w:color w:val="000000"/>
          <w:kern w:val="0"/>
          <w:sz w:val="24"/>
          <w:szCs w:val="24"/>
          <w:shd w:fill="C0C0C0" w:val="clear"/>
          <w:lang w:val="ru-RU" w:eastAsia="ru-RU" w:bidi="ar-SA"/>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numPr>
          <w:ilvl w:val="3"/>
          <w:numId w:val="4"/>
        </w:numPr>
        <w:shd w:val="clear" w:color="auto" w:fill="FFFFFF"/>
        <w:tabs>
          <w:tab w:val="clear" w:pos="709"/>
          <w:tab w:val="left" w:pos="1418" w:leader="none"/>
        </w:tabs>
        <w:ind w:firstLine="709" w:left="0"/>
        <w:jc w:val="both"/>
        <w:rPr>
          <w:highlight w:val="none"/>
          <w:shd w:fill="C0C0C0" w:val="clear"/>
        </w:rPr>
      </w:pPr>
      <w:r>
        <w:rPr>
          <w:rFonts w:eastAsia="Times New Roman" w:cs="Times New Roman"/>
          <w:color w:val="000000"/>
          <w:kern w:val="0"/>
          <w:sz w:val="24"/>
          <w:szCs w:val="24"/>
          <w:shd w:fill="C0C0C0" w:val="clear"/>
          <w:lang w:val="ru-RU" w:eastAsia="ru-RU" w:bidi="ar-SA"/>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Сводный сметный расчет / Объектный сметный расчет с приложениями,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Подрядчик обязан предоставить Заказчику копию соответствующих допусков, разрешений, лицензии и / или свидетельств (сертификатов).</w:t>
      </w:r>
      <w:r>
        <w:rPr>
          <w:rStyle w:val="FootnoteReference"/>
          <w:rFonts w:eastAsia="Times New Roman" w:cs="Times New Roman"/>
          <w:color w:val="000000"/>
          <w:kern w:val="0"/>
          <w:sz w:val="24"/>
          <w:szCs w:val="24"/>
          <w:shd w:fill="C0C0C0" w:val="clear"/>
          <w:lang w:val="ru-RU" w:eastAsia="ru-RU" w:bidi="ar-SA"/>
        </w:rPr>
        <w:footnoteReference w:id="4"/>
      </w:r>
    </w:p>
    <w:p>
      <w:pPr>
        <w:pStyle w:val="ListParagraph"/>
        <w:numPr>
          <w:ilvl w:val="2"/>
          <w:numId w:val="4"/>
        </w:numPr>
        <w:shd w:val="clear" w:color="auto" w:fill="FFFFFF"/>
        <w:tabs>
          <w:tab w:val="clear" w:pos="709"/>
          <w:tab w:val="left" w:pos="1418" w:leader="none"/>
        </w:tabs>
        <w:ind w:firstLine="709" w:left="0"/>
        <w:jc w:val="both"/>
        <w:rPr>
          <w:bCs/>
        </w:rPr>
      </w:pPr>
      <w:r>
        <w:rPr>
          <w:bCs/>
        </w:rPr>
        <w:t>Передать Заказчику в полном объеме лом черных и цветных металлов, образовавшийся в ходе выполнения Работ.</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13 к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9"/>
          <w:tab w:val="left" w:pos="1418" w:leader="none"/>
        </w:tabs>
        <w:ind w:firstLine="709" w:left="0"/>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firstLine="709" w:left="0"/>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firstLine="709" w:left="0"/>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firstLine="709" w:left="0"/>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20"/>
        </w:numPr>
        <w:ind w:firstLine="709" w:left="0" w:right="23"/>
        <w:jc w:val="both"/>
        <w:rPr/>
      </w:pPr>
      <w:r>
        <w:rPr/>
        <w:t>аварии – в течение 2 (двух) часов;</w:t>
      </w:r>
    </w:p>
    <w:p>
      <w:pPr>
        <w:pStyle w:val="ListParagraph"/>
        <w:numPr>
          <w:ilvl w:val="0"/>
          <w:numId w:val="20"/>
        </w:numPr>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20"/>
        </w:numPr>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20"/>
        </w:numPr>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20"/>
        </w:numPr>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20"/>
        </w:numPr>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firstLine="709" w:left="0"/>
        <w:jc w:val="both"/>
        <w:rPr/>
      </w:pPr>
      <w:r>
        <w:rPr/>
        <w:t xml:space="preserve">Нести риск случайной гибели и случайного повреждения мест (помещений), </w:t>
      </w:r>
      <w:r>
        <w:rPr>
          <w:highlight w:val="lightGray"/>
        </w:rPr>
        <w:t>оборудования и инструмента</w:t>
      </w:r>
      <w:r>
        <w:rPr/>
        <w:t xml:space="preserve">,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3.1, </w:t>
      </w:r>
      <w:r>
        <w:rPr>
          <w:highlight w:val="lightGray"/>
        </w:rPr>
        <w:t>3.3</w:t>
      </w:r>
      <w:r>
        <w:rPr/>
        <w:t xml:space="preserve"> к Договору).</w:t>
      </w:r>
    </w:p>
    <w:p>
      <w:pPr>
        <w:pStyle w:val="ListParagraph"/>
        <w:numPr>
          <w:ilvl w:val="2"/>
          <w:numId w:val="4"/>
        </w:numPr>
        <w:shd w:val="clear" w:color="auto" w:fill="FFFFFF"/>
        <w:tabs>
          <w:tab w:val="clear" w:pos="709"/>
          <w:tab w:val="left" w:pos="1418" w:leader="none"/>
        </w:tabs>
        <w:ind w:firstLine="709" w:left="0"/>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9"/>
          <w:tab w:val="left" w:pos="1418" w:leader="none"/>
        </w:tabs>
        <w:ind w:firstLine="709" w:left="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4"/>
        </w:numPr>
        <w:shd w:val="clear" w:color="auto" w:fill="FFFFFF"/>
        <w:tabs>
          <w:tab w:val="clear" w:pos="709"/>
          <w:tab w:val="left" w:pos="1418" w:leader="none"/>
        </w:tabs>
        <w:ind w:firstLine="709" w:left="0"/>
        <w:jc w:val="both"/>
        <w:rPr>
          <w:bCs/>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9"/>
          <w:tab w:val="left" w:pos="1418" w:leader="none"/>
        </w:tabs>
        <w:ind w:firstLine="709" w:left="0"/>
        <w:jc w:val="both"/>
        <w:rPr>
          <w:bCs/>
        </w:rPr>
      </w:pPr>
      <w:r>
        <w:rPr/>
        <w:t>Указанное уведомление должно быть получено Заказчиком заблаговременно</w:t>
      </w:r>
      <w:r>
        <w:rPr>
          <w:bCs/>
        </w:rPr>
        <w:t xml:space="preserve">, но не позднее, чем за </w:t>
      </w:r>
      <w:r>
        <w:rPr>
          <w:highlight w:val="lightGray"/>
        </w:rP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объекта капитального строительства, утвержденным Постановлением Правительства Российской Федерации от 21.06.2010 № 468.</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9"/>
          <w:tab w:val="left" w:pos="1418" w:leader="none"/>
        </w:tabs>
        <w:ind w:firstLine="709" w:left="0"/>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shd w:val="clear" w:color="auto" w:fill="FFFFFF"/>
        <w:tabs>
          <w:tab w:val="clear" w:pos="709"/>
          <w:tab w:val="left" w:pos="1418" w:leader="none"/>
        </w:tabs>
        <w:ind w:firstLine="709" w:left="0"/>
        <w:jc w:val="both"/>
        <w:rPr>
          <w:color w:val="000000"/>
        </w:rPr>
      </w:pPr>
      <w:r>
        <w:rPr>
          <w:color w:val="000000"/>
          <w:highlight w:val="lightGray"/>
        </w:rPr>
        <w:t>Принять у Заказчика в порядке, установленном Приложением № 9 к Договору, необходимые Давальческие материалы и запасные части, перечень которых указан в Приложении № 8 к Договору</w:t>
      </w:r>
      <w:r>
        <w:rPr>
          <w:color w:val="000000"/>
        </w:rPr>
        <w:t>.</w:t>
      </w:r>
    </w:p>
    <w:p>
      <w:pPr>
        <w:pStyle w:val="ListParagraph"/>
        <w:numPr>
          <w:ilvl w:val="2"/>
          <w:numId w:val="4"/>
        </w:numPr>
        <w:shd w:val="clear" w:color="auto" w:fill="FFFFFF"/>
        <w:tabs>
          <w:tab w:val="clear" w:pos="709"/>
          <w:tab w:val="left" w:pos="1418" w:leader="none"/>
        </w:tabs>
        <w:ind w:firstLine="709" w:left="0"/>
        <w:jc w:val="both"/>
        <w:rPr>
          <w:color w:val="000000"/>
        </w:rPr>
      </w:pPr>
      <w:r>
        <w:rPr>
          <w:color w:val="000000"/>
          <w:highlight w:val="lightGray"/>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9 к Договору</w:t>
      </w:r>
      <w:r>
        <w:rPr>
          <w:color w:val="000000"/>
        </w:rPr>
        <w:t>.</w:t>
      </w:r>
    </w:p>
    <w:p>
      <w:pPr>
        <w:pStyle w:val="ListParagraph"/>
        <w:numPr>
          <w:ilvl w:val="2"/>
          <w:numId w:val="4"/>
        </w:numPr>
        <w:ind w:firstLine="709" w:left="0"/>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ind w:firstLine="709" w:left="0"/>
        <w:jc w:val="both"/>
        <w:rPr>
          <w:color w:val="000000"/>
        </w:rPr>
      </w:pPr>
      <w:r>
        <w:rPr>
          <w:bCs/>
        </w:rPr>
        <w:t xml:space="preserve">Не позднее 2 (двух) рабочих дней с даты подписания Сторонами Акта КС-2, оформленного в соответствии с п.4.1. Договора, регистрировать факт выполнения принятых Заказчиком Работ по Договору путем заполнения электронной формы в </w:t>
      </w:r>
      <w:r>
        <w:rPr/>
        <w:t>ИС Maximo</w:t>
      </w:r>
      <w:r>
        <w:rPr>
          <w:bCs/>
        </w:rPr>
        <w:t xml:space="preserve"> в соответствии с процедурами, установленными в Приложении № 6 к Договору.</w:t>
      </w:r>
    </w:p>
    <w:p>
      <w:pPr>
        <w:pStyle w:val="ListParagraph"/>
        <w:numPr>
          <w:ilvl w:val="2"/>
          <w:numId w:val="4"/>
        </w:numPr>
        <w:ind w:firstLine="709" w:left="0"/>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firstLine="709" w:left="0"/>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субподряда в совокупности не более чем на </w:t>
      </w:r>
      <w:r>
        <w:rPr>
          <w:bCs/>
          <w:highlight w:val="lightGray"/>
        </w:rPr>
        <w:t>__  (_______)</w:t>
      </w:r>
      <w:r>
        <w:rPr>
          <w:bCs/>
        </w:rPr>
        <w:t xml:space="preserve"> процентов</w:t>
      </w:r>
      <w:r>
        <w:rPr>
          <w:rStyle w:val="FootnoteReference"/>
          <w:bCs/>
        </w:rPr>
        <w:footnoteReference w:id="5"/>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30"/>
        </w:numPr>
        <w:shd w:val="clear" w:color="auto" w:fill="FFFFFF"/>
        <w:tabs>
          <w:tab w:val="left" w:pos="709" w:leader="none"/>
          <w:tab w:val="left" w:pos="1418" w:leader="none"/>
        </w:tabs>
        <w:ind w:firstLine="709" w:left="0"/>
        <w:jc w:val="both"/>
        <w:rPr>
          <w:bCs/>
        </w:rPr>
      </w:pPr>
      <w:r>
        <w:rPr>
          <w:bCs/>
        </w:rPr>
        <w:t>проект договора с Субподрядчиком;</w:t>
      </w:r>
    </w:p>
    <w:p>
      <w:pPr>
        <w:pStyle w:val="ListParagraph"/>
        <w:numPr>
          <w:ilvl w:val="0"/>
          <w:numId w:val="30"/>
        </w:numPr>
        <w:shd w:val="clear" w:color="auto" w:fill="FFFFFF"/>
        <w:tabs>
          <w:tab w:val="left" w:pos="709" w:leader="none"/>
          <w:tab w:val="left" w:pos="1418" w:leader="none"/>
        </w:tabs>
        <w:ind w:firstLine="709" w:left="0"/>
        <w:jc w:val="both"/>
        <w:rPr>
          <w:bCs/>
        </w:rPr>
      </w:pPr>
      <w:r>
        <w:rPr>
          <w:bCs/>
        </w:rPr>
        <w:t>сведения об объемах выполнения работ Субподрядчиком;</w:t>
      </w:r>
    </w:p>
    <w:p>
      <w:pPr>
        <w:pStyle w:val="ListParagraph"/>
        <w:numPr>
          <w:ilvl w:val="0"/>
          <w:numId w:val="30"/>
        </w:numPr>
        <w:tabs>
          <w:tab w:val="left" w:pos="709" w:leader="none"/>
        </w:tabs>
        <w:ind w:firstLine="709" w:left="0"/>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9"/>
        </w:numPr>
        <w:tabs>
          <w:tab w:val="left" w:pos="709" w:leader="none"/>
        </w:tabs>
        <w:ind w:firstLine="709" w:left="0"/>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3"/>
          <w:numId w:val="4"/>
        </w:numPr>
        <w:ind w:firstLine="709" w:left="0"/>
        <w:jc w:val="both"/>
        <w:rPr/>
      </w:pPr>
      <w:r>
        <w:rPr>
          <w:bCs/>
          <w:highlight w:val="lightGray"/>
        </w:rPr>
        <w:t xml:space="preserve">Подрядчик вправе заключить договор на оказание услуг по обращению с Отходами с третьими лицами с учетом ограничения и на условиях, предусмотренного пунктом 2.4.2. Договора. </w:t>
      </w:r>
    </w:p>
    <w:p>
      <w:pPr>
        <w:pStyle w:val="ListParagraph"/>
        <w:ind w:firstLine="709" w:left="0"/>
        <w:jc w:val="both"/>
        <w:rPr/>
      </w:pPr>
      <w:r>
        <w:rPr>
          <w:bCs/>
          <w:highlight w:val="lightGray"/>
        </w:rPr>
        <w:t xml:space="preserve">При этом оплата по договору, указанному в настоящем пункте Договора, осуществляется Подрядчиком с включением </w:t>
      </w:r>
      <w:r>
        <w:rPr>
          <w:rFonts w:eastAsia="Times New Roman" w:cs="Times New Roman"/>
          <w:bCs/>
          <w:color w:val="auto"/>
          <w:kern w:val="0"/>
          <w:sz w:val="24"/>
          <w:szCs w:val="24"/>
          <w:highlight w:val="lightGray"/>
          <w:lang w:val="ru-RU" w:eastAsia="ru-RU" w:bidi="ar-SA"/>
        </w:rPr>
        <w:t>расходов</w:t>
      </w:r>
      <w:r>
        <w:rPr>
          <w:bCs/>
          <w:highlight w:val="lightGray"/>
        </w:rPr>
        <w:t xml:space="preserve">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p>
    <w:p>
      <w:pPr>
        <w:pStyle w:val="ListParagraph"/>
        <w:numPr>
          <w:ilvl w:val="2"/>
          <w:numId w:val="4"/>
        </w:numPr>
        <w:ind w:firstLine="709" w:left="0"/>
        <w:jc w:val="both"/>
        <w:rPr/>
      </w:pPr>
      <w:r>
        <w:rPr>
          <w:bCs/>
          <w:highlight w:val="lightGray"/>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7 к Договору</w:t>
      </w:r>
      <w:r>
        <w:rPr>
          <w:bCs/>
        </w:rPr>
        <w:t>.</w:t>
      </w:r>
    </w:p>
    <w:p>
      <w:pPr>
        <w:pStyle w:val="ListParagraph"/>
        <w:shd w:val="clear" w:color="auto" w:fill="FFFFFF"/>
        <w:tabs>
          <w:tab w:val="clear" w:pos="709"/>
          <w:tab w:val="left" w:pos="1134" w:leader="none"/>
        </w:tabs>
        <w:ind w:hanging="0" w:left="0"/>
        <w:jc w:val="both"/>
        <w:rPr/>
      </w:pPr>
      <w:r>
        <w:rPr/>
      </w:r>
    </w:p>
    <w:p>
      <w:pPr>
        <w:pStyle w:val="ListParagraph"/>
        <w:shd w:val="clear" w:color="auto" w:fill="FFFFFF"/>
        <w:tabs>
          <w:tab w:val="clear" w:pos="709"/>
          <w:tab w:val="left" w:pos="1418" w:leader="none"/>
        </w:tabs>
        <w:ind w:firstLine="426" w:left="0"/>
        <w:jc w:val="both"/>
        <w:rPr/>
      </w:pPr>
      <w:r>
        <w:rPr/>
      </w:r>
    </w:p>
    <w:p>
      <w:pPr>
        <w:pStyle w:val="ListParagraph"/>
        <w:numPr>
          <w:ilvl w:val="0"/>
          <w:numId w:val="4"/>
        </w:numPr>
        <w:shd w:val="clear" w:color="auto" w:fill="FFFFFF"/>
        <w:tabs>
          <w:tab w:val="clear" w:pos="709"/>
          <w:tab w:val="left" w:pos="284" w:leader="none"/>
        </w:tabs>
        <w:ind w:hanging="0" w:left="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firstLine="709" w:left="0"/>
        <w:jc w:val="both"/>
        <w:rPr>
          <w:bCs/>
        </w:rPr>
      </w:pPr>
      <w:bookmarkStart w:id="8" w:name="_Ref361335465"/>
      <w:r>
        <w:rPr>
          <w:bCs/>
        </w:rPr>
        <w:t xml:space="preserve">Цена </w:t>
      </w:r>
      <w:r>
        <w:rPr/>
        <w:t xml:space="preserve">Договора </w:t>
      </w:r>
      <w:r>
        <w:rPr>
          <w:bCs/>
        </w:rPr>
        <w:t>в соответствии со Сводным сметным расчетом</w:t>
      </w:r>
      <w:r>
        <w:rPr/>
        <w:t xml:space="preserve"> /</w:t>
      </w:r>
      <w:r>
        <w:rPr>
          <w:bCs/>
        </w:rPr>
        <w:t xml:space="preserve"> Объектным сметным расчетом с приложениями (Приложение № 2 к Договору) </w:t>
      </w:r>
      <w:r>
        <w:rPr>
          <w:bCs/>
          <w:highlight w:val="lightGray"/>
        </w:rPr>
        <w:t>является предельной / твердой и</w:t>
      </w:r>
      <w:r>
        <w:rPr>
          <w:bCs/>
        </w:rPr>
        <w:t xml:space="preserve">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 </w:t>
      </w:r>
    </w:p>
    <w:p>
      <w:pPr>
        <w:pStyle w:val="ListParagraph"/>
        <w:numPr>
          <w:ilvl w:val="2"/>
          <w:numId w:val="4"/>
        </w:numPr>
        <w:shd w:val="clear" w:color="auto" w:fill="FFFFFF"/>
        <w:tabs>
          <w:tab w:val="clear" w:pos="709"/>
          <w:tab w:val="left" w:pos="1418" w:leader="none"/>
        </w:tabs>
        <w:ind w:firstLine="709" w:left="0"/>
        <w:jc w:val="both"/>
        <w:rPr>
          <w:bCs/>
        </w:rPr>
      </w:pPr>
      <w:r>
        <w:rPr>
          <w:highlight w:val="lightGray"/>
        </w:rPr>
        <w:t xml:space="preserve">Предельная </w:t>
      </w:r>
      <w:r>
        <w:rPr>
          <w:bCs/>
          <w:highlight w:val="lightGray"/>
        </w:rPr>
        <w:t>/ Твердая</w:t>
      </w:r>
      <w:r>
        <w:rPr>
          <w:bCs/>
        </w:rPr>
        <w:t xml:space="preserve"> цена Работ </w:t>
      </w:r>
      <w:r>
        <w:rPr>
          <w:bCs/>
          <w:highlight w:val="lightGray"/>
        </w:rPr>
        <w:t>(без учета Лимита на непредвиденные работы и затраты)</w:t>
      </w:r>
      <w:r>
        <w:rPr>
          <w:bCs/>
        </w:rPr>
        <w:t xml:space="preserve"> составляет </w:t>
      </w:r>
      <w:r>
        <w:rPr>
          <w:highlight w:val="lightGray"/>
        </w:rPr>
        <w:t>_______</w:t>
      </w:r>
      <w:r>
        <w:rP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w:t>
      </w:r>
    </w:p>
    <w:p>
      <w:pPr>
        <w:pStyle w:val="ListParagraph"/>
        <w:numPr>
          <w:ilvl w:val="2"/>
          <w:numId w:val="4"/>
        </w:numPr>
        <w:shd w:val="clear" w:color="auto" w:fill="FFFFFF"/>
        <w:tabs>
          <w:tab w:val="clear" w:pos="709"/>
          <w:tab w:val="left" w:pos="1418" w:leader="none"/>
        </w:tabs>
        <w:ind w:firstLine="709" w:left="0"/>
        <w:jc w:val="both"/>
        <w:rPr/>
      </w:pPr>
      <w:r>
        <w:rPr>
          <w:highlight w:val="lightGray"/>
        </w:rPr>
        <w:t xml:space="preserve">Лимит на непредвиденные работы и затраты составляет ______ </w:t>
      </w:r>
      <w:r>
        <w:rPr>
          <w:bCs/>
          <w:highlight w:val="lightGray"/>
        </w:rPr>
        <w:t>(___________________)</w:t>
      </w:r>
      <w:r>
        <w:rPr>
          <w:highlight w:val="lightGray"/>
        </w:rPr>
        <w:t xml:space="preserve"> рублей ___ копеек, </w:t>
      </w:r>
      <w:r>
        <w:rPr>
          <w:bCs/>
          <w:highlight w:val="lightGray"/>
        </w:rPr>
        <w:t>без учёта НДС, при этом НДС исчисляется дополнительно по ставке, установленной ст.164 Налогового кодекса</w:t>
      </w:r>
      <w:r>
        <w:rPr/>
        <w:t>;</w:t>
      </w:r>
    </w:p>
    <w:p>
      <w:pPr>
        <w:pStyle w:val="ListParagraph"/>
        <w:numPr>
          <w:ilvl w:val="1"/>
          <w:numId w:val="4"/>
        </w:numPr>
        <w:shd w:val="clear" w:color="auto" w:fill="FFFFFF"/>
        <w:tabs>
          <w:tab w:val="clear" w:pos="709"/>
          <w:tab w:val="left" w:pos="1134" w:leader="none"/>
        </w:tabs>
        <w:ind w:firstLine="709" w:left="0"/>
        <w:jc w:val="both"/>
        <w:rPr>
          <w:bCs/>
        </w:rPr>
      </w:pPr>
      <w:bookmarkStart w:id="9" w:name="_Ref361834605"/>
      <w:r>
        <w:rPr>
          <w:bCs/>
          <w:highlight w:val="lightGray"/>
        </w:rPr>
        <w:t xml:space="preserve">Локальные сметы подлежат согласованию Сторонами не позднее истечения </w:t>
      </w:r>
      <w:r>
        <w:rPr>
          <w:highlight w:val="lightGray"/>
        </w:rPr>
        <w:t>30</w:t>
      </w:r>
      <w:r>
        <w:rPr>
          <w:bCs/>
          <w:highlight w:val="lightGray"/>
        </w:rPr>
        <w:t xml:space="preserve"> (</w:t>
      </w:r>
      <w:r>
        <w:rPr>
          <w:highlight w:val="lightGray"/>
        </w:rPr>
        <w:t>тридцати</w:t>
      </w:r>
      <w:r>
        <w:rPr>
          <w:bCs/>
          <w:highlight w:val="lightGray"/>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Pr>
          <w:highlight w:val="lightGray"/>
        </w:rPr>
        <w:t xml:space="preserve"> /</w:t>
      </w:r>
      <w:r>
        <w:rPr>
          <w:bCs/>
          <w:highlight w:val="lightGray"/>
        </w:rPr>
        <w:t xml:space="preserve"> Объектный сметный расчет с приложениями (Приложение № 2 к Договору) путем заключения дополнительного соглашения к Договору.</w:t>
      </w:r>
      <w:bookmarkEnd w:id="9"/>
    </w:p>
    <w:p>
      <w:pPr>
        <w:pStyle w:val="ListParagraph"/>
        <w:shd w:val="clear" w:color="auto" w:fill="FFFFFF"/>
        <w:tabs>
          <w:tab w:val="clear" w:pos="709"/>
          <w:tab w:val="left" w:pos="1134" w:leader="none"/>
        </w:tabs>
        <w:ind w:firstLine="709" w:left="0"/>
        <w:jc w:val="both"/>
        <w:rPr>
          <w:bCs/>
        </w:rPr>
      </w:pPr>
      <w:r>
        <w:rPr>
          <w:bCs/>
          <w:i/>
          <w:highlight w:val="lightGray"/>
        </w:rPr>
        <w:t>либо</w:t>
      </w:r>
    </w:p>
    <w:p>
      <w:pPr>
        <w:pStyle w:val="ListParagraph"/>
        <w:shd w:val="clear" w:color="auto" w:fill="FFFFFF"/>
        <w:tabs>
          <w:tab w:val="clear" w:pos="709"/>
          <w:tab w:val="left" w:pos="1134" w:leader="none"/>
        </w:tabs>
        <w:ind w:firstLine="709" w:left="0"/>
        <w:jc w:val="both"/>
        <w:rPr>
          <w:bCs/>
        </w:rPr>
      </w:pPr>
      <w:r>
        <w:rPr>
          <w:bCs/>
          <w:highlight w:val="lightGray"/>
        </w:rPr>
        <w:t>Локальные сметы являются неотъемлемой частью Сводного сметного расчета / Объектного сметного расчета с приложениями (Приложение № 2 к Договору)</w:t>
      </w:r>
      <w:r>
        <w:rPr>
          <w:bCs/>
        </w:rPr>
        <w:t>.</w:t>
      </w:r>
      <w:bookmarkEnd w:id="8"/>
    </w:p>
    <w:p>
      <w:pPr>
        <w:pStyle w:val="ListParagraph"/>
        <w:numPr>
          <w:ilvl w:val="1"/>
          <w:numId w:val="4"/>
        </w:numPr>
        <w:shd w:val="clear" w:color="auto" w:fill="FFFFFF"/>
        <w:tabs>
          <w:tab w:val="clear" w:pos="709"/>
          <w:tab w:val="left" w:pos="1134" w:leader="none"/>
        </w:tabs>
        <w:ind w:firstLine="709" w:left="0"/>
        <w:jc w:val="both"/>
        <w:rPr>
          <w:bCs/>
        </w:rPr>
      </w:pPr>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выполнение ремонтных работ;</w:t>
      </w:r>
    </w:p>
    <w:p>
      <w:pPr>
        <w:pStyle w:val="ListParagraph"/>
        <w:numPr>
          <w:ilvl w:val="2"/>
          <w:numId w:val="4"/>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firstLine="709" w:left="0"/>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4"/>
        </w:numPr>
        <w:shd w:val="clear" w:color="auto" w:fill="FFFFFF"/>
        <w:tabs>
          <w:tab w:val="clear" w:pos="709"/>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firstLine="709" w:left="0"/>
        <w:jc w:val="both"/>
        <w:rPr>
          <w:bCs/>
        </w:rPr>
      </w:pPr>
      <w:bookmarkStart w:id="10" w:name="_Ref361834675"/>
      <w:bookmarkStart w:id="11" w:name="_Ref361858588"/>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4"/>
        </w:numPr>
        <w:shd w:val="clear" w:color="auto" w:fill="FFFFFF"/>
        <w:tabs>
          <w:tab w:val="clear" w:pos="709"/>
          <w:tab w:val="left" w:pos="1418" w:leader="none"/>
        </w:tabs>
        <w:ind w:firstLine="709" w:left="0"/>
        <w:jc w:val="both"/>
        <w:rPr/>
      </w:pPr>
      <w:bookmarkStart w:id="12" w:name="_Ref361335057"/>
      <w:bookmarkStart w:id="13" w:name="_Ref373242755"/>
      <w:bookmarkEnd w:id="12"/>
      <w:bookmarkEnd w:id="13"/>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firstLine="709" w:left="0"/>
        <w:jc w:val="both"/>
        <w:rPr/>
      </w:pPr>
      <w:bookmarkStart w:id="14" w:name="_Ref361335057_Копия_1"/>
      <w:bookmarkStart w:id="15" w:name="_Ref361335023"/>
      <w:bookmarkStart w:id="16" w:name="_Ref361834178"/>
      <w:bookmarkStart w:id="17" w:name="_Ref373242766"/>
      <w:bookmarkStart w:id="18" w:name="_Ref373242755_Копия_1"/>
      <w:bookmarkEnd w:id="14"/>
      <w:bookmarkEnd w:id="15"/>
      <w:bookmarkEnd w:id="16"/>
      <w:bookmarkEnd w:id="18"/>
      <w:r>
        <w:rPr/>
        <w:t xml:space="preserve">Авансовый платеж в счет стоимости Работ по Договору в размере 10 (десяти) процентов от Цены Договора </w:t>
      </w:r>
      <w:r>
        <w:rPr>
          <w:highlight w:val="lightGray"/>
        </w:rPr>
        <w:t>(за исключением непредвиденных работ и затрат)</w:t>
      </w:r>
      <w:r>
        <w:rPr/>
        <w:t xml:space="preserve"> 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w:t>
      </w:r>
      <w:r>
        <w:rPr>
          <w:highlight w:val="lightGray"/>
        </w:rPr>
        <w:t>при условии согласования Сторонами сметной документации в соответствии с пунктом 3.2 Договора</w:t>
      </w:r>
      <w:r>
        <w:rPr>
          <w:rStyle w:val="FootnoteReference"/>
        </w:rPr>
        <w:footnoteReference w:id="6"/>
      </w:r>
      <w:r>
        <w:rPr/>
        <w:t>, но не ранее, чем за 30 (тридцать) календарных дней до даты начала выполнения Работ, определенной в пункте 1.5. Договора, и с учетом пунктов 3.5.1, 3.5.4 Договора.</w:t>
      </w:r>
      <w:bookmarkEnd w:id="17"/>
    </w:p>
    <w:p>
      <w:pPr>
        <w:pStyle w:val="ListParagraph"/>
        <w:numPr>
          <w:ilvl w:val="2"/>
          <w:numId w:val="4"/>
        </w:numPr>
        <w:ind w:firstLine="709" w:left="0"/>
        <w:jc w:val="both"/>
        <w:rPr/>
      </w:pPr>
      <w:r>
        <w:rPr/>
        <w:t xml:space="preserve">Окончательный платеж в размере 90% (девяноста процентов) от Цены Договора выплачивается в течение </w:t>
      </w:r>
      <w:r>
        <w:rPr>
          <w:highlight w:val="lightGray"/>
        </w:rPr>
        <w:t>20 (двадцати) календарных дней</w:t>
      </w:r>
      <w:r>
        <w:rPr>
          <w:rStyle w:val="FootnoteReference"/>
          <w:highlight w:val="lightGray"/>
        </w:rPr>
        <w:footnoteReference w:id="7"/>
      </w:r>
      <w:r>
        <w:rPr>
          <w:highlight w:val="lightGray"/>
        </w:rPr>
        <w:t xml:space="preserve"> / 7 (семи) рабочих дней</w:t>
      </w:r>
      <w:r>
        <w:rPr>
          <w:rStyle w:val="FootnoteReference"/>
          <w:highlight w:val="lightGray"/>
        </w:rPr>
        <w:footnoteReference w:id="8"/>
      </w:r>
      <w:r>
        <w:rPr>
          <w:vertAlign w:val="superscript"/>
        </w:rPr>
        <w:t xml:space="preserve"> </w:t>
      </w:r>
      <w:r>
        <w:rPr/>
        <w:t>с даты подписания Сторонами документов, указанных в пункте 4.1 Договора, на основании счёта, выставленного Подрядчиком, и с учетом пункта 3.5.4 Договора.</w:t>
      </w:r>
    </w:p>
    <w:p>
      <w:pPr>
        <w:pStyle w:val="ListParagraph"/>
        <w:numPr>
          <w:ilvl w:val="2"/>
          <w:numId w:val="4"/>
        </w:numPr>
        <w:shd w:val="clear" w:color="auto" w:fill="FFFFFF"/>
        <w:tabs>
          <w:tab w:val="clear" w:pos="709"/>
          <w:tab w:val="left" w:pos="1418" w:leader="none"/>
        </w:tabs>
        <w:ind w:firstLine="709" w:left="0"/>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firstLine="709" w:left="0"/>
        <w:jc w:val="both"/>
        <w:rPr>
          <w:bCs/>
        </w:rPr>
      </w:pPr>
      <w:bookmarkStart w:id="19" w:name="_Ref373242894"/>
      <w:bookmarkStart w:id="20" w:name="_Ref361834178_Копия_1"/>
      <w:bookmarkEnd w:id="20"/>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9"/>
      <w:r>
        <w:rPr>
          <w:bCs/>
        </w:rPr>
        <w:t xml:space="preserve"> </w:t>
      </w:r>
    </w:p>
    <w:p>
      <w:pPr>
        <w:pStyle w:val="ListParagraph"/>
        <w:numPr>
          <w:ilvl w:val="1"/>
          <w:numId w:val="4"/>
        </w:numPr>
        <w:shd w:val="clear" w:color="auto" w:fill="FFFFFF"/>
        <w:tabs>
          <w:tab w:val="clear" w:pos="709"/>
          <w:tab w:val="left" w:pos="1134" w:leader="none"/>
        </w:tabs>
        <w:ind w:firstLine="709" w:left="0"/>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1" w:name="_Ref361336647"/>
      <w:bookmarkEnd w:id="21"/>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418" w:leader="none"/>
        </w:tabs>
        <w:ind w:firstLine="709" w:left="0"/>
        <w:jc w:val="both"/>
        <w:rPr>
          <w:bCs/>
        </w:rPr>
      </w:pPr>
      <w:r>
        <w:rPr>
          <w:highlight w:val="lightGray"/>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highlight w:val="lightGray"/>
        </w:rPr>
        <w:t>/ Объектным сметным расчетом</w:t>
      </w:r>
      <w:r>
        <w:rPr>
          <w:highlight w:val="lightGray"/>
        </w:rPr>
        <w:t xml:space="preserve"> </w:t>
      </w:r>
      <w:r>
        <w:rPr>
          <w:bCs/>
          <w:highlight w:val="lightGray"/>
        </w:rPr>
        <w:t>с приложениями</w:t>
      </w:r>
      <w:r>
        <w:rPr>
          <w:highlight w:val="lightGray"/>
        </w:rPr>
        <w:t xml:space="preserve"> (Приложение № 2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(ста) процентов от стоимости непредвиденных работ и затрат производится Заказчиком в течение 20 (двадцати) календарных дней</w:t>
      </w:r>
      <w:r>
        <w:rPr>
          <w:rStyle w:val="FootnoteReference"/>
          <w:highlight w:val="lightGray"/>
        </w:rPr>
        <w:footnoteReference w:id="9"/>
      </w:r>
      <w:r>
        <w:rPr>
          <w:highlight w:val="lightGray"/>
        </w:rPr>
        <w:t xml:space="preserve"> / 7 (семи) рабочих дней</w:t>
      </w:r>
      <w:r>
        <w:rPr>
          <w:rStyle w:val="FootnoteReference"/>
          <w:highlight w:val="lightGray"/>
        </w:rPr>
        <w:footnoteReference w:id="10"/>
      </w:r>
      <w:r>
        <w:rPr>
          <w:highlight w:val="lightGray"/>
        </w:rPr>
        <w:t xml:space="preserve"> с даты подписания Акта КС-2 и Справки КС-3 на основании счета, выставленного Подрядчиком, и с учетом пункта 3.5.4 Договора. Стоимость непредвиденных работ и затрат включается в </w:t>
      </w:r>
      <w:r>
        <w:rPr>
          <w:bCs/>
          <w:highlight w:val="lightGray"/>
        </w:rPr>
        <w:t>общую сумму Акта КС-2, подписываемого Сторонами в соответствии с пунктом 4.1 Договора</w:t>
      </w:r>
      <w:r>
        <w:rPr>
          <w:bCs/>
        </w:rPr>
        <w:t>.</w:t>
      </w:r>
    </w:p>
    <w:p>
      <w:pPr>
        <w:pStyle w:val="ListParagraph"/>
        <w:numPr>
          <w:ilvl w:val="1"/>
          <w:numId w:val="4"/>
        </w:numPr>
        <w:shd w:val="clear" w:color="auto" w:fill="FFFFFF"/>
        <w:tabs>
          <w:tab w:val="clear" w:pos="709"/>
          <w:tab w:val="left" w:pos="1134" w:leader="none"/>
        </w:tabs>
        <w:ind w:firstLine="709" w:left="0"/>
        <w:jc w:val="both"/>
        <w:rPr/>
      </w:pPr>
      <w:r>
        <w:rPr>
          <w:highlight w:val="lightGray"/>
        </w:rPr>
        <w:t>Командировочные расходы включаются в стоимость Работ по Договору в соответствии с расчетом, прилагаемым к Сводному сметному расчету /</w:t>
      </w:r>
      <w:r>
        <w:rPr>
          <w:bCs/>
          <w:highlight w:val="lightGray"/>
        </w:rPr>
        <w:t xml:space="preserve"> Объектному сметному расчету</w:t>
      </w:r>
      <w:r>
        <w:rPr>
          <w:highlight w:val="lightGray"/>
        </w:rPr>
        <w:t xml:space="preserve"> </w:t>
      </w:r>
      <w:r>
        <w:rPr>
          <w:bCs/>
          <w:highlight w:val="lightGray"/>
        </w:rPr>
        <w:t>с приложениями</w:t>
      </w:r>
      <w:r>
        <w:rPr>
          <w:highlight w:val="lightGray"/>
        </w:rPr>
        <w:t xml:space="preserve">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 Договору.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4"/>
        </w:numPr>
        <w:shd w:val="clear" w:color="auto" w:fill="FFFFFF"/>
        <w:tabs>
          <w:tab w:val="clear" w:pos="709"/>
          <w:tab w:val="left" w:pos="1134" w:leader="none"/>
        </w:tabs>
        <w:ind w:firstLine="709" w:left="0"/>
        <w:jc w:val="both"/>
        <w:rPr>
          <w:bCs/>
        </w:rPr>
      </w:pPr>
      <w:r>
        <w:rPr>
          <w:highlight w:val="lightGray"/>
        </w:rPr>
        <w:t>Давальческие</w:t>
      </w:r>
      <w:r>
        <w:rPr>
          <w:bCs/>
          <w:highlight w:val="lightGray"/>
        </w:rPr>
        <w:t xml:space="preserve"> материалы и запасные части, перечень которых указан в Приложении № 8 к Договору, в стоимости Работ по Договору не учитываются</w:t>
      </w:r>
      <w:r>
        <w:rPr>
          <w:bCs/>
        </w:rPr>
        <w:t>.</w:t>
      </w:r>
    </w:p>
    <w:p>
      <w:pPr>
        <w:pStyle w:val="ListParagraph"/>
        <w:numPr>
          <w:ilvl w:val="1"/>
          <w:numId w:val="4"/>
        </w:numPr>
        <w:shd w:val="clear" w:color="auto" w:fill="FFFFFF"/>
        <w:tabs>
          <w:tab w:val="clear" w:pos="709"/>
          <w:tab w:val="left" w:pos="1134" w:leader="none"/>
        </w:tabs>
        <w:ind w:firstLine="709" w:left="0"/>
        <w:jc w:val="both"/>
        <w:rPr>
          <w:bCs/>
        </w:rPr>
      </w:pPr>
      <w:bookmarkStart w:id="22" w:name="_Ref361335023_Копия_1"/>
      <w:bookmarkEnd w:id="22"/>
      <w:r>
        <w:rPr>
          <w:bCs/>
        </w:rPr>
        <w:t>Индексация Цены Договора не допускается.</w:t>
      </w:r>
    </w:p>
    <w:p>
      <w:pPr>
        <w:pStyle w:val="ListParagraph"/>
        <w:numPr>
          <w:ilvl w:val="1"/>
          <w:numId w:val="4"/>
        </w:numPr>
        <w:shd w:val="clear" w:color="auto" w:fill="FFFFFF"/>
        <w:tabs>
          <w:tab w:val="clear" w:pos="709"/>
          <w:tab w:val="left" w:pos="1134" w:leader="none"/>
        </w:tabs>
        <w:ind w:firstLine="709" w:left="0"/>
        <w:jc w:val="both"/>
        <w:rPr>
          <w:bCs/>
        </w:rPr>
      </w:pPr>
      <w:bookmarkStart w:id="23" w:name="_Ref361834251"/>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выполненного Подрядчиком Работ.</w:t>
      </w:r>
      <w:bookmarkEnd w:id="23"/>
    </w:p>
    <w:p>
      <w:pPr>
        <w:pStyle w:val="ListParagraph"/>
        <w:shd w:val="clear" w:color="auto" w:fill="FFFFFF"/>
        <w:tabs>
          <w:tab w:val="clear" w:pos="709"/>
          <w:tab w:val="left" w:pos="1134" w:leader="none"/>
        </w:tabs>
        <w:ind w:firstLine="709" w:left="0"/>
        <w:jc w:val="both"/>
        <w:rPr/>
      </w:pPr>
      <w: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firstLine="567"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firstLine="709" w:left="0"/>
        <w:jc w:val="both"/>
        <w:rPr/>
      </w:pPr>
      <w:bookmarkStart w:id="24" w:name="_Ref361336865"/>
      <w:r>
        <w:rPr>
          <w:bCs/>
        </w:rPr>
        <w:t>По завершении выполнения Работ по Договору Подрядчик в течение 3 (трех) рабочих дней представляет Заказчику подписанные со своей стороны:</w:t>
      </w:r>
    </w:p>
    <w:p>
      <w:pPr>
        <w:pStyle w:val="ListParagraph"/>
        <w:numPr>
          <w:ilvl w:val="0"/>
          <w:numId w:val="21"/>
        </w:numPr>
        <w:shd w:val="clear" w:color="auto" w:fill="FFFFFF"/>
        <w:tabs>
          <w:tab w:val="clear" w:pos="709"/>
          <w:tab w:val="left" w:pos="1418" w:leader="none"/>
        </w:tabs>
        <w:ind w:firstLine="709" w:left="0"/>
        <w:jc w:val="both"/>
        <w:rPr/>
      </w:pPr>
      <w:r>
        <w:rPr/>
        <w:t xml:space="preserve">Акт КС-2, Справку КС-3 </w:t>
      </w:r>
      <w:r>
        <w:rPr>
          <w:bCs/>
        </w:rPr>
        <w:t>н</w:t>
      </w:r>
      <w:r>
        <w:rPr/>
        <w:t>а весь объем выполненных Работ по Объекту в 2 (двух) экземплярах</w:t>
      </w:r>
      <w:r>
        <w:rPr>
          <w:bCs/>
        </w:rPr>
        <w:t xml:space="preserve"> с приложением Приемо-сдаточной и Исполнительной документации </w:t>
      </w:r>
      <w: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21"/>
        </w:numPr>
        <w:shd w:val="clear" w:color="auto" w:fill="FFFFFF"/>
        <w:tabs>
          <w:tab w:val="clear" w:pos="709"/>
          <w:tab w:val="left" w:pos="1418" w:leader="none"/>
        </w:tabs>
        <w:ind w:firstLine="709" w:left="0"/>
        <w:jc w:val="both"/>
        <w:rPr>
          <w:highlight w:val="lightGray"/>
        </w:rPr>
      </w:pPr>
      <w:r>
        <w:rPr>
          <w:highlight w:val="lightGray"/>
        </w:rPr>
        <w:t>Акт</w:t>
      </w:r>
      <w:r>
        <w:rPr>
          <w:bCs/>
          <w:highlight w:val="lightGray"/>
        </w:rPr>
        <w:t xml:space="preserve"> ОС-3 в 2 (двух) экземплярах</w:t>
      </w:r>
      <w:r>
        <w:rPr>
          <w:highlight w:val="lightGray"/>
        </w:rPr>
        <w:t>.</w:t>
      </w:r>
      <w:bookmarkEnd w:id="24"/>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firstLine="709" w:left="0"/>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firstLine="709" w:left="0"/>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4"/>
        </w:numPr>
        <w:shd w:val="clear" w:color="auto" w:fill="FFFFFF"/>
        <w:tabs>
          <w:tab w:val="clear" w:pos="709"/>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firstLine="709" w:left="0"/>
        <w:jc w:val="both"/>
        <w:rPr>
          <w:bCs/>
        </w:rPr>
      </w:pPr>
      <w:bookmarkStart w:id="25"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5"/>
    </w:p>
    <w:p>
      <w:pPr>
        <w:pStyle w:val="ListParagraph"/>
        <w:numPr>
          <w:ilvl w:val="1"/>
          <w:numId w:val="4"/>
        </w:numPr>
        <w:shd w:val="clear" w:color="auto" w:fill="FFFFFF"/>
        <w:tabs>
          <w:tab w:val="clear" w:pos="709"/>
          <w:tab w:val="left" w:pos="1134" w:leader="none"/>
        </w:tabs>
        <w:ind w:firstLine="709" w:left="0"/>
        <w:jc w:val="both"/>
        <w:rPr>
          <w:bCs/>
        </w:rPr>
      </w:pPr>
      <w:r>
        <w:rPr>
          <w:bCs/>
          <w:highlight w:val="lightGray"/>
        </w:rPr>
        <w:t>Стоимость Давальческих материалов и запасных частей, указанных в Приложении № 8 к Договору, включается справочно в Акт КС-2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t>
      </w:r>
      <w:r>
        <w:rPr>
          <w:bCs/>
        </w:rPr>
        <w:t>.</w:t>
      </w:r>
    </w:p>
    <w:p>
      <w:pPr>
        <w:pStyle w:val="ListParagraph"/>
        <w:shd w:val="clear" w:color="auto" w:fill="FFFFFF"/>
        <w:tabs>
          <w:tab w:val="clear" w:pos="709"/>
          <w:tab w:val="left" w:pos="1134" w:leader="none"/>
        </w:tabs>
        <w:ind w:hanging="0" w:left="567"/>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firstLine="709" w:left="0"/>
        <w:jc w:val="both"/>
        <w:rPr>
          <w:bCs/>
        </w:rPr>
      </w:pPr>
      <w:bookmarkStart w:id="26" w:name="_Ref361405028"/>
      <w:r>
        <w:rPr>
          <w:bCs/>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rPr/>
        <w:t>КС-2</w:t>
      </w:r>
      <w:r>
        <w:rPr>
          <w:bCs/>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6"/>
    </w:p>
    <w:p>
      <w:pPr>
        <w:pStyle w:val="ListParagraph"/>
        <w:numPr>
          <w:ilvl w:val="1"/>
          <w:numId w:val="4"/>
        </w:numPr>
        <w:shd w:val="clear" w:color="auto" w:fill="FFFFFF"/>
        <w:tabs>
          <w:tab w:val="clear" w:pos="709"/>
          <w:tab w:val="left" w:pos="1134" w:leader="none"/>
        </w:tabs>
        <w:ind w:firstLine="709" w:left="0"/>
        <w:jc w:val="both"/>
        <w:rPr>
          <w:bCs/>
        </w:rPr>
      </w:pPr>
      <w:r>
        <w:rPr>
          <w:bCs/>
          <w:highlight w:val="lightGray"/>
        </w:rPr>
        <w:t>Передача Заказчиком Давальческих материалов и запасных частей, указанных в Приложении № 8 к Договору, осуществляется без перехода права собственности на данное имущество к Подрядчику</w:t>
      </w:r>
      <w:r>
        <w:rPr>
          <w:bCs/>
        </w:rPr>
        <w:t>.</w:t>
      </w:r>
    </w:p>
    <w:p>
      <w:pPr>
        <w:pStyle w:val="ListParagraph"/>
        <w:shd w:val="clear" w:color="auto" w:fill="FFFFFF"/>
        <w:tabs>
          <w:tab w:val="clear" w:pos="709"/>
          <w:tab w:val="left" w:pos="0" w:leader="none"/>
          <w:tab w:val="left" w:pos="1134" w:leader="none"/>
        </w:tabs>
        <w:ind w:firstLine="709"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firstLine="709" w:left="0"/>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firstLine="709" w:left="0"/>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нарушения Подрядчиком срока</w:t>
      </w:r>
      <w:r>
        <w:rPr/>
        <w:t xml:space="preserve"> </w:t>
      </w:r>
      <w:r>
        <w:rPr>
          <w:bCs/>
          <w:sz w:val="24"/>
          <w:szCs w:val="24"/>
        </w:rPr>
        <w:t>выполнения Работ, установленного пунктом 1.5.2 Договора более, чем на 60 (шестьдесят) календарных дней;</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прекращения членства в СРО, основанной на членстве лиц, осуществляющих строительство;</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7"/>
        </w:numPr>
        <w:tabs>
          <w:tab w:val="clear" w:pos="709"/>
          <w:tab w:val="left" w:pos="1418" w:leader="none"/>
        </w:tabs>
        <w:spacing w:lineRule="auto" w:line="240"/>
        <w:ind w:firstLine="709" w:left="0"/>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Normal"/>
        <w:spacing w:lineRule="auto" w:line="240"/>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firstLine="709" w:left="0"/>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ListParagraph"/>
        <w:shd w:val="clear" w:color="auto" w:fill="FFFFFF"/>
        <w:tabs>
          <w:tab w:val="clear" w:pos="709"/>
          <w:tab w:val="left" w:pos="1418" w:leader="none"/>
        </w:tabs>
        <w:ind w:firstLine="709" w:left="0"/>
        <w:jc w:val="both"/>
        <w:rPr>
          <w:bCs/>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4"/>
        </w:numPr>
        <w:shd w:val="clear" w:color="auto" w:fill="FFFFFF"/>
        <w:tabs>
          <w:tab w:val="clear" w:pos="709"/>
          <w:tab w:val="left" w:pos="1418" w:leader="none"/>
        </w:tabs>
        <w:ind w:firstLine="709" w:left="0"/>
        <w:jc w:val="both"/>
        <w:rPr>
          <w:bCs/>
        </w:rPr>
      </w:pPr>
      <w:r>
        <w:rPr>
          <w:bCs/>
        </w:rPr>
        <w:t>Срок действия Банковской гарантии должен заканчиваться не ранее 70 (семидесяти) календарных дней после наступления даты завершения Работ, установленной Договором.</w:t>
      </w:r>
    </w:p>
    <w:p>
      <w:pPr>
        <w:pStyle w:val="ListParagraph"/>
        <w:numPr>
          <w:ilvl w:val="2"/>
          <w:numId w:val="4"/>
        </w:numPr>
        <w:shd w:val="clear" w:color="auto" w:fill="FFFFFF"/>
        <w:tabs>
          <w:tab w:val="clear" w:pos="709"/>
          <w:tab w:val="left" w:pos="1418" w:leader="none"/>
        </w:tabs>
        <w:ind w:firstLine="709" w:left="0"/>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firstLine="709" w:left="0"/>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firstLine="709" w:left="0"/>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jc w:val="both"/>
        <w:rPr>
          <w:bCs/>
        </w:rPr>
      </w:pPr>
      <w:r>
        <w:rPr/>
        <w:t>- в оригинале на бумажном носителе.</w:t>
      </w:r>
    </w:p>
    <w:p>
      <w:pPr>
        <w:pStyle w:val="Normal"/>
        <w:numPr>
          <w:ilvl w:val="1"/>
          <w:numId w:val="4"/>
        </w:numPr>
        <w:spacing w:lineRule="auto" w:line="240"/>
        <w:ind w:firstLine="709" w:left="0"/>
        <w:rPr>
          <w:bCs/>
          <w:sz w:val="24"/>
          <w:szCs w:val="24"/>
        </w:rPr>
      </w:pPr>
      <w:r>
        <w:rPr>
          <w:bCs/>
          <w:sz w:val="24"/>
          <w:szCs w:val="24"/>
        </w:rPr>
        <w:t>Банк, выдавший Банковскую гарантию, должен соответствовать критериям, указанным в Приложении № 10 к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firstLine="709" w:left="0"/>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при условии подтверждения их выполнения.</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7"/>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Подрядчик обязан предоставить Заказчику новую Банковскую гарантию</w:t>
      </w:r>
      <w:r>
        <w:rP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firstLine="709" w:left="0"/>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firstLine="709" w:left="0"/>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без учета НДС.</w:t>
      </w:r>
    </w:p>
    <w:p>
      <w:pPr>
        <w:pStyle w:val="ListParagraph"/>
        <w:numPr>
          <w:ilvl w:val="1"/>
          <w:numId w:val="4"/>
        </w:numPr>
        <w:shd w:val="clear" w:color="auto" w:fill="FFFFFF"/>
        <w:tabs>
          <w:tab w:val="clear" w:pos="709"/>
          <w:tab w:val="left" w:pos="1134" w:leader="none"/>
        </w:tabs>
        <w:ind w:firstLine="709" w:left="0"/>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1"/>
      </w:r>
      <w:r>
        <w:rPr>
          <w:highlight w:val="lightGray"/>
        </w:rPr>
        <w:t>.</w:t>
      </w:r>
    </w:p>
    <w:p>
      <w:pPr>
        <w:pStyle w:val="ListParagraph"/>
        <w:numPr>
          <w:ilvl w:val="1"/>
          <w:numId w:val="4"/>
        </w:numPr>
        <w:shd w:val="clear" w:color="auto" w:fill="FFFFFF"/>
        <w:tabs>
          <w:tab w:val="clear" w:pos="709"/>
          <w:tab w:val="left" w:pos="1134" w:leader="none"/>
        </w:tabs>
        <w:ind w:firstLine="709" w:left="0"/>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pPr>
        <w:pStyle w:val="Normal"/>
        <w:tabs>
          <w:tab w:val="clear" w:pos="709"/>
          <w:tab w:val="left" w:pos="1701" w:leader="none"/>
        </w:tabs>
        <w:spacing w:lineRule="auto" w:line="240"/>
        <w:ind w:firstLine="709"/>
        <w:rPr>
          <w:sz w:val="24"/>
          <w:szCs w:val="24"/>
        </w:rPr>
      </w:pPr>
      <w:r>
        <w:rPr>
          <w:rFonts w:eastAsia="Calibri"/>
          <w:bCs/>
          <w:sz w:val="24"/>
          <w:szCs w:val="24"/>
        </w:rPr>
        <w:t>7.5.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numPr>
          <w:ilvl w:val="1"/>
          <w:numId w:val="26"/>
        </w:numPr>
        <w:shd w:val="clear" w:color="auto" w:fill="FFFFFF"/>
        <w:tabs>
          <w:tab w:val="clear" w:pos="709"/>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w:t>
      </w:r>
      <w:r>
        <w:rPr>
          <w:bCs/>
          <w:shd w:fill="C0C0C0" w:val="clear"/>
        </w:rPr>
        <w:t>экологических, санитарно-</w:t>
      </w:r>
      <w:r>
        <w:rPr>
          <w:rFonts w:eastAsia="Times New Roman" w:cs="Times New Roman"/>
          <w:bCs/>
          <w:color w:val="000000"/>
          <w:kern w:val="0"/>
          <w:sz w:val="24"/>
          <w:szCs w:val="24"/>
          <w:shd w:fill="C0C0C0" w:val="clear"/>
          <w:lang w:val="ru-RU" w:eastAsia="ru-RU" w:bidi="ar-SA"/>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rFonts w:eastAsia="Times New Roman" w:cs="Times New Roman"/>
          <w:bCs/>
          <w:color w:val="000000"/>
          <w:kern w:val="0"/>
          <w:sz w:val="24"/>
          <w:szCs w:val="24"/>
          <w:shd w:fill="C0C0C0" w:val="clear"/>
          <w:lang w:val="ru-RU" w:eastAsia="ru-RU" w:bidi="ar-SA"/>
        </w:rPr>
        <w:footnoteReference w:id="12"/>
      </w:r>
      <w:r>
        <w:rPr>
          <w:rFonts w:eastAsia="Times New Roman" w:cs="Times New Roman"/>
          <w:bCs/>
          <w:color w:val="000000"/>
          <w:kern w:val="0"/>
          <w:sz w:val="24"/>
          <w:szCs w:val="24"/>
          <w:shd w:fill="C0C0C0" w:val="clear"/>
          <w:lang w:val="ru-RU" w:eastAsia="ru-RU" w:bidi="ar-SA"/>
        </w:rPr>
        <w:t>,</w:t>
      </w:r>
      <w:r>
        <w:rPr>
          <w:rFonts w:eastAsia="Times New Roman" w:cs="Times New Roman"/>
          <w:bCs/>
          <w:color w:val="000000"/>
          <w:kern w:val="0"/>
          <w:sz w:val="24"/>
          <w:szCs w:val="24"/>
          <w:shd w:fill="auto" w:val="clear"/>
          <w:lang w:val="ru-RU" w:eastAsia="ru-RU" w:bidi="ar-SA"/>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rFonts w:eastAsia="Times New Roman" w:cs="Times New Roman"/>
          <w:bCs/>
          <w:color w:val="000000"/>
          <w:kern w:val="0"/>
          <w:sz w:val="24"/>
          <w:szCs w:val="24"/>
          <w:shd w:fill="C0C0C0" w:val="clear"/>
          <w:lang w:val="ru-RU" w:eastAsia="ru-RU" w:bidi="ar-SA"/>
        </w:rPr>
        <w:t>соответствующих</w:t>
      </w:r>
      <w:r>
        <w:rPr>
          <w:bCs/>
          <w:shd w:fill="C0C0C0" w:val="clear"/>
        </w:rPr>
        <w:t xml:space="preserve"> административных штрафов</w:t>
      </w:r>
      <w:r>
        <w:rPr>
          <w:rStyle w:val="FootnoteReference"/>
          <w:bCs/>
          <w:shd w:fill="C0C0C0" w:val="clear"/>
        </w:rPr>
        <w:footnoteReference w:id="13"/>
      </w:r>
      <w:r>
        <w:rPr>
          <w:bCs/>
          <w:shd w:fill="C0C0C0" w:val="clear"/>
        </w:rPr>
        <w:t xml:space="preserve">, </w:t>
      </w:r>
      <w:r>
        <w:rPr>
          <w:bCs/>
        </w:rPr>
        <w:t xml:space="preserve">вправе требовать уплаты Подрядчиком штрафа в размерах, установленных Приложением № 5 к Договору. </w:t>
      </w:r>
    </w:p>
    <w:p>
      <w:pPr>
        <w:pStyle w:val="ListParagraph"/>
        <w:numPr>
          <w:ilvl w:val="1"/>
          <w:numId w:val="26"/>
        </w:numPr>
        <w:shd w:val="clear" w:color="auto" w:fill="FFFFFF"/>
        <w:tabs>
          <w:tab w:val="clear" w:pos="709"/>
          <w:tab w:val="left" w:pos="1134" w:leader="none"/>
        </w:tabs>
        <w:ind w:firstLine="709" w:left="0"/>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26"/>
        </w:numPr>
        <w:shd w:val="clear" w:color="auto" w:fill="FFFFFF"/>
        <w:tabs>
          <w:tab w:val="clear" w:pos="709"/>
          <w:tab w:val="left" w:pos="1134" w:leader="none"/>
        </w:tabs>
        <w:ind w:firstLine="709" w:left="0"/>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6"/>
        </w:numPr>
        <w:shd w:val="clear" w:color="auto" w:fill="FFFFFF"/>
        <w:tabs>
          <w:tab w:val="clear" w:pos="709"/>
          <w:tab w:val="left" w:pos="1134"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pacing w:lineRule="auto" w:line="240"/>
        <w:rPr>
          <w:b/>
          <w:color w:val="000000"/>
          <w:sz w:val="24"/>
          <w:szCs w:val="24"/>
        </w:rPr>
      </w:pPr>
      <w:r>
        <w:rPr>
          <w:b/>
          <w:color w:val="000000"/>
          <w:sz w:val="24"/>
          <w:szCs w:val="24"/>
        </w:rPr>
      </w:r>
    </w:p>
    <w:p>
      <w:pPr>
        <w:pStyle w:val="ListParagraph"/>
        <w:numPr>
          <w:ilvl w:val="0"/>
          <w:numId w:val="4"/>
        </w:numPr>
        <w:shd w:val="clear" w:color="auto" w:fill="FFFFFF"/>
        <w:tabs>
          <w:tab w:val="clear" w:pos="709"/>
          <w:tab w:val="left" w:pos="284" w:leader="none"/>
        </w:tabs>
        <w:ind w:hanging="0" w:left="0"/>
        <w:jc w:val="center"/>
        <w:rPr>
          <w:b/>
          <w:bCs/>
        </w:rPr>
      </w:pPr>
      <w:r>
        <w:rPr>
          <w:b/>
          <w:bCs/>
        </w:rPr>
        <w:t>Гарантии качества Результата Работ</w:t>
      </w:r>
    </w:p>
    <w:p>
      <w:pPr>
        <w:pStyle w:val="Normal"/>
        <w:numPr>
          <w:ilvl w:val="1"/>
          <w:numId w:val="4"/>
        </w:numPr>
        <w:tabs>
          <w:tab w:val="clear" w:pos="709"/>
          <w:tab w:val="left" w:pos="1134" w:leader="none"/>
        </w:tabs>
        <w:spacing w:lineRule="auto" w:line="240"/>
        <w:ind w:firstLine="709" w:left="0"/>
        <w:rPr>
          <w:bCs/>
          <w:sz w:val="24"/>
          <w:szCs w:val="24"/>
        </w:rPr>
      </w:pPr>
      <w:bookmarkStart w:id="27" w:name="_Ref361337777"/>
      <w:r>
        <w:rPr>
          <w:sz w:val="24"/>
          <w:szCs w:val="24"/>
        </w:rPr>
        <w:t>Гарантийный</w:t>
      </w:r>
      <w:r>
        <w:rPr>
          <w:bCs/>
          <w:sz w:val="24"/>
          <w:szCs w:val="24"/>
        </w:rPr>
        <w:t xml:space="preserve"> срок по Договору составляет </w:t>
      </w:r>
      <w:r>
        <w:rPr>
          <w:sz w:val="24"/>
          <w:szCs w:val="24"/>
          <w:highlight w:val="lightGray"/>
        </w:rPr>
        <w:t xml:space="preserve">____ </w:t>
      </w:r>
      <w:r>
        <w:rPr>
          <w:bCs/>
          <w:sz w:val="24"/>
          <w:szCs w:val="24"/>
          <w:highlight w:val="lightGray"/>
        </w:rPr>
        <w:t>(____________)</w:t>
      </w:r>
      <w:r>
        <w:rPr>
          <w:sz w:val="24"/>
          <w:szCs w:val="24"/>
          <w:highlight w:val="lightGray"/>
        </w:rPr>
        <w:t xml:space="preserve"> месяцев</w:t>
      </w:r>
      <w:r>
        <w:rPr>
          <w:bCs/>
          <w:sz w:val="24"/>
          <w:szCs w:val="24"/>
          <w:highlight w:val="lightGray"/>
        </w:rPr>
        <w:t xml:space="preserve"> и начинает течь с даты подписания Сторонами А</w:t>
      </w:r>
      <w:r>
        <w:rPr>
          <w:sz w:val="24"/>
          <w:szCs w:val="24"/>
          <w:highlight w:val="lightGray"/>
        </w:rPr>
        <w:t>кта КС-2</w:t>
      </w:r>
      <w:r>
        <w:rPr>
          <w:bCs/>
          <w:sz w:val="24"/>
          <w:szCs w:val="24"/>
          <w:highlight w:val="lightGray"/>
        </w:rPr>
        <w:t xml:space="preserve"> </w:t>
      </w:r>
      <w:bookmarkEnd w:id="27"/>
      <w:r>
        <w:rPr>
          <w:bCs/>
          <w:sz w:val="24"/>
          <w:szCs w:val="24"/>
          <w:highlight w:val="lightGray"/>
        </w:rPr>
        <w:t>либо с даты прекращения (расторжения) Договора</w:t>
      </w:r>
      <w:r>
        <w:rPr>
          <w:bCs/>
          <w:sz w:val="24"/>
          <w:szCs w:val="24"/>
        </w:rPr>
        <w:t xml:space="preserve">. Гарантийный срок может быть продлен в соответствии с условиями Договора. </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4"/>
        </w:numPr>
        <w:shd w:val="clear" w:color="auto" w:fill="FFFFFF"/>
        <w:tabs>
          <w:tab w:val="clear" w:pos="709"/>
          <w:tab w:val="left" w:pos="1134" w:leader="none"/>
        </w:tabs>
        <w:ind w:firstLine="709" w:left="0"/>
        <w:jc w:val="both"/>
        <w:rPr>
          <w:bCs/>
        </w:rPr>
      </w:pPr>
      <w:bookmarkStart w:id="28"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8"/>
      <w:r>
        <w:rPr>
          <w:bCs/>
        </w:rPr>
        <w:t xml:space="preserve"> </w:t>
      </w:r>
    </w:p>
    <w:p>
      <w:pPr>
        <w:pStyle w:val="ListParagraph"/>
        <w:numPr>
          <w:ilvl w:val="1"/>
          <w:numId w:val="4"/>
        </w:numPr>
        <w:shd w:val="clear" w:color="auto" w:fill="FFFFFF"/>
        <w:tabs>
          <w:tab w:val="clear" w:pos="709"/>
          <w:tab w:val="left" w:pos="1134" w:leader="none"/>
        </w:tabs>
        <w:ind w:firstLine="709" w:left="0"/>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4"/>
        </w:numPr>
        <w:shd w:val="clear" w:color="auto" w:fill="FFFFFF"/>
        <w:tabs>
          <w:tab w:val="clear" w:pos="709"/>
          <w:tab w:val="left" w:pos="1134" w:leader="none"/>
        </w:tabs>
        <w:ind w:firstLine="709" w:left="0"/>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29" w:name="OLE_LINK5"/>
      <w:bookmarkStart w:id="30" w:name="OLE_LINK6"/>
      <w:r>
        <w:rPr>
          <w:bCs/>
        </w:rPr>
        <w:t>Акте о недостатках, составленном в порядке, установленном пунктом 8.5 Договора</w:t>
      </w:r>
      <w:bookmarkEnd w:id="29"/>
      <w:bookmarkEnd w:id="30"/>
      <w:r>
        <w:rPr>
          <w:bCs/>
        </w:rPr>
        <w:t>.</w:t>
      </w:r>
      <w:r>
        <w:rPr/>
        <w:t xml:space="preserve"> </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firstLine="709" w:left="0"/>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4"/>
        </w:numPr>
        <w:shd w:val="clear" w:color="auto" w:fill="FFFFFF"/>
        <w:tabs>
          <w:tab w:val="clear" w:pos="709"/>
          <w:tab w:val="left" w:pos="1134" w:leader="none"/>
        </w:tabs>
        <w:ind w:firstLine="709" w:left="0"/>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Исключительные права и патенты</w:t>
      </w:r>
    </w:p>
    <w:p>
      <w:pPr>
        <w:pStyle w:val="ListParagraph"/>
        <w:numPr>
          <w:ilvl w:val="1"/>
          <w:numId w:val="4"/>
        </w:numPr>
        <w:shd w:val="clear" w:color="auto" w:fill="FFFFFF"/>
        <w:tabs>
          <w:tab w:val="clear" w:pos="709"/>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shd w:val="clear" w:color="auto" w:fill="FFFFFF"/>
        <w:tabs>
          <w:tab w:val="clear" w:pos="709"/>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4"/>
        </w:numPr>
        <w:shd w:val="clear" w:color="auto" w:fill="FFFFFF"/>
        <w:tabs>
          <w:tab w:val="clear" w:pos="709"/>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8"/>
        </w:numPr>
        <w:tabs>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бизнес-планы;</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8"/>
        </w:numPr>
        <w:tabs>
          <w:tab w:val="clear" w:pos="709"/>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shd w:val="clear" w:color="auto" w:fill="FFFFFF"/>
        <w:tabs>
          <w:tab w:val="clear" w:pos="709"/>
          <w:tab w:val="left" w:pos="1134" w:leader="none"/>
        </w:tabs>
        <w:ind w:firstLine="709" w:left="0"/>
        <w:jc w:val="both"/>
        <w:rPr>
          <w:bCs/>
        </w:rPr>
      </w:pPr>
      <w:bookmarkStart w:id="31"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1"/>
      <w:r>
        <w:rPr>
          <w:bCs/>
        </w:rPr>
        <w:t xml:space="preserve"> </w:t>
      </w:r>
    </w:p>
    <w:p>
      <w:pPr>
        <w:pStyle w:val="ListParagraph"/>
        <w:numPr>
          <w:ilvl w:val="2"/>
          <w:numId w:val="4"/>
        </w:numPr>
        <w:shd w:val="clear" w:color="auto" w:fill="FFFFFF"/>
        <w:tabs>
          <w:tab w:val="clear" w:pos="709"/>
          <w:tab w:val="left" w:pos="1701"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4"/>
        </w:numPr>
        <w:shd w:val="clear" w:color="auto" w:fill="FFFFFF"/>
        <w:tabs>
          <w:tab w:val="clear" w:pos="709"/>
          <w:tab w:val="left" w:pos="1701"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shd w:val="clear" w:color="auto" w:fill="FFFFFF"/>
        <w:tabs>
          <w:tab w:val="clear" w:pos="709"/>
          <w:tab w:val="left" w:pos="1701"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shd w:val="clear" w:color="auto" w:fill="FFFFFF"/>
        <w:tabs>
          <w:tab w:val="clear" w:pos="709"/>
          <w:tab w:val="left" w:pos="1701"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shd w:val="clear" w:color="auto" w:fill="FFFFFF"/>
        <w:tabs>
          <w:tab w:val="clear" w:pos="709"/>
          <w:tab w:val="left" w:pos="1701"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shd w:val="clear" w:color="auto" w:fill="FFFFFF"/>
        <w:tabs>
          <w:tab w:val="clear" w:pos="709"/>
          <w:tab w:val="left" w:pos="1701"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shd w:val="clear" w:color="auto" w:fill="FFFFFF"/>
        <w:tabs>
          <w:tab w:val="clear" w:pos="709"/>
          <w:tab w:val="left" w:pos="1701" w:leader="none"/>
        </w:tabs>
        <w:ind w:firstLine="709" w:left="0"/>
        <w:jc w:val="both"/>
        <w:rPr>
          <w:bCs/>
        </w:rPr>
      </w:pPr>
      <w:bookmarkStart w:id="32"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2"/>
    </w:p>
    <w:p>
      <w:pPr>
        <w:pStyle w:val="ListParagraph"/>
        <w:numPr>
          <w:ilvl w:val="2"/>
          <w:numId w:val="4"/>
        </w:numPr>
        <w:shd w:val="clear" w:color="auto" w:fill="FFFFFF"/>
        <w:tabs>
          <w:tab w:val="clear" w:pos="709"/>
          <w:tab w:val="left" w:pos="1701"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4"/>
        </w:numPr>
        <w:shd w:val="clear" w:color="auto" w:fill="FFFFFF"/>
        <w:tabs>
          <w:tab w:val="clear" w:pos="709"/>
          <w:tab w:val="left" w:pos="1134" w:leader="none"/>
        </w:tabs>
        <w:ind w:firstLine="709" w:left="0"/>
        <w:jc w:val="both"/>
        <w:rPr>
          <w:bCs/>
        </w:rPr>
      </w:pPr>
      <w:bookmarkStart w:id="33"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3"/>
    </w:p>
    <w:p>
      <w:pPr>
        <w:pStyle w:val="ListParagraph"/>
        <w:numPr>
          <w:ilvl w:val="1"/>
          <w:numId w:val="4"/>
        </w:numPr>
        <w:shd w:val="clear" w:color="auto" w:fill="FFFFFF"/>
        <w:tabs>
          <w:tab w:val="clear" w:pos="709"/>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4"/>
        </w:numPr>
        <w:shd w:val="clear" w:color="auto" w:fill="FFFFFF"/>
        <w:tabs>
          <w:tab w:val="clear" w:pos="709"/>
          <w:tab w:val="left" w:pos="426" w:leader="none"/>
        </w:tabs>
        <w:ind w:hanging="0" w:left="0"/>
        <w:jc w:val="center"/>
        <w:rPr>
          <w:bCs/>
        </w:rPr>
      </w:pPr>
      <w:r>
        <w:rPr>
          <w:b/>
          <w:bCs/>
        </w:rPr>
        <w:t>Разрешение споров</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Споры, указанные в пункте 11.1 Договора, которые не были урегулированы Сторонами путем переговоров, подлежат разрешению</w:t>
      </w:r>
      <w:r>
        <w:rPr>
          <w:bCs/>
          <w:shd w:fill="auto" w:val="clear"/>
        </w:rPr>
        <w:t xml:space="preserve"> в Арбитражном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w:t>
      </w:r>
      <w:r>
        <w:rPr>
          <w:bCs/>
        </w:rPr>
        <w:t>на пунктом 6.1.10 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17.8</w:t>
      </w:r>
      <w:r>
        <w:rPr>
          <w:bCs/>
        </w:rPr>
        <w:t xml:space="preserve"> 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hanging="0" w:left="709"/>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numPr>
          <w:ilvl w:val="1"/>
          <w:numId w:val="4"/>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4"/>
        </w:numPr>
        <w:shd w:val="clear" w:color="auto" w:fill="FFFFFF"/>
        <w:tabs>
          <w:tab w:val="clear" w:pos="709"/>
          <w:tab w:val="left" w:pos="1134" w:leader="none"/>
        </w:tabs>
        <w:ind w:firstLine="709" w:left="0"/>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4"/>
        </w:numPr>
        <w:shd w:val="clear" w:color="auto" w:fill="FFFFFF"/>
        <w:tabs>
          <w:tab w:val="clear" w:pos="709"/>
          <w:tab w:val="left" w:pos="1134"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4"/>
        </w:numPr>
        <w:shd w:val="clear" w:color="auto" w:fill="FFFFFF"/>
        <w:tabs>
          <w:tab w:val="clear" w:pos="709"/>
          <w:tab w:val="left" w:pos="1134"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4"/>
        </w:numPr>
        <w:shd w:val="clear" w:color="auto" w:fill="FFFFFF"/>
        <w:tabs>
          <w:tab w:val="clear" w:pos="709"/>
          <w:tab w:val="left" w:pos="1134"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4"/>
        </w:numPr>
        <w:shd w:val="clear" w:color="auto" w:fill="FFFFFF"/>
        <w:tabs>
          <w:tab w:val="clear" w:pos="709"/>
          <w:tab w:val="left" w:pos="1134"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4"/>
        </w:numPr>
        <w:shd w:val="clear" w:color="auto" w:fill="FFFFFF"/>
        <w:tabs>
          <w:tab w:val="clear" w:pos="709"/>
          <w:tab w:val="left" w:pos="1134"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4"/>
        </w:numPr>
        <w:shd w:val="clear" w:color="auto" w:fill="FFFFFF"/>
        <w:tabs>
          <w:tab w:val="clear" w:pos="709"/>
          <w:tab w:val="left" w:pos="1134" w:leader="none"/>
        </w:tabs>
        <w:ind w:firstLine="709" w:left="0"/>
        <w:jc w:val="both"/>
        <w:rPr/>
      </w:pPr>
      <w:r>
        <w:rPr/>
        <w:t>Электронная почта: ld@rushydro.ru.</w:t>
      </w:r>
    </w:p>
    <w:p>
      <w:pPr>
        <w:pStyle w:val="ListParagraph"/>
        <w:widowControl w:val="false"/>
        <w:numPr>
          <w:ilvl w:val="2"/>
          <w:numId w:val="4"/>
        </w:numPr>
        <w:shd w:val="clear" w:color="auto" w:fill="FFFFFF"/>
        <w:tabs>
          <w:tab w:val="clear" w:pos="709"/>
          <w:tab w:val="left" w:pos="1134" w:leader="none"/>
        </w:tabs>
        <w:ind w:firstLine="709" w:left="0"/>
        <w:jc w:val="both"/>
        <w:rPr/>
      </w:pPr>
      <w:r>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bookmarkStart w:id="34" w:name="_GoBack"/>
      <w:bookmarkEnd w:id="34"/>
    </w:p>
    <w:p>
      <w:pPr>
        <w:pStyle w:val="ListParagraph"/>
        <w:numPr>
          <w:ilvl w:val="2"/>
          <w:numId w:val="4"/>
        </w:numPr>
        <w:tabs>
          <w:tab w:val="clear" w:pos="709"/>
          <w:tab w:val="left" w:pos="1134" w:leader="none"/>
        </w:tabs>
        <w:ind w:firstLine="709" w:left="0"/>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shd w:val="clear" w:color="auto" w:fill="FFFFFF"/>
        <w:tabs>
          <w:tab w:val="clear" w:pos="709"/>
          <w:tab w:val="left" w:pos="142" w:leader="none"/>
          <w:tab w:val="left" w:pos="1134" w:leader="none"/>
          <w:tab w:val="left" w:pos="1418" w:leader="none"/>
        </w:tabs>
        <w:ind w:firstLine="709"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shd w:val="clear" w:color="auto" w:fill="FFFFFF"/>
        <w:tabs>
          <w:tab w:val="clear" w:pos="709"/>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4"/>
        </w:numPr>
        <w:shd w:val="clear" w:color="auto" w:fill="FFFFFF"/>
        <w:tabs>
          <w:tab w:val="clear" w:pos="709"/>
          <w:tab w:val="left" w:pos="1134" w:leader="none"/>
        </w:tabs>
        <w:ind w:firstLine="709" w:left="0"/>
        <w:jc w:val="both"/>
        <w:rPr>
          <w:bCs/>
        </w:rPr>
      </w:pPr>
      <w:bookmarkStart w:id="35"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5"/>
    </w:p>
    <w:p>
      <w:pPr>
        <w:pStyle w:val="ListParagraph"/>
        <w:numPr>
          <w:ilvl w:val="1"/>
          <w:numId w:val="4"/>
        </w:numPr>
        <w:shd w:val="clear" w:color="auto" w:fill="FFFFFF"/>
        <w:tabs>
          <w:tab w:val="clear" w:pos="709"/>
          <w:tab w:val="left" w:pos="1134" w:leader="none"/>
        </w:tabs>
        <w:ind w:firstLine="709" w:left="0"/>
        <w:jc w:val="both"/>
        <w:rPr>
          <w:bCs/>
        </w:rPr>
      </w:pPr>
      <w:bookmarkStart w:id="36"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6"/>
    </w:p>
    <w:p>
      <w:pPr>
        <w:pStyle w:val="ListParagraph"/>
        <w:numPr>
          <w:ilvl w:val="1"/>
          <w:numId w:val="4"/>
        </w:numPr>
        <w:shd w:val="clear" w:color="auto" w:fill="FFFFFF"/>
        <w:tabs>
          <w:tab w:val="clear" w:pos="709"/>
          <w:tab w:val="left" w:pos="1134" w:leader="none"/>
        </w:tabs>
        <w:ind w:firstLine="709" w:left="0"/>
        <w:jc w:val="both"/>
        <w:rPr>
          <w:bCs/>
        </w:rPr>
      </w:pPr>
      <w:bookmarkStart w:id="37"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7"/>
    </w:p>
    <w:p>
      <w:pPr>
        <w:pStyle w:val="ListParagraph"/>
        <w:numPr>
          <w:ilvl w:val="1"/>
          <w:numId w:val="4"/>
        </w:numPr>
        <w:shd w:val="clear" w:color="auto" w:fill="FFFFFF"/>
        <w:tabs>
          <w:tab w:val="clear" w:pos="709"/>
          <w:tab w:val="left" w:pos="1134" w:leader="none"/>
        </w:tabs>
        <w:ind w:firstLine="709" w:left="0"/>
        <w:jc w:val="both"/>
        <w:rPr>
          <w:bCs/>
        </w:rPr>
      </w:pPr>
      <w:bookmarkStart w:id="38"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8"/>
    </w:p>
    <w:p>
      <w:pPr>
        <w:pStyle w:val="ListParagraph"/>
        <w:numPr>
          <w:ilvl w:val="1"/>
          <w:numId w:val="4"/>
        </w:numPr>
        <w:shd w:val="clear" w:color="auto" w:fill="FFFFFF"/>
        <w:tabs>
          <w:tab w:val="clear" w:pos="709"/>
          <w:tab w:val="left" w:pos="1134" w:leader="none"/>
        </w:tabs>
        <w:ind w:firstLine="709" w:left="0"/>
        <w:jc w:val="both"/>
        <w:rPr>
          <w:bCs/>
        </w:rPr>
      </w:pPr>
      <w:bookmarkStart w:id="39"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39"/>
    </w:p>
    <w:p>
      <w:pPr>
        <w:pStyle w:val="ListParagraph"/>
        <w:numPr>
          <w:ilvl w:val="1"/>
          <w:numId w:val="4"/>
        </w:numPr>
        <w:shd w:val="clear" w:color="auto" w:fill="FFFFFF"/>
        <w:tabs>
          <w:tab w:val="clear" w:pos="709"/>
          <w:tab w:val="left" w:pos="1134" w:leader="none"/>
        </w:tabs>
        <w:ind w:firstLine="709" w:left="0"/>
        <w:jc w:val="both"/>
        <w:rPr>
          <w:bCs/>
        </w:rPr>
      </w:pPr>
      <w:bookmarkStart w:id="40"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0"/>
    </w:p>
    <w:p>
      <w:pPr>
        <w:pStyle w:val="ListParagraph"/>
        <w:numPr>
          <w:ilvl w:val="1"/>
          <w:numId w:val="4"/>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13"/>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3"/>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3"/>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3"/>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3"/>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15"/>
        </w:numPr>
        <w:shd w:val="clear" w:color="auto" w:fill="FFFFFF"/>
        <w:tabs>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5"/>
        </w:numPr>
        <w:shd w:val="clear" w:color="auto" w:fill="FFFFFF"/>
        <w:tabs>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15"/>
        </w:numPr>
        <w:shd w:val="clear" w:color="auto" w:fill="FFFFFF"/>
        <w:tabs>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5"/>
        </w:numPr>
        <w:shd w:val="clear" w:color="auto" w:fill="FFFFFF"/>
        <w:tabs>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состоит в СРО, основанной на членстве лиц, осуществляющих строительство;</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4"/>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4"/>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b/>
        </w:rPr>
      </w:pPr>
      <w:r>
        <w:rPr>
          <w:b/>
        </w:rPr>
      </w:r>
    </w:p>
    <w:p>
      <w:pPr>
        <w:pStyle w:val="ListParagraph"/>
        <w:numPr>
          <w:ilvl w:val="0"/>
          <w:numId w:val="4"/>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4"/>
        </w:numPr>
        <w:shd w:val="clear" w:color="auto" w:fill="FFFFFF"/>
        <w:tabs>
          <w:tab w:val="clear" w:pos="709"/>
          <w:tab w:val="left" w:pos="1134"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highlight w:val="lightGray"/>
        </w:rPr>
        <w:t>17.8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shd w:val="clear" w:color="auto" w:fill="FFFFFF"/>
        <w:tabs>
          <w:tab w:val="clear" w:pos="709"/>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shd w:val="clear" w:color="auto" w:fill="FFFFFF"/>
        <w:tabs>
          <w:tab w:val="clear" w:pos="709"/>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12"/>
        </w:numPr>
        <w:tabs>
          <w:tab w:val="clear" w:pos="709"/>
          <w:tab w:val="left" w:pos="1134" w:leader="none"/>
        </w:tabs>
        <w:ind w:firstLine="709" w:left="0" w:right="23"/>
        <w:jc w:val="both"/>
        <w:rPr/>
      </w:pPr>
      <w:r>
        <w:rP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pPr>
        <w:pStyle w:val="ListParagraph"/>
        <w:numPr>
          <w:ilvl w:val="0"/>
          <w:numId w:val="12"/>
        </w:numPr>
        <w:tabs>
          <w:tab w:val="clear" w:pos="709"/>
          <w:tab w:val="left" w:pos="1134" w:leader="none"/>
        </w:tabs>
        <w:ind w:firstLine="709" w:left="0" w:right="23"/>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12"/>
        </w:numPr>
        <w:tabs>
          <w:tab w:val="clear" w:pos="709"/>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2"/>
        </w:numPr>
        <w:tabs>
          <w:tab w:val="clear" w:pos="709"/>
          <w:tab w:val="left" w:pos="1134" w:leader="none"/>
        </w:tabs>
        <w:ind w:firstLine="709" w:left="0" w:right="23"/>
        <w:jc w:val="both"/>
        <w:rPr/>
      </w:pPr>
      <w:r>
        <w:rPr>
          <w:highlight w:val="lightGray"/>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r>
        <w:rPr/>
        <w:t>;</w:t>
      </w:r>
    </w:p>
    <w:p>
      <w:pPr>
        <w:pStyle w:val="ListParagraph"/>
        <w:numPr>
          <w:ilvl w:val="0"/>
          <w:numId w:val="12"/>
        </w:numPr>
        <w:tabs>
          <w:tab w:val="clear" w:pos="709"/>
          <w:tab w:val="left" w:pos="1134" w:leader="none"/>
        </w:tabs>
        <w:ind w:firstLine="709" w:left="0" w:right="23"/>
        <w:jc w:val="both"/>
        <w:rPr/>
      </w:pPr>
      <w:r>
        <w:rPr>
          <w:highlight w:val="lightGray"/>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t>;</w:t>
      </w:r>
      <w:r>
        <w:rPr>
          <w:rStyle w:val="FootnoteReference"/>
        </w:rPr>
        <w:footnoteReference w:id="14"/>
      </w:r>
    </w:p>
    <w:p>
      <w:pPr>
        <w:pStyle w:val="ListParagraph"/>
        <w:numPr>
          <w:ilvl w:val="0"/>
          <w:numId w:val="12"/>
        </w:numPr>
        <w:tabs>
          <w:tab w:val="clear" w:pos="709"/>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12"/>
        </w:numPr>
        <w:tabs>
          <w:tab w:val="clear" w:pos="709"/>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12"/>
        </w:numPr>
        <w:tabs>
          <w:tab w:val="clear" w:pos="709"/>
          <w:tab w:val="left" w:pos="1134" w:leader="none"/>
        </w:tabs>
        <w:ind w:firstLine="709" w:left="0" w:right="23"/>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2"/>
        </w:numPr>
        <w:tabs>
          <w:tab w:val="clear" w:pos="709"/>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4"/>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shd w:val="clear" w:color="auto" w:fill="FFFFFF"/>
        <w:tabs>
          <w:tab w:val="clear" w:pos="709"/>
          <w:tab w:val="left" w:pos="1134" w:leader="none"/>
        </w:tabs>
        <w:ind w:firstLine="709" w:left="0"/>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23"/>
        </w:numPr>
        <w:shd w:val="clear" w:color="auto" w:fill="FFFFFF"/>
        <w:tabs>
          <w:tab w:val="clear" w:pos="709"/>
          <w:tab w:val="left" w:pos="1418" w:leader="none"/>
        </w:tabs>
        <w:ind w:firstLine="709" w:left="0"/>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23"/>
        </w:numPr>
        <w:shd w:val="clear" w:color="auto" w:fill="FFFFFF"/>
        <w:tabs>
          <w:tab w:val="clear" w:pos="709"/>
          <w:tab w:val="left" w:pos="1418" w:leader="none"/>
        </w:tabs>
        <w:ind w:firstLine="709" w:left="0"/>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23"/>
        </w:numPr>
        <w:shd w:val="clear" w:color="auto" w:fill="FFFFFF"/>
        <w:tabs>
          <w:tab w:val="clear" w:pos="709"/>
          <w:tab w:val="left" w:pos="1418" w:leader="none"/>
        </w:tabs>
        <w:ind w:firstLine="709" w:left="0"/>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4"/>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4"/>
        </w:numPr>
        <w:shd w:val="clear" w:color="auto" w:fill="FFFFFF"/>
        <w:tabs>
          <w:tab w:val="clear" w:pos="709"/>
          <w:tab w:val="left" w:pos="1134"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ГК РФ условия Договора применяются к отношениям Сторон, возникшим с __________</w:t>
      </w:r>
      <w:r>
        <w:rPr/>
        <w:t>.</w:t>
      </w:r>
    </w:p>
    <w:p>
      <w:pPr>
        <w:pStyle w:val="Normal"/>
        <w:numPr>
          <w:ilvl w:val="1"/>
          <w:numId w:val="4"/>
        </w:numPr>
        <w:snapToGrid w:val="false"/>
        <w:spacing w:lineRule="auto" w:line="240"/>
        <w:ind w:firstLine="709" w:left="0"/>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5"/>
      </w:r>
      <w:r>
        <w:rPr>
          <w:sz w:val="24"/>
          <w:szCs w:val="24"/>
          <w:highlight w:val="lightGray"/>
          <w:lang w:eastAsia="en-US"/>
        </w:rPr>
        <w:t>.</w:t>
      </w:r>
    </w:p>
    <w:p>
      <w:pPr>
        <w:pStyle w:val="ListParagraph"/>
        <w:numPr>
          <w:ilvl w:val="1"/>
          <w:numId w:val="4"/>
        </w:numPr>
        <w:shd w:val="clear" w:color="auto" w:fill="FFFFFF"/>
        <w:tabs>
          <w:tab w:val="clear" w:pos="709"/>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17.7</w:t>
      </w:r>
      <w:r>
        <w:rPr/>
        <w:t xml:space="preserve"> Договора. </w:t>
      </w:r>
    </w:p>
    <w:p>
      <w:pPr>
        <w:pStyle w:val="ListParagraph"/>
        <w:numPr>
          <w:ilvl w:val="1"/>
          <w:numId w:val="4"/>
        </w:numPr>
        <w:shd w:val="clear" w:color="auto" w:fill="FFFFFF"/>
        <w:tabs>
          <w:tab w:val="clear" w:pos="709"/>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4"/>
        </w:numPr>
        <w:shd w:val="clear" w:color="auto" w:fill="FFFFFF"/>
        <w:tabs>
          <w:tab w:val="clear" w:pos="709"/>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17.8</w:t>
      </w:r>
      <w:r>
        <w:rPr/>
        <w:t xml:space="preserve"> Договора. </w:t>
      </w:r>
      <w:bookmarkStart w:id="41" w:name="_Ref361338004"/>
      <w:bookmarkEnd w:id="41"/>
    </w:p>
    <w:p>
      <w:pPr>
        <w:pStyle w:val="ListParagraph"/>
        <w:numPr>
          <w:ilvl w:val="1"/>
          <w:numId w:val="4"/>
        </w:numPr>
        <w:shd w:val="clear" w:color="auto" w:fill="FFFFFF"/>
        <w:tabs>
          <w:tab w:val="clear" w:pos="709"/>
          <w:tab w:val="left" w:pos="1134" w:leader="none"/>
        </w:tabs>
        <w:ind w:firstLine="709" w:left="0"/>
        <w:jc w:val="both"/>
        <w:rPr/>
      </w:pPr>
      <w:r>
        <w:rPr/>
        <w:t xml:space="preserve">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w:t>
      </w:r>
      <w:r>
        <w:rPr>
          <w:highlight w:val="lightGray"/>
        </w:rPr>
        <w:t>17.8</w:t>
      </w:r>
      <w:r>
        <w:rPr/>
        <w:t xml:space="preserve"> Договора.</w:t>
      </w:r>
      <w:bookmarkStart w:id="42" w:name="_Ref361338004_Копия_1"/>
      <w:bookmarkEnd w:id="42"/>
      <w:r>
        <w:rPr/>
        <w:t xml:space="preserve"> </w:t>
      </w:r>
    </w:p>
    <w:p>
      <w:pPr>
        <w:pStyle w:val="ListParagraph"/>
        <w:numPr>
          <w:ilvl w:val="1"/>
          <w:numId w:val="4"/>
        </w:numPr>
        <w:shd w:val="clear" w:color="auto" w:fill="FFFFFF"/>
        <w:tabs>
          <w:tab w:val="clear" w:pos="709"/>
          <w:tab w:val="left" w:pos="0" w:leader="none"/>
          <w:tab w:val="left" w:pos="1134" w:leader="none"/>
          <w:tab w:val="left" w:pos="1418" w:leader="none"/>
        </w:tabs>
        <w:ind w:firstLine="709" w:left="0"/>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4"/>
        </w:numPr>
        <w:ind w:firstLine="709" w:lef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ind w:firstLine="709" w:left="0"/>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17.8.1 – 17.8.2</w:t>
      </w:r>
      <w:r>
        <w:rPr>
          <w:bCs/>
        </w:rPr>
        <w:t xml:space="preserve"> Договора. </w:t>
      </w:r>
    </w:p>
    <w:p>
      <w:pPr>
        <w:pStyle w:val="Normal"/>
        <w:numPr>
          <w:ilvl w:val="1"/>
          <w:numId w:val="4"/>
        </w:numPr>
        <w:spacing w:lineRule="auto" w:line="240"/>
        <w:ind w:firstLine="709" w:left="0"/>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4"/>
        </w:numPr>
        <w:shd w:val="clear" w:color="auto" w:fill="FFFFFF"/>
        <w:tabs>
          <w:tab w:val="clear" w:pos="709"/>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4"/>
        </w:numPr>
        <w:shd w:val="clear" w:color="auto" w:fill="FFFFFF"/>
        <w:tabs>
          <w:tab w:val="clear" w:pos="709"/>
          <w:tab w:val="left" w:pos="1134"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4"/>
        </w:numPr>
        <w:shd w:val="clear" w:color="auto" w:fill="FFFFFF"/>
        <w:tabs>
          <w:tab w:val="clear" w:pos="709"/>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6"/>
      </w:r>
      <w:r>
        <w:rPr>
          <w:highlight w:val="lightGray"/>
        </w:rPr>
        <w:t>.</w:t>
      </w:r>
    </w:p>
    <w:p>
      <w:pPr>
        <w:pStyle w:val="ListParagraph"/>
        <w:shd w:val="clear" w:color="auto" w:fill="FFFFFF"/>
        <w:ind w:firstLine="567" w:left="0"/>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Сводный сметный расчет/Объектный сметный расчет с приложениями;</w:t>
      </w:r>
    </w:p>
    <w:p>
      <w:pPr>
        <w:pStyle w:val="ListParagraph"/>
        <w:shd w:val="clear" w:color="auto" w:fill="FFFFFF"/>
        <w:ind w:hanging="0" w:left="0"/>
        <w:jc w:val="both"/>
        <w:rPr>
          <w:bCs/>
        </w:rPr>
      </w:pPr>
      <w:r>
        <w:rPr>
          <w:bCs/>
        </w:rPr>
        <w:t xml:space="preserve">Приложение № 3.1 – Форма Акта сдачи-приемки места производства работ, </w:t>
      </w:r>
      <w:r>
        <w:rPr>
          <w:bCs/>
          <w:highlight w:val="lightGray"/>
        </w:rPr>
        <w:t>места (помещения) для складирования Материально-технических ресурсов</w:t>
      </w:r>
      <w:r>
        <w:rPr>
          <w:bCs/>
        </w:rPr>
        <w:t>,</w:t>
      </w:r>
      <w:r>
        <w:rPr>
          <w:highlight w:val="lightGray"/>
        </w:rPr>
        <w:t xml:space="preserve"> Давальческих материалов и запасных частей</w:t>
      </w:r>
      <w:r>
        <w:rPr>
          <w:bCs/>
        </w:rPr>
        <w:t>;</w:t>
      </w:r>
    </w:p>
    <w:p>
      <w:pPr>
        <w:pStyle w:val="ListParagraph"/>
        <w:shd w:val="clear" w:color="auto" w:fill="FFFFFF"/>
        <w:ind w:hanging="0" w:left="0"/>
        <w:jc w:val="both"/>
        <w:rPr>
          <w:bCs/>
        </w:rPr>
      </w:pPr>
      <w:r>
        <w:rPr>
          <w:bCs/>
        </w:rPr>
        <w:t>Приложение № 3.2 – Форма Акта сдачи-приемки технической и иной документации;</w:t>
      </w:r>
    </w:p>
    <w:p>
      <w:pPr>
        <w:pStyle w:val="ListParagraph"/>
        <w:shd w:val="clear" w:color="auto" w:fill="FFFFFF"/>
        <w:ind w:hanging="0" w:left="0"/>
        <w:jc w:val="both"/>
        <w:rPr>
          <w:bCs/>
        </w:rPr>
      </w:pPr>
      <w:r>
        <w:rPr>
          <w:bCs/>
          <w:highlight w:val="lightGray"/>
        </w:rPr>
        <w:t>Приложение № 3.3 – Форма Акта сдачи-приемки оборудования и инструментов</w:t>
      </w:r>
      <w:r>
        <w:rPr>
          <w:bCs/>
        </w:rPr>
        <w:t>;</w:t>
      </w:r>
    </w:p>
    <w:p>
      <w:pPr>
        <w:pStyle w:val="ListParagraph"/>
        <w:shd w:val="clear" w:color="auto" w:fill="FFFFFF"/>
        <w:ind w:hanging="0" w:left="0"/>
        <w:jc w:val="both"/>
        <w:rPr>
          <w:bCs/>
        </w:rPr>
      </w:pPr>
      <w:r>
        <w:rPr>
          <w:bCs/>
        </w:rPr>
        <w:t xml:space="preserve">Приложение № 4 – Перечень допусков, разрешений и лицензий Подрядчика; </w:t>
      </w:r>
    </w:p>
    <w:p>
      <w:pPr>
        <w:pStyle w:val="ListParagraph"/>
        <w:shd w:val="clear" w:color="auto" w:fill="FFFFFF"/>
        <w:ind w:hanging="0" w:left="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bCs/>
        </w:rPr>
      </w:pPr>
      <w:r>
        <w:rPr>
          <w:bCs/>
        </w:rPr>
        <w:t xml:space="preserve">Приложение № 6 – </w:t>
      </w:r>
      <w:r>
        <w:rPr/>
        <w:t>Параметры и условия доступа к ИС Maximo;</w:t>
      </w:r>
    </w:p>
    <w:p>
      <w:pPr>
        <w:pStyle w:val="ListParagraph"/>
        <w:shd w:val="clear" w:color="auto" w:fill="FFFFFF"/>
        <w:ind w:hanging="0" w:left="0"/>
        <w:jc w:val="both"/>
        <w:rPr>
          <w:bCs/>
        </w:rPr>
      </w:pPr>
      <w:r>
        <w:rPr>
          <w:bCs/>
          <w:highlight w:val="lightGray"/>
        </w:rPr>
        <w:t>Приложение № 7 – Форма справки</w:t>
      </w:r>
      <w:r>
        <w:rPr>
          <w:b/>
          <w:bCs/>
          <w:color w:val="000000"/>
          <w:highlight w:val="lightGray"/>
        </w:rPr>
        <w:t xml:space="preserve"> </w:t>
      </w:r>
      <w:r>
        <w:rPr>
          <w:bCs/>
          <w:highlight w:val="lightGray"/>
        </w:rPr>
        <w:t>о заключенных договорах Подрядчика по договору с Субподрядчиками;</w:t>
      </w:r>
    </w:p>
    <w:p>
      <w:pPr>
        <w:pStyle w:val="ListParagraph"/>
        <w:shd w:val="clear" w:color="auto" w:fill="FFFFFF"/>
        <w:ind w:hanging="0" w:left="0"/>
        <w:jc w:val="both"/>
        <w:rPr>
          <w:bCs/>
        </w:rPr>
      </w:pPr>
      <w:r>
        <w:rPr>
          <w:bCs/>
          <w:highlight w:val="lightGray"/>
        </w:rPr>
        <w:t>Приложение № 8 – Перечень передаваемых Давальческих материалов и запасных частей</w:t>
      </w:r>
      <w:r>
        <w:rPr>
          <w:bCs/>
        </w:rPr>
        <w:t>;</w:t>
      </w:r>
    </w:p>
    <w:p>
      <w:pPr>
        <w:pStyle w:val="ListParagraph"/>
        <w:shd w:val="clear" w:color="auto" w:fill="FFFFFF"/>
        <w:ind w:hanging="0" w:left="0"/>
        <w:jc w:val="both"/>
        <w:rPr>
          <w:bCs/>
        </w:rPr>
      </w:pPr>
      <w:r>
        <w:rPr>
          <w:bCs/>
          <w:highlight w:val="lightGray"/>
        </w:rPr>
        <w:t>Приложение № 9 – Порядок передачи и учета Давальческих материалов и запасных частей</w:t>
      </w:r>
      <w:r>
        <w:rPr>
          <w:bCs/>
        </w:rPr>
        <w:t>;</w:t>
      </w:r>
    </w:p>
    <w:p>
      <w:pPr>
        <w:pStyle w:val="ListParagraph"/>
        <w:shd w:val="clear" w:color="auto" w:fill="FFFFFF"/>
        <w:ind w:hanging="0" w:left="0"/>
        <w:jc w:val="both"/>
        <w:rPr>
          <w:bCs/>
        </w:rPr>
      </w:pPr>
      <w:r>
        <w:rPr>
          <w:bCs/>
        </w:rPr>
        <w:t>Приложение № 10 – Критерии отбора банков-гарантов;</w:t>
      </w:r>
    </w:p>
    <w:p>
      <w:pPr>
        <w:pStyle w:val="ListParagraph"/>
        <w:shd w:val="clear" w:color="auto" w:fill="FFFFFF"/>
        <w:ind w:hanging="0" w:left="0"/>
        <w:jc w:val="both"/>
        <w:rPr/>
      </w:pPr>
      <w:r>
        <w:rPr>
          <w:bCs/>
        </w:rPr>
        <w:t xml:space="preserve">Приложение № 11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Normal"/>
        <w:spacing w:lineRule="auto" w:line="240"/>
        <w:ind w:hanging="0"/>
        <w:rPr>
          <w:b/>
          <w:sz w:val="24"/>
          <w:szCs w:val="24"/>
        </w:rPr>
      </w:pPr>
      <w:r>
        <w:rPr>
          <w:sz w:val="24"/>
          <w:szCs w:val="24"/>
        </w:rPr>
        <w:t>Приложение №12 - 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rPr>
          <w:sz w:val="24"/>
          <w:szCs w:val="24"/>
        </w:rPr>
      </w:pPr>
      <w:r>
        <w:rPr>
          <w:sz w:val="24"/>
          <w:szCs w:val="24"/>
        </w:rPr>
      </w:r>
    </w:p>
    <w:p>
      <w:pPr>
        <w:pStyle w:val="ListParagraph"/>
        <w:shd w:val="clear" w:color="auto" w:fill="FFFFFF"/>
        <w:ind w:hanging="0" w:left="0"/>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hanging="0" w:left="0"/>
        <w:rPr>
          <w:b/>
          <w:bCs/>
        </w:rPr>
      </w:pPr>
      <w:r>
        <w:rPr>
          <w:b/>
          <w:bCs/>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2"/>
        <w:gridCol w:w="156"/>
        <w:gridCol w:w="4630"/>
        <w:gridCol w:w="332"/>
      </w:tblGrid>
      <w:tr>
        <w:trPr/>
        <w:tc>
          <w:tcPr>
            <w:tcW w:w="4928" w:type="dxa"/>
            <w:gridSpan w:val="2"/>
            <w:tcBorders/>
          </w:tcPr>
          <w:p>
            <w:pPr>
              <w:pStyle w:val="Normal"/>
              <w:widowControl w:val="false"/>
              <w:spacing w:lineRule="auto" w:line="240"/>
              <w:ind w:hanging="0"/>
              <w:rPr>
                <w:sz w:val="24"/>
                <w:szCs w:val="24"/>
              </w:rPr>
            </w:pPr>
            <w:r>
              <w:rPr>
                <w:sz w:val="24"/>
                <w:szCs w:val="24"/>
              </w:rPr>
              <w:t>ЗАКАЗЧИК:</w:t>
            </w:r>
          </w:p>
        </w:tc>
        <w:tc>
          <w:tcPr>
            <w:tcW w:w="4962" w:type="dxa"/>
            <w:gridSpan w:val="2"/>
            <w:tcBorders/>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rPr>
            </w:pPr>
            <w:r>
              <w:rPr>
                <w:b/>
                <w:sz w:val="24"/>
                <w:szCs w:val="24"/>
              </w:rPr>
              <w:t>Публичное акционерное общество</w:t>
            </w:r>
          </w:p>
          <w:p>
            <w:pPr>
              <w:pStyle w:val="Normal"/>
              <w:widowControl w:val="false"/>
              <w:spacing w:lineRule="auto" w:line="240"/>
              <w:ind w:hanging="0"/>
              <w:jc w:val="left"/>
              <w:rPr>
                <w:b/>
                <w:sz w:val="24"/>
                <w:szCs w:val="24"/>
              </w:rPr>
            </w:pPr>
            <w:r>
              <w:rPr>
                <w:b/>
                <w:sz w:val="24"/>
                <w:szCs w:val="24"/>
              </w:rPr>
              <w:t>«Федеральная гидрогенерирующая компания - РусГидро» (ПАО «РусГидро»)</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Юридический/Почтовый адрес: 660017, Красноярский край, г.о. город Красноярск,</w:t>
            </w:r>
          </w:p>
          <w:p>
            <w:pPr>
              <w:pStyle w:val="Normal"/>
              <w:widowControl w:val="false"/>
              <w:spacing w:lineRule="auto" w:line="240"/>
              <w:ind w:hanging="0"/>
              <w:jc w:val="left"/>
              <w:rPr>
                <w:sz w:val="24"/>
                <w:szCs w:val="24"/>
              </w:rPr>
            </w:pPr>
            <w:r>
              <w:rPr>
                <w:sz w:val="24"/>
                <w:szCs w:val="24"/>
              </w:rPr>
              <w:t xml:space="preserve">г. Красноярск, ул. Перенсона, д.2, пом.1, </w:t>
            </w:r>
          </w:p>
          <w:p>
            <w:pPr>
              <w:pStyle w:val="Normal"/>
              <w:widowControl w:val="false"/>
              <w:spacing w:lineRule="auto" w:line="240"/>
              <w:ind w:hanging="0"/>
              <w:jc w:val="left"/>
              <w:rPr>
                <w:sz w:val="24"/>
                <w:szCs w:val="24"/>
              </w:rPr>
            </w:pPr>
            <w:r>
              <w:rPr>
                <w:sz w:val="24"/>
                <w:szCs w:val="24"/>
              </w:rPr>
              <w:t>д. 43, стр. 1</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ОГРН 1042401810494, </w:t>
            </w:r>
          </w:p>
          <w:p>
            <w:pPr>
              <w:pStyle w:val="Normal"/>
              <w:widowControl w:val="false"/>
              <w:spacing w:lineRule="auto" w:line="240"/>
              <w:ind w:hanging="0"/>
              <w:jc w:val="left"/>
              <w:rPr>
                <w:sz w:val="24"/>
                <w:szCs w:val="24"/>
              </w:rPr>
            </w:pPr>
            <w:r>
              <w:rPr>
                <w:sz w:val="24"/>
                <w:szCs w:val="24"/>
              </w:rPr>
              <w:t>ИНН 2460066195 / КПП 997450001</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tc>
        <w:tc>
          <w:tcPr>
            <w:tcW w:w="4962"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Юридический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2"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hanging="0"/>
              <w:jc w:val="left"/>
              <w:rPr>
                <w:sz w:val="24"/>
                <w:szCs w:val="24"/>
                <w:highlight w:val="lightGray"/>
              </w:rPr>
            </w:pPr>
            <w:r>
              <w:rPr>
                <w:sz w:val="24"/>
                <w:szCs w:val="24"/>
                <w:highlight w:val="lightGray"/>
              </w:rPr>
            </w:r>
          </w:p>
        </w:tc>
        <w:tc>
          <w:tcPr>
            <w:tcW w:w="4786" w:type="dxa"/>
            <w:gridSpan w:val="2"/>
            <w:tcBorders/>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left"/>
              <w:rPr>
                <w:sz w:val="24"/>
                <w:szCs w:val="24"/>
              </w:rPr>
            </w:pPr>
            <w:r>
              <w:rPr>
                <w:sz w:val="24"/>
                <w:szCs w:val="24"/>
                <w:highlight w:val="lightGray"/>
              </w:rPr>
              <w:t>_______________ / _______________</w:t>
            </w:r>
            <w:r>
              <w:rPr>
                <w:sz w:val="24"/>
                <w:szCs w:val="24"/>
              </w:rPr>
              <w:t xml:space="preserve"> </w:t>
            </w:r>
          </w:p>
          <w:p>
            <w:pPr>
              <w:pStyle w:val="Normal"/>
              <w:widowControl w:val="false"/>
              <w:spacing w:lineRule="auto" w:line="240"/>
              <w:ind w:hanging="0"/>
              <w:jc w:val="left"/>
              <w:rPr>
                <w:sz w:val="24"/>
                <w:szCs w:val="24"/>
              </w:rPr>
            </w:pPr>
            <w:r>
              <w:rPr>
                <w:sz w:val="24"/>
                <w:szCs w:val="24"/>
              </w:rPr>
            </w:r>
          </w:p>
        </w:tc>
        <w:tc>
          <w:tcPr>
            <w:tcW w:w="332"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 xml:space="preserve"> </w:t>
      </w:r>
      <w:r>
        <w:rPr>
          <w:sz w:val="22"/>
          <w:szCs w:val="22"/>
        </w:rPr>
        <w:t>Приложение № 2</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Cs/>
          <w:sz w:val="24"/>
          <w:szCs w:val="24"/>
        </w:rPr>
      </w:pPr>
      <w:r>
        <w:rPr>
          <w:b/>
          <w:sz w:val="24"/>
          <w:szCs w:val="24"/>
        </w:rPr>
        <w:t xml:space="preserve">СВОДНЫЙ СМЕТНЫЙ РАСЧЕТ </w:t>
      </w:r>
      <w:r>
        <w:rPr>
          <w:bCs/>
          <w:sz w:val="24"/>
          <w:szCs w:val="24"/>
        </w:rPr>
        <w:t xml:space="preserve">/ </w:t>
      </w:r>
    </w:p>
    <w:p>
      <w:pPr>
        <w:pStyle w:val="Normal"/>
        <w:spacing w:lineRule="auto" w:line="240"/>
        <w:ind w:hanging="0"/>
        <w:jc w:val="center"/>
        <w:rPr>
          <w:b/>
          <w:sz w:val="24"/>
          <w:szCs w:val="24"/>
        </w:rPr>
      </w:pPr>
      <w:r>
        <w:rPr>
          <w:b/>
          <w:bCs/>
          <w:sz w:val="24"/>
          <w:szCs w:val="24"/>
        </w:rPr>
        <w:t>ОБЪЕКТНЫЙ СМЕТНЫЙ РАСЧЕТ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3.1</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Title"/>
        <w:shd w:val="clear" w:color="auto" w:fill="auto"/>
        <w:ind w:hanging="0"/>
        <w:rPr>
          <w:bCs/>
          <w:sz w:val="24"/>
          <w:szCs w:val="24"/>
        </w:rPr>
      </w:pPr>
      <w:r>
        <w:rPr>
          <w:iCs/>
          <w:sz w:val="24"/>
          <w:szCs w:val="24"/>
        </w:rPr>
        <w:t>ФОРМА</w:t>
      </w:r>
    </w:p>
    <w:p>
      <w:pPr>
        <w:pStyle w:val="Title"/>
        <w:shd w:val="clear" w:color="auto" w:fill="auto"/>
        <w:ind w:hanging="0"/>
        <w:rPr>
          <w:i/>
          <w:i/>
          <w:iCs/>
          <w:sz w:val="24"/>
          <w:szCs w:val="24"/>
          <w:lang w:val="ru-RU"/>
        </w:rPr>
      </w:pPr>
      <w:r>
        <w:rPr>
          <w:bCs/>
          <w:sz w:val="24"/>
          <w:szCs w:val="24"/>
        </w:rPr>
        <w:t xml:space="preserve">Акта сдачи-приемки места производства </w:t>
      </w:r>
      <w:r>
        <w:rPr>
          <w:bCs/>
          <w:sz w:val="24"/>
          <w:szCs w:val="24"/>
          <w:lang w:val="ru-RU"/>
        </w:rPr>
        <w:t>Р</w:t>
      </w:r>
      <w:r>
        <w:rPr>
          <w:bCs/>
          <w:sz w:val="24"/>
          <w:szCs w:val="24"/>
        </w:rPr>
        <w:t xml:space="preserve">абот </w:t>
      </w:r>
      <w:r>
        <w:rPr>
          <w:bCs/>
          <w:sz w:val="24"/>
          <w:szCs w:val="24"/>
          <w:highlight w:val="lightGray"/>
        </w:rPr>
        <w:t>и</w:t>
      </w:r>
      <w:r>
        <w:rPr>
          <w:bCs/>
          <w:sz w:val="24"/>
          <w:szCs w:val="24"/>
          <w:highlight w:val="lightGray"/>
          <w:lang w:val="ru-RU"/>
        </w:rPr>
        <w:t xml:space="preserve"> </w:t>
      </w:r>
      <w:r>
        <w:rPr>
          <w:bCs/>
          <w:sz w:val="24"/>
          <w:szCs w:val="24"/>
          <w:highlight w:val="lightGray"/>
        </w:rPr>
        <w:t>/</w:t>
      </w:r>
      <w:r>
        <w:rPr>
          <w:bCs/>
          <w:sz w:val="24"/>
          <w:szCs w:val="24"/>
          <w:highlight w:val="lightGray"/>
          <w:lang w:val="ru-RU"/>
        </w:rPr>
        <w:t xml:space="preserve"> </w:t>
      </w:r>
      <w:r>
        <w:rPr>
          <w:bCs/>
          <w:sz w:val="24"/>
          <w:szCs w:val="24"/>
          <w:highlight w:val="lightGray"/>
        </w:rPr>
        <w:t>или</w:t>
      </w:r>
      <w:r>
        <w:rPr>
          <w:sz w:val="24"/>
          <w:highlight w:val="lightGray"/>
        </w:rPr>
        <w:t xml:space="preserve"> места (помещения) для складирования </w:t>
      </w:r>
      <w:r>
        <w:rPr>
          <w:bCs/>
          <w:sz w:val="24"/>
          <w:highlight w:val="lightGray"/>
          <w:lang w:val="ru-RU"/>
        </w:rPr>
        <w:t>Материально-технических ресурсов</w:t>
      </w:r>
      <w:r>
        <w:rPr>
          <w:bCs/>
          <w:sz w:val="24"/>
          <w:lang w:val="ru-RU"/>
        </w:rPr>
        <w:t>,</w:t>
      </w:r>
      <w:r>
        <w:rPr>
          <w:sz w:val="24"/>
          <w:szCs w:val="24"/>
          <w:highlight w:val="lightGray"/>
        </w:rPr>
        <w:t>Давальческих материалов и запасных частей</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b w:val="false"/>
                <w:i/>
                <w:i/>
                <w:iCs/>
                <w:lang w:val="ru-RU"/>
              </w:rPr>
            </w:pPr>
            <w:r>
              <w:rPr>
                <w:b w:val="false"/>
                <w:bCs/>
              </w:rPr>
              <w:t xml:space="preserve">сдачи-приемки места производства </w:t>
            </w:r>
            <w:r>
              <w:rPr>
                <w:b w:val="false"/>
                <w:bCs/>
                <w:lang w:val="ru-RU"/>
              </w:rPr>
              <w:t>Р</w:t>
            </w:r>
            <w:r>
              <w:rPr>
                <w:b w:val="false"/>
                <w:bCs/>
              </w:rPr>
              <w:t>абот</w:t>
            </w:r>
            <w:r>
              <w:rPr/>
              <w:t xml:space="preserve"> </w:t>
            </w:r>
            <w:r>
              <w:rPr>
                <w:b w:val="false"/>
                <w:highlight w:val="lightGray"/>
              </w:rPr>
              <w:t>и</w:t>
            </w:r>
            <w:r>
              <w:rPr>
                <w:b w:val="false"/>
                <w:highlight w:val="lightGray"/>
                <w:lang w:val="ru-RU"/>
              </w:rPr>
              <w:t xml:space="preserve"> </w:t>
            </w:r>
            <w:r>
              <w:rPr>
                <w:b w:val="false"/>
                <w:highlight w:val="lightGray"/>
              </w:rPr>
              <w:t>/</w:t>
            </w:r>
            <w:r>
              <w:rPr>
                <w:b w:val="false"/>
                <w:highlight w:val="lightGray"/>
                <w:lang w:val="ru-RU"/>
              </w:rPr>
              <w:t xml:space="preserve"> </w:t>
            </w:r>
            <w:r>
              <w:rPr>
                <w:b w:val="false"/>
                <w:highlight w:val="lightGray"/>
              </w:rPr>
              <w:t>или</w:t>
            </w:r>
            <w:r>
              <w:rPr>
                <w:b w:val="false"/>
                <w:bCs/>
                <w:highlight w:val="lightGray"/>
              </w:rPr>
              <w:t xml:space="preserve"> места (помещения) для складирования </w:t>
            </w:r>
            <w:r>
              <w:rPr>
                <w:b w:val="false"/>
                <w:bCs/>
                <w:highlight w:val="lightGray"/>
                <w:lang w:val="ru-RU"/>
              </w:rPr>
              <w:t>Материально-технических ресурсов</w:t>
            </w:r>
            <w:r>
              <w:rPr>
                <w:b w:val="false"/>
                <w:bCs/>
                <w:lang w:val="ru-RU"/>
              </w:rPr>
              <w:t>,</w:t>
            </w:r>
            <w:r>
              <w:rPr>
                <w:highlight w:val="lightGray"/>
              </w:rPr>
              <w:t xml:space="preserve"> </w:t>
            </w:r>
            <w:r>
              <w:rPr>
                <w:b w:val="false"/>
                <w:highlight w:val="lightGray"/>
              </w:rPr>
              <w:t>Давальческих материалов и запасных частей</w:t>
            </w:r>
          </w:p>
          <w:p>
            <w:pPr>
              <w:pStyle w:val="Normal"/>
              <w:widowControl w:val="false"/>
              <w:rPr>
                <w:sz w:val="22"/>
              </w:rPr>
            </w:pPr>
            <w:r>
              <w:rPr>
                <w:sz w:val="22"/>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bCs/>
                <w:sz w:val="22"/>
                <w:szCs w:val="22"/>
                <w:highlight w:val="lightGray"/>
              </w:rPr>
              <w:t xml:space="preserve">и / или </w:t>
            </w:r>
            <w:r>
              <w:rPr>
                <w:sz w:val="22"/>
                <w:szCs w:val="22"/>
                <w:highlight w:val="lightGray"/>
              </w:rPr>
              <w:t xml:space="preserve">место (помещение) для складирования </w:t>
            </w:r>
            <w:r>
              <w:rPr>
                <w:bCs/>
                <w:sz w:val="22"/>
                <w:szCs w:val="22"/>
                <w:highlight w:val="lightGray"/>
              </w:rPr>
              <w:t xml:space="preserve">Материально-технических ресурсов, </w:t>
            </w:r>
            <w:r>
              <w:rPr>
                <w:sz w:val="22"/>
                <w:szCs w:val="22"/>
                <w:highlight w:val="lightGray"/>
              </w:rPr>
              <w:t xml:space="preserve">Давальческих материалов и запасных частей _____________________________ </w:t>
            </w:r>
            <w:r>
              <w:rPr>
                <w:bCs/>
                <w:sz w:val="22"/>
                <w:szCs w:val="22"/>
                <w:highlight w:val="lightGray"/>
              </w:rPr>
              <w:t>(указываются идентифицирующие признаки)</w:t>
            </w:r>
            <w:r>
              <w:rPr>
                <w:bCs/>
                <w:sz w:val="22"/>
                <w:szCs w:val="22"/>
              </w:rPr>
              <w:t xml:space="preserve"> </w:t>
            </w:r>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w:t>
            </w:r>
            <w:r>
              <w:rPr>
                <w:bCs/>
                <w:sz w:val="22"/>
                <w:szCs w:val="22"/>
                <w:highlight w:val="lightGray"/>
              </w:rPr>
              <w:t xml:space="preserve">и </w:t>
            </w:r>
            <w:r>
              <w:rPr>
                <w:sz w:val="22"/>
                <w:szCs w:val="22"/>
                <w:highlight w:val="lightGray"/>
              </w:rPr>
              <w:t xml:space="preserve">место (помещение) для складирования </w:t>
            </w:r>
            <w:r>
              <w:rPr>
                <w:bCs/>
                <w:sz w:val="22"/>
                <w:szCs w:val="22"/>
                <w:highlight w:val="lightGray"/>
              </w:rPr>
              <w:t>Материально-технических ресурсов,</w:t>
            </w:r>
            <w:r>
              <w:rPr>
                <w:sz w:val="22"/>
                <w:szCs w:val="22"/>
                <w:highlight w:val="lightGray"/>
              </w:rPr>
              <w:t xml:space="preserve"> Давальческих материалов и запасных частей</w:t>
            </w:r>
            <w:r>
              <w:rPr>
                <w:bCs/>
                <w:sz w:val="22"/>
                <w:szCs w:val="22"/>
                <w:highlight w:val="lightGray"/>
              </w:rPr>
              <w:t xml:space="preserve"> переданы / передано</w:t>
            </w:r>
            <w:r>
              <w:rPr>
                <w:bCs/>
                <w:sz w:val="22"/>
                <w:szCs w:val="22"/>
              </w:rPr>
              <w:t xml:space="preserve"> </w:t>
            </w:r>
            <w:r>
              <w:rPr>
                <w:sz w:val="22"/>
                <w:szCs w:val="22"/>
              </w:rPr>
              <w:t>Подрядчику</w:t>
            </w:r>
            <w:r>
              <w:rPr>
                <w:bCs/>
                <w:sz w:val="22"/>
                <w:szCs w:val="22"/>
              </w:rPr>
              <w:t xml:space="preserve"> в установленный Договором срок. </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szCs w:val="22"/>
              </w:rPr>
            </w:pPr>
            <w:r>
              <w:rPr>
                <w:i/>
                <w:sz w:val="22"/>
                <w:szCs w:val="22"/>
              </w:rPr>
              <w:t>(указать конкретные претензии или указать «не имеются»)</w:t>
            </w:r>
            <w:r>
              <w:rPr>
                <w:sz w:val="22"/>
                <w:szCs w:val="22"/>
              </w:rPr>
              <w:t>.</w:t>
            </w:r>
          </w:p>
          <w:p>
            <w:pPr>
              <w:pStyle w:val="Normal"/>
              <w:widowControl w:val="false"/>
              <w:ind w:hanging="0"/>
              <w:rPr>
                <w:bCs/>
                <w:sz w:val="22"/>
                <w:szCs w:val="22"/>
                <w:highlight w:val="lightGray"/>
              </w:rPr>
            </w:pPr>
            <w:r>
              <w:rPr>
                <w:bCs/>
                <w:sz w:val="22"/>
                <w:szCs w:val="22"/>
                <w:highlight w:val="lightGray"/>
              </w:rPr>
              <w:t xml:space="preserve">Претензии </w:t>
            </w:r>
            <w:r>
              <w:rPr>
                <w:sz w:val="22"/>
                <w:szCs w:val="22"/>
                <w:highlight w:val="lightGray"/>
              </w:rPr>
              <w:t>Подрядчика</w:t>
            </w:r>
            <w:r>
              <w:rPr>
                <w:bCs/>
                <w:sz w:val="22"/>
                <w:szCs w:val="22"/>
                <w:highlight w:val="lightGray"/>
              </w:rPr>
              <w:t xml:space="preserve"> (замечания и недостатки) к месту</w:t>
            </w:r>
            <w:r>
              <w:rPr>
                <w:sz w:val="22"/>
                <w:szCs w:val="22"/>
                <w:highlight w:val="lightGray"/>
              </w:rPr>
              <w:t xml:space="preserve"> складирования </w:t>
            </w:r>
            <w:r>
              <w:rPr>
                <w:bCs/>
                <w:sz w:val="22"/>
                <w:szCs w:val="22"/>
                <w:highlight w:val="lightGray"/>
              </w:rPr>
              <w:t xml:space="preserve">Материально-технических ресурсов, </w:t>
            </w:r>
            <w:r>
              <w:rPr>
                <w:sz w:val="22"/>
                <w:szCs w:val="22"/>
                <w:highlight w:val="lightGray"/>
              </w:rPr>
              <w:t>Давальческих материалов и запасных частей</w:t>
            </w:r>
            <w:r>
              <w:rPr>
                <w:bCs/>
                <w:sz w:val="22"/>
                <w:szCs w:val="22"/>
                <w:highlight w:val="lightGray"/>
              </w:rPr>
              <w:t>: _______________________________________</w:t>
            </w:r>
          </w:p>
          <w:p>
            <w:pPr>
              <w:pStyle w:val="Normal"/>
              <w:widowControl w:val="false"/>
              <w:ind w:hanging="0"/>
              <w:rPr>
                <w:sz w:val="22"/>
                <w:szCs w:val="22"/>
              </w:rPr>
            </w:pPr>
            <w:r>
              <w:rPr>
                <w:sz w:val="22"/>
                <w:szCs w:val="22"/>
                <w:highlight w:val="lightGray"/>
              </w:rPr>
              <w:t xml:space="preserve"> </w:t>
            </w:r>
            <w:r>
              <w:rPr>
                <w:sz w:val="22"/>
                <w:szCs w:val="22"/>
                <w:highlight w:val="lightGray"/>
              </w:rPr>
              <w:t>(</w:t>
            </w:r>
            <w:r>
              <w:rPr>
                <w:i/>
                <w:sz w:val="22"/>
                <w:highlight w:val="lightGray"/>
              </w:rPr>
              <w:t>указать конкретные претензии или указать «не имеются»)</w:t>
            </w:r>
            <w:r>
              <w:rPr>
                <w:sz w:val="22"/>
                <w:highlight w:val="lightGray"/>
              </w:rPr>
              <w:t>.</w:t>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tcPr>
                <w:p>
                  <w:pPr>
                    <w:pStyle w:val="Normal"/>
                    <w:widowControl w:val="false"/>
                    <w:spacing w:lineRule="auto" w:line="240"/>
                    <w:ind w:hanging="0"/>
                    <w:rPr>
                      <w:sz w:val="22"/>
                    </w:rPr>
                  </w:pPr>
                  <w:r>
                    <w:rPr>
                      <w:sz w:val="22"/>
                    </w:rPr>
                    <w:t>Заказчик:</w:t>
                  </w:r>
                </w:p>
              </w:tc>
              <w:tc>
                <w:tcPr>
                  <w:tcW w:w="4520" w:type="dxa"/>
                  <w:tcBorders/>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3.2</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tcPr>
                <w:p>
                  <w:pPr>
                    <w:pStyle w:val="Normal"/>
                    <w:widowControl w:val="false"/>
                    <w:spacing w:lineRule="auto" w:line="240"/>
                    <w:ind w:hanging="0"/>
                    <w:rPr>
                      <w:bCs/>
                      <w:sz w:val="24"/>
                      <w:szCs w:val="24"/>
                    </w:rPr>
                  </w:pPr>
                  <w:r>
                    <w:rPr>
                      <w:bCs/>
                      <w:sz w:val="24"/>
                      <w:szCs w:val="24"/>
                    </w:rPr>
                    <w:t>Заказчик:</w:t>
                  </w:r>
                </w:p>
              </w:tc>
              <w:tc>
                <w:tcPr>
                  <w:tcW w:w="4520" w:type="dxa"/>
                  <w:tcBorders/>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5103"/>
        <w:rPr>
          <w:sz w:val="22"/>
          <w:szCs w:val="22"/>
          <w:highlight w:val="lightGray"/>
        </w:rPr>
      </w:pPr>
      <w:r>
        <w:rPr>
          <w:sz w:val="22"/>
          <w:szCs w:val="22"/>
          <w:highlight w:val="lightGray"/>
        </w:rPr>
        <w:t>Приложение № 3.3</w:t>
      </w:r>
    </w:p>
    <w:p>
      <w:pPr>
        <w:pStyle w:val="Normal"/>
        <w:spacing w:lineRule="auto" w:line="240"/>
        <w:ind w:hanging="0" w:left="5103"/>
        <w:rPr>
          <w:sz w:val="22"/>
          <w:szCs w:val="22"/>
          <w:highlight w:val="lightGray"/>
        </w:rPr>
      </w:pPr>
      <w:r>
        <w:rPr>
          <w:sz w:val="22"/>
          <w:szCs w:val="22"/>
          <w:highlight w:val="lightGray"/>
        </w:rPr>
        <w:t>к Договору подряда</w:t>
      </w:r>
    </w:p>
    <w:p>
      <w:pPr>
        <w:pStyle w:val="Normal"/>
        <w:spacing w:lineRule="auto" w:line="240"/>
        <w:ind w:hanging="0" w:left="5103"/>
        <w:rPr>
          <w:sz w:val="22"/>
          <w:szCs w:val="22"/>
          <w:highlight w:val="lightGray"/>
        </w:rPr>
      </w:pPr>
      <w:r>
        <w:rPr>
          <w:sz w:val="22"/>
          <w:szCs w:val="22"/>
          <w:highlight w:val="lightGray"/>
        </w:rPr>
        <w:t xml:space="preserve">от «____» __________ 20 _ г. № ____ </w:t>
      </w:r>
    </w:p>
    <w:p>
      <w:pPr>
        <w:pStyle w:val="Normal"/>
        <w:spacing w:lineRule="auto" w:line="240"/>
        <w:rPr>
          <w:sz w:val="22"/>
          <w:szCs w:val="22"/>
          <w:highlight w:val="lightGray"/>
        </w:rPr>
      </w:pPr>
      <w:r>
        <w:rPr>
          <w:sz w:val="22"/>
          <w:szCs w:val="22"/>
          <w:highlight w:val="lightGray"/>
        </w:rPr>
      </w:r>
    </w:p>
    <w:p>
      <w:pPr>
        <w:pStyle w:val="Normal"/>
        <w:spacing w:lineRule="auto" w:line="240"/>
        <w:ind w:hanging="0"/>
        <w:rPr>
          <w:b/>
          <w:bCs/>
          <w:sz w:val="24"/>
          <w:szCs w:val="24"/>
          <w:highlight w:val="lightGray"/>
        </w:rPr>
      </w:pPr>
      <w:r>
        <w:rPr>
          <w:b/>
          <w:bCs/>
          <w:sz w:val="24"/>
          <w:szCs w:val="24"/>
          <w:highlight w:val="lightGray"/>
        </w:rPr>
      </w:r>
    </w:p>
    <w:p>
      <w:pPr>
        <w:pStyle w:val="Title"/>
        <w:shd w:val="clear" w:color="auto" w:fill="auto"/>
        <w:ind w:hanging="0"/>
        <w:rPr>
          <w:b w:val="false"/>
          <w:sz w:val="24"/>
          <w:highlight w:val="lightGray"/>
        </w:rPr>
      </w:pPr>
      <w:r>
        <w:rPr>
          <w:sz w:val="24"/>
          <w:highlight w:val="lightGray"/>
        </w:rPr>
        <w:t>ФОРМА</w:t>
      </w:r>
    </w:p>
    <w:p>
      <w:pPr>
        <w:pStyle w:val="Title"/>
        <w:shd w:val="clear" w:color="auto" w:fill="auto"/>
        <w:ind w:hanging="0"/>
        <w:rPr>
          <w:bCs/>
          <w:sz w:val="24"/>
          <w:szCs w:val="24"/>
          <w:highlight w:val="lightGray"/>
        </w:rPr>
      </w:pPr>
      <w:r>
        <w:rPr>
          <w:bCs/>
          <w:sz w:val="24"/>
          <w:szCs w:val="24"/>
          <w:highlight w:val="lightGray"/>
        </w:rPr>
        <w:t xml:space="preserve">Акта сдачи-приемки оборудования и инструментов </w:t>
      </w:r>
    </w:p>
    <w:p>
      <w:pPr>
        <w:pStyle w:val="Normal"/>
        <w:spacing w:lineRule="auto" w:line="240"/>
        <w:ind w:hanging="0"/>
        <w:rPr>
          <w:sz w:val="24"/>
          <w:szCs w:val="24"/>
          <w:highlight w:val="lightGray"/>
        </w:rPr>
      </w:pPr>
      <w:r>
        <w:rPr>
          <w:sz w:val="24"/>
          <w:szCs w:val="24"/>
          <w:highlight w:val="lightGray"/>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highlight w:val="lightGray"/>
              </w:rPr>
            </w:pPr>
            <w:r>
              <w:rPr>
                <w:b w:val="false"/>
                <w:bCs/>
                <w:highlight w:val="lightGray"/>
              </w:rPr>
              <w:t xml:space="preserve">Акт </w:t>
            </w:r>
          </w:p>
          <w:p>
            <w:pPr>
              <w:pStyle w:val="Title"/>
              <w:widowControl w:val="false"/>
              <w:shd w:val="clear" w:color="auto" w:fill="auto"/>
              <w:ind w:hanging="0"/>
              <w:rPr>
                <w:i/>
                <w:i/>
                <w:iCs/>
                <w:highlight w:val="lightGray"/>
              </w:rPr>
            </w:pPr>
            <w:r>
              <w:rPr>
                <w:b w:val="false"/>
                <w:bCs/>
                <w:highlight w:val="lightGray"/>
              </w:rPr>
              <w:t xml:space="preserve">сдачи-приемки </w:t>
            </w:r>
            <w:r>
              <w:rPr>
                <w:b w:val="false"/>
                <w:sz w:val="24"/>
                <w:highlight w:val="lightGray"/>
              </w:rPr>
              <w:t xml:space="preserve">оборудования и инструментов </w:t>
            </w:r>
          </w:p>
          <w:p>
            <w:pPr>
              <w:pStyle w:val="Normal"/>
              <w:widowControl w:val="false"/>
              <w:rPr>
                <w:highlight w:val="lightGray"/>
              </w:rPr>
            </w:pPr>
            <w:r>
              <w:rPr>
                <w:highlight w:val="lightGray"/>
              </w:rPr>
            </w:r>
          </w:p>
          <w:p>
            <w:pPr>
              <w:pStyle w:val="Normal"/>
              <w:widowControl w:val="false"/>
              <w:ind w:hanging="0"/>
              <w:rPr>
                <w:sz w:val="22"/>
                <w:szCs w:val="22"/>
                <w:highlight w:val="lightGray"/>
              </w:rPr>
            </w:pPr>
            <w:r>
              <w:rPr>
                <w:sz w:val="22"/>
                <w:szCs w:val="22"/>
                <w:highlight w:val="lightGray"/>
              </w:rPr>
              <w:t>г.___________                                                                                               «_____» _________20_г.</w:t>
            </w:r>
          </w:p>
          <w:p>
            <w:pPr>
              <w:pStyle w:val="Normal"/>
              <w:widowControl w:val="false"/>
              <w:rPr>
                <w:sz w:val="22"/>
                <w:szCs w:val="22"/>
                <w:highlight w:val="lightGray"/>
              </w:rPr>
            </w:pPr>
            <w:r>
              <w:rPr>
                <w:sz w:val="22"/>
                <w:szCs w:val="22"/>
                <w:highlight w:val="lightGray"/>
              </w:rPr>
            </w:r>
          </w:p>
          <w:p>
            <w:pPr>
              <w:pStyle w:val="Normal"/>
              <w:widowControl w:val="false"/>
              <w:ind w:hanging="0"/>
              <w:rPr>
                <w:sz w:val="22"/>
                <w:szCs w:val="22"/>
                <w:highlight w:val="lightGray"/>
              </w:rPr>
            </w:pPr>
            <w:r>
              <w:rPr>
                <w:sz w:val="22"/>
                <w:szCs w:val="22"/>
                <w:highlight w:val="lightGray"/>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highlight w:val="lightGray"/>
              </w:rPr>
            </w:pPr>
            <w:r>
              <w:rPr>
                <w:sz w:val="22"/>
                <w:szCs w:val="22"/>
                <w:highlight w:val="lightGray"/>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sz w:val="22"/>
                <w:szCs w:val="22"/>
                <w:highlight w:val="lightGray"/>
              </w:rPr>
            </w:pPr>
            <w:r>
              <w:rPr>
                <w:sz w:val="22"/>
                <w:szCs w:val="22"/>
                <w:highlight w:val="lightGray"/>
              </w:rPr>
              <w:t>Заказчик передал Подрядчику, а Подрядчик принял следующие оборудование и инструменты (которые не будут являться составной частью Результата Работ) для выполнения Работ по Договору подряда №______ от _____________:</w:t>
            </w:r>
          </w:p>
          <w:tbl>
            <w:tblPr>
              <w:tblW w:w="495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887"/>
              <w:gridCol w:w="3039"/>
              <w:gridCol w:w="5018"/>
            </w:tblGrid>
            <w:tr>
              <w:trPr/>
              <w:tc>
                <w:tcPr>
                  <w:tcW w:w="887"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r>
                    <w:rPr>
                      <w:bCs/>
                      <w:sz w:val="22"/>
                      <w:szCs w:val="22"/>
                      <w:highlight w:val="lightGray"/>
                    </w:rPr>
                    <w:t>№</w:t>
                  </w:r>
                  <w:r>
                    <w:rPr>
                      <w:bCs/>
                      <w:sz w:val="22"/>
                      <w:szCs w:val="22"/>
                      <w:highlight w:val="lightGray"/>
                    </w:rPr>
                    <w:t>п/п</w:t>
                  </w:r>
                </w:p>
              </w:tc>
              <w:tc>
                <w:tcPr>
                  <w:tcW w:w="303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r>
                    <w:rPr>
                      <w:bCs/>
                      <w:sz w:val="22"/>
                      <w:szCs w:val="22"/>
                      <w:highlight w:val="lightGray"/>
                    </w:rPr>
                    <w:t>Оборудование/инструмент</w:t>
                  </w:r>
                </w:p>
              </w:tc>
              <w:tc>
                <w:tcPr>
                  <w:tcW w:w="50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bCs/>
                      <w:sz w:val="22"/>
                      <w:szCs w:val="22"/>
                      <w:highlight w:val="lightGray"/>
                    </w:rPr>
                  </w:pPr>
                  <w:r>
                    <w:rPr>
                      <w:bCs/>
                      <w:sz w:val="22"/>
                      <w:szCs w:val="22"/>
                      <w:highlight w:val="lightGray"/>
                    </w:rPr>
                    <w:t>Характеристика (идентификационные признаки)</w:t>
                  </w:r>
                </w:p>
              </w:tc>
            </w:tr>
            <w:tr>
              <w:trPr/>
              <w:tc>
                <w:tcPr>
                  <w:tcW w:w="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30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5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r>
            <w:tr>
              <w:trPr/>
              <w:tc>
                <w:tcPr>
                  <w:tcW w:w="8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30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c>
                <w:tcPr>
                  <w:tcW w:w="5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bCs/>
                      <w:sz w:val="22"/>
                      <w:szCs w:val="22"/>
                      <w:highlight w:val="lightGray"/>
                    </w:rPr>
                  </w:pPr>
                  <w:r>
                    <w:rPr>
                      <w:bCs/>
                      <w:sz w:val="22"/>
                      <w:szCs w:val="22"/>
                      <w:highlight w:val="lightGray"/>
                    </w:rPr>
                  </w:r>
                </w:p>
              </w:tc>
            </w:tr>
          </w:tbl>
          <w:p>
            <w:pPr>
              <w:pStyle w:val="Normal"/>
              <w:widowControl w:val="false"/>
              <w:ind w:hanging="0"/>
              <w:rPr>
                <w:bCs/>
                <w:sz w:val="22"/>
                <w:szCs w:val="22"/>
                <w:highlight w:val="lightGray"/>
              </w:rPr>
            </w:pPr>
            <w:r>
              <w:rPr>
                <w:bCs/>
                <w:sz w:val="22"/>
                <w:szCs w:val="22"/>
                <w:highlight w:val="lightGray"/>
              </w:rPr>
            </w:r>
          </w:p>
          <w:p>
            <w:pPr>
              <w:pStyle w:val="Normal"/>
              <w:widowControl w:val="false"/>
              <w:ind w:hanging="0"/>
              <w:rPr>
                <w:bCs/>
                <w:sz w:val="22"/>
                <w:szCs w:val="22"/>
                <w:highlight w:val="lightGray"/>
              </w:rPr>
            </w:pPr>
            <w:r>
              <w:rPr>
                <w:bCs/>
                <w:sz w:val="22"/>
                <w:szCs w:val="22"/>
                <w:highlight w:val="lightGray"/>
              </w:rPr>
              <w:t xml:space="preserve">Оборудование и инструменты переданы </w:t>
            </w:r>
            <w:r>
              <w:rPr>
                <w:sz w:val="22"/>
                <w:szCs w:val="22"/>
                <w:highlight w:val="lightGray"/>
              </w:rPr>
              <w:t>Подрядчик</w:t>
            </w:r>
            <w:r>
              <w:rPr>
                <w:bCs/>
                <w:sz w:val="22"/>
                <w:szCs w:val="22"/>
                <w:highlight w:val="lightGray"/>
              </w:rPr>
              <w:t xml:space="preserve">у в установленный Договором срок. </w:t>
            </w:r>
          </w:p>
          <w:p>
            <w:pPr>
              <w:pStyle w:val="Normal"/>
              <w:widowControl w:val="false"/>
              <w:spacing w:lineRule="auto" w:line="240"/>
              <w:ind w:hanging="0"/>
              <w:rPr>
                <w:sz w:val="22"/>
                <w:highlight w:val="lightGray"/>
              </w:rPr>
            </w:pPr>
            <w:r>
              <w:rPr>
                <w:sz w:val="22"/>
                <w:highlight w:val="lightGray"/>
              </w:rPr>
            </w:r>
          </w:p>
          <w:p>
            <w:pPr>
              <w:pStyle w:val="Normal"/>
              <w:widowControl w:val="false"/>
              <w:rPr>
                <w:sz w:val="22"/>
                <w:szCs w:val="22"/>
                <w:highlight w:val="lightGray"/>
              </w:rPr>
            </w:pPr>
            <w:r>
              <w:rPr>
                <w:sz w:val="22"/>
                <w:szCs w:val="22"/>
                <w:highlight w:val="lightGray"/>
              </w:rPr>
            </w:r>
          </w:p>
          <w:tbl>
            <w:tblPr>
              <w:tblW w:w="904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520"/>
              <w:gridCol w:w="4520"/>
            </w:tblGrid>
            <w:tr>
              <w:trPr/>
              <w:tc>
                <w:tcPr>
                  <w:tcW w:w="4520" w:type="dxa"/>
                  <w:tcBorders/>
                </w:tcPr>
                <w:p>
                  <w:pPr>
                    <w:pStyle w:val="Normal"/>
                    <w:widowControl w:val="false"/>
                    <w:spacing w:lineRule="auto" w:line="240"/>
                    <w:ind w:hanging="0"/>
                    <w:rPr>
                      <w:bCs/>
                      <w:sz w:val="24"/>
                      <w:szCs w:val="24"/>
                      <w:highlight w:val="lightGray"/>
                    </w:rPr>
                  </w:pPr>
                  <w:r>
                    <w:rPr>
                      <w:bCs/>
                      <w:sz w:val="24"/>
                      <w:szCs w:val="24"/>
                      <w:highlight w:val="lightGray"/>
                    </w:rPr>
                    <w:t>Заказчик:</w:t>
                  </w:r>
                </w:p>
              </w:tc>
              <w:tc>
                <w:tcPr>
                  <w:tcW w:w="4520" w:type="dxa"/>
                  <w:tcBorders/>
                </w:tcPr>
                <w:p>
                  <w:pPr>
                    <w:pStyle w:val="Normal"/>
                    <w:widowControl w:val="false"/>
                    <w:spacing w:lineRule="auto" w:line="240"/>
                    <w:ind w:hanging="0"/>
                    <w:rPr>
                      <w:bCs/>
                      <w:sz w:val="24"/>
                      <w:szCs w:val="24"/>
                      <w:highlight w:val="lightGray"/>
                    </w:rPr>
                  </w:pPr>
                  <w:r>
                    <w:rPr>
                      <w:bCs/>
                      <w:sz w:val="24"/>
                      <w:szCs w:val="24"/>
                      <w:highlight w:val="lightGray"/>
                    </w:rPr>
                    <w:t>Подрядчик:</w:t>
                  </w:r>
                </w:p>
              </w:tc>
            </w:tr>
            <w:tr>
              <w:trPr/>
              <w:tc>
                <w:tcPr>
                  <w:tcW w:w="4520" w:type="dxa"/>
                  <w:tcBorders/>
                  <w:shd w:color="auto" w:fill="auto" w:val="clear"/>
                </w:tcPr>
                <w:p>
                  <w:pPr>
                    <w:pStyle w:val="Normal"/>
                    <w:widowControl w:val="false"/>
                    <w:spacing w:lineRule="auto" w:line="240"/>
                    <w:ind w:hanging="0"/>
                    <w:rPr>
                      <w:sz w:val="22"/>
                      <w:szCs w:val="22"/>
                      <w:highlight w:val="lightGray"/>
                    </w:rPr>
                  </w:pPr>
                  <w:r>
                    <w:rPr>
                      <w:sz w:val="22"/>
                      <w:szCs w:val="22"/>
                      <w:highlight w:val="lightGray"/>
                    </w:rPr>
                  </w:r>
                </w:p>
                <w:p>
                  <w:pPr>
                    <w:pStyle w:val="Normal"/>
                    <w:widowControl w:val="false"/>
                    <w:spacing w:lineRule="auto" w:line="240"/>
                    <w:ind w:hanging="0"/>
                    <w:rPr>
                      <w:sz w:val="22"/>
                      <w:szCs w:val="22"/>
                      <w:highlight w:val="lightGray"/>
                    </w:rPr>
                  </w:pPr>
                  <w:r>
                    <w:rPr>
                      <w:sz w:val="22"/>
                      <w:szCs w:val="22"/>
                      <w:highlight w:val="lightGray"/>
                    </w:rPr>
                  </w:r>
                </w:p>
                <w:p>
                  <w:pPr>
                    <w:pStyle w:val="Normal"/>
                    <w:widowControl w:val="false"/>
                    <w:spacing w:lineRule="auto" w:line="240"/>
                    <w:ind w:hanging="0"/>
                    <w:rPr>
                      <w:sz w:val="22"/>
                      <w:szCs w:val="22"/>
                      <w:highlight w:val="lightGray"/>
                    </w:rPr>
                  </w:pPr>
                  <w:r>
                    <w:rPr>
                      <w:sz w:val="22"/>
                      <w:szCs w:val="22"/>
                      <w:highlight w:val="lightGray"/>
                    </w:rPr>
                    <w:t>_______________ / _______________ /</w:t>
                  </w:r>
                </w:p>
                <w:p>
                  <w:pPr>
                    <w:pStyle w:val="Normal"/>
                    <w:widowControl w:val="false"/>
                    <w:spacing w:lineRule="auto" w:line="240"/>
                    <w:ind w:hanging="0"/>
                    <w:rPr>
                      <w:sz w:val="22"/>
                      <w:szCs w:val="22"/>
                      <w:highlight w:val="lightGray"/>
                    </w:rPr>
                  </w:pPr>
                  <w:r>
                    <w:rPr>
                      <w:sz w:val="22"/>
                      <w:szCs w:val="22"/>
                      <w:highlight w:val="lightGray"/>
                    </w:rPr>
                    <w:t>м.п.</w:t>
                  </w:r>
                </w:p>
              </w:tc>
              <w:tc>
                <w:tcPr>
                  <w:tcW w:w="4520" w:type="dxa"/>
                  <w:tcBorders/>
                  <w:shd w:color="auto" w:fill="auto" w:val="clear"/>
                </w:tcPr>
                <w:p>
                  <w:pPr>
                    <w:pStyle w:val="Normal"/>
                    <w:widowControl w:val="false"/>
                    <w:spacing w:lineRule="auto" w:line="240"/>
                    <w:ind w:hanging="0"/>
                    <w:rPr>
                      <w:sz w:val="22"/>
                      <w:szCs w:val="22"/>
                      <w:highlight w:val="lightGray"/>
                    </w:rPr>
                  </w:pPr>
                  <w:r>
                    <w:rPr>
                      <w:sz w:val="22"/>
                      <w:szCs w:val="22"/>
                      <w:highlight w:val="lightGray"/>
                    </w:rPr>
                  </w:r>
                </w:p>
                <w:p>
                  <w:pPr>
                    <w:pStyle w:val="Normal"/>
                    <w:widowControl w:val="false"/>
                    <w:spacing w:lineRule="auto" w:line="240"/>
                    <w:ind w:hanging="0"/>
                    <w:rPr>
                      <w:sz w:val="22"/>
                      <w:szCs w:val="22"/>
                      <w:highlight w:val="lightGray"/>
                    </w:rPr>
                  </w:pPr>
                  <w:r>
                    <w:rPr>
                      <w:sz w:val="22"/>
                      <w:szCs w:val="22"/>
                      <w:highlight w:val="lightGray"/>
                    </w:rPr>
                  </w:r>
                </w:p>
                <w:p>
                  <w:pPr>
                    <w:pStyle w:val="Normal"/>
                    <w:widowControl w:val="false"/>
                    <w:spacing w:lineRule="auto" w:line="240"/>
                    <w:ind w:hanging="0"/>
                    <w:rPr>
                      <w:sz w:val="22"/>
                      <w:szCs w:val="22"/>
                      <w:highlight w:val="lightGray"/>
                    </w:rPr>
                  </w:pPr>
                  <w:r>
                    <w:rPr>
                      <w:sz w:val="22"/>
                      <w:szCs w:val="22"/>
                      <w:highlight w:val="lightGray"/>
                    </w:rPr>
                    <w:t>_______________ / _______________ /</w:t>
                  </w:r>
                </w:p>
                <w:p>
                  <w:pPr>
                    <w:pStyle w:val="Normal"/>
                    <w:widowControl w:val="false"/>
                    <w:spacing w:lineRule="auto" w:line="240"/>
                    <w:ind w:hanging="0"/>
                    <w:rPr>
                      <w:sz w:val="22"/>
                      <w:szCs w:val="22"/>
                      <w:highlight w:val="lightGray"/>
                    </w:rPr>
                  </w:pPr>
                  <w:r>
                    <w:rPr>
                      <w:sz w:val="22"/>
                      <w:szCs w:val="22"/>
                      <w:highlight w:val="lightGray"/>
                    </w:rPr>
                    <w:t>м.п.</w:t>
                  </w:r>
                </w:p>
              </w:tc>
            </w:tr>
          </w:tbl>
          <w:p>
            <w:pPr>
              <w:pStyle w:val="Title"/>
              <w:widowControl w:val="false"/>
              <w:shd w:val="clear" w:color="auto" w:fill="auto"/>
              <w:ind w:hanging="0"/>
              <w:jc w:val="left"/>
              <w:rPr>
                <w:i/>
                <w:i/>
                <w:iCs/>
                <w:highlight w:val="lightGray"/>
              </w:rPr>
            </w:pPr>
            <w:r>
              <w:rPr>
                <w:i/>
                <w:iCs/>
                <w:highlight w:val="lightGray"/>
              </w:rPr>
            </w:r>
          </w:p>
          <w:p>
            <w:pPr>
              <w:pStyle w:val="Title"/>
              <w:widowControl w:val="false"/>
              <w:shd w:val="clear" w:color="auto" w:fill="auto"/>
              <w:spacing w:before="0" w:after="120"/>
              <w:ind w:hanging="0"/>
              <w:jc w:val="left"/>
              <w:rPr>
                <w:i/>
                <w:i/>
                <w:iCs/>
                <w:highlight w:val="lightGray"/>
              </w:rPr>
            </w:pPr>
            <w:r>
              <w:rPr>
                <w:i/>
                <w:iCs/>
                <w:highlight w:val="lightGray"/>
              </w:rPr>
            </w:r>
          </w:p>
        </w:tc>
      </w:tr>
    </w:tbl>
    <w:p>
      <w:pPr>
        <w:pStyle w:val="Normal"/>
        <w:spacing w:lineRule="auto" w:line="240"/>
        <w:rPr>
          <w:sz w:val="24"/>
          <w:szCs w:val="24"/>
          <w:highlight w:val="yellow"/>
        </w:rPr>
      </w:pPr>
      <w:r>
        <w:rPr>
          <w:sz w:val="24"/>
          <w:szCs w:val="24"/>
          <w:highlight w:val="yellow"/>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br w:type="page"/>
      </w:r>
      <w:r>
        <w:rPr>
          <w:sz w:val="22"/>
          <w:szCs w:val="22"/>
        </w:rPr>
        <w:t>Приложение № 4</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702"/>
        <w:gridCol w:w="1471"/>
        <w:gridCol w:w="1321"/>
        <w:gridCol w:w="1592"/>
        <w:gridCol w:w="1187"/>
        <w:gridCol w:w="1322"/>
        <w:gridCol w:w="1655"/>
      </w:tblGrid>
      <w:tr>
        <w:trPr>
          <w:trHeight w:val="2142"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p>
      <w:pPr>
        <w:pStyle w:val="Normal"/>
        <w:spacing w:lineRule="auto" w:line="240"/>
        <w:ind w:hanging="0" w:left="5103"/>
        <w:rPr>
          <w:sz w:val="22"/>
          <w:szCs w:val="22"/>
        </w:rPr>
      </w:pPr>
      <w:r>
        <w:rPr>
          <w:sz w:val="22"/>
          <w:szCs w:val="22"/>
        </w:rPr>
        <w:t>Приложение № 5</w:t>
      </w:r>
    </w:p>
    <w:p>
      <w:pPr>
        <w:pStyle w:val="Normal"/>
        <w:spacing w:lineRule="auto" w:line="240"/>
        <w:ind w:hanging="0" w:left="5103"/>
        <w:rPr>
          <w:sz w:val="22"/>
          <w:szCs w:val="22"/>
        </w:rPr>
      </w:pPr>
      <w:r>
        <w:rPr>
          <w:sz w:val="22"/>
          <w:szCs w:val="22"/>
        </w:rPr>
        <w:t>к Договору подряда</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67"/>
        <w:gridCol w:w="5969"/>
      </w:tblGrid>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 xml:space="preserve">требований охраны труда, промышленной безопасности, охраны окружающей среды, </w:t>
            </w:r>
            <w:r>
              <w:rPr>
                <w:color w:val="000000"/>
                <w:sz w:val="24"/>
                <w:shd w:fill="C0C0C0" w:val="clear"/>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rFonts w:eastAsia="Times New Roman" w:cs="Times New Roman"/>
                <w:color w:val="000000"/>
                <w:kern w:val="0"/>
                <w:sz w:val="24"/>
                <w:szCs w:val="28"/>
                <w:shd w:fill="C0C0C0" w:val="clear"/>
                <w:lang w:val="ru-RU" w:eastAsia="ru-RU" w:bidi="ar-SA"/>
              </w:rPr>
              <w:t>требований</w:t>
            </w:r>
            <w:r>
              <w:rPr>
                <w:color w:val="000000"/>
                <w:sz w:val="24"/>
                <w:shd w:fill="C0C0C0" w:val="clear"/>
              </w:rPr>
              <w:t>,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z w:val="24"/>
                <w:shd w:fill="C0C0C0" w:val="clear"/>
              </w:rPr>
              <w:footnoteReference w:id="17"/>
            </w:r>
            <w:r>
              <w:rPr>
                <w:color w:val="000000"/>
                <w:sz w:val="24"/>
              </w:rPr>
              <w:t xml:space="preserve">  </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bookmarkStart w:id="43" w:name="RANGE!A1%2525252525252525252525253AAG40"/>
      <w:bookmarkStart w:id="44" w:name="RANGE!A1%2525252525252525252525253AAG42"/>
      <w:bookmarkStart w:id="45" w:name="RANGE!A1%2525252525252525252525253AAG40"/>
      <w:bookmarkStart w:id="46" w:name="RANGE!A1%2525252525252525252525253AAG42"/>
      <w:bookmarkEnd w:id="45"/>
      <w:bookmarkEnd w:id="46"/>
      <w:r>
        <w:br w:type="page"/>
      </w:r>
    </w:p>
    <w:p>
      <w:pPr>
        <w:pStyle w:val="Normal"/>
        <w:spacing w:lineRule="auto" w:line="240"/>
        <w:ind w:hanging="0" w:left="5103"/>
        <w:rPr>
          <w:sz w:val="22"/>
          <w:szCs w:val="22"/>
        </w:rPr>
      </w:pPr>
      <w:r>
        <w:rPr>
          <w:sz w:val="22"/>
          <w:szCs w:val="22"/>
        </w:rPr>
        <w:t>Приложение № 6</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Параметры и условия доступа к ИС Maximo</w:t>
      </w:r>
    </w:p>
    <w:p>
      <w:pPr>
        <w:pStyle w:val="Normal"/>
        <w:spacing w:lineRule="auto" w:line="240"/>
        <w:ind w:hanging="0"/>
        <w:rPr>
          <w:b/>
          <w:bCs/>
          <w:sz w:val="24"/>
          <w:szCs w:val="24"/>
        </w:rPr>
      </w:pPr>
      <w:r>
        <w:rPr>
          <w:b/>
          <w:bCs/>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1830"/>
        <w:gridCol w:w="7806"/>
      </w:tblGrid>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Используемые термины, определения и сокращения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Информационная система (ИС)</w:t>
            </w:r>
          </w:p>
          <w:p>
            <w:pPr>
              <w:pStyle w:val="Normal"/>
              <w:widowControl w:val="false"/>
              <w:snapToGrid w:val="false"/>
              <w:spacing w:lineRule="auto" w:line="240"/>
              <w:ind w:hanging="0"/>
              <w:rPr>
                <w:b/>
                <w:sz w:val="24"/>
                <w:szCs w:val="24"/>
              </w:rPr>
            </w:pPr>
            <w:r>
              <w:rPr>
                <w:b/>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Информационный 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trPr>
          <w:trHeight w:val="462" w:hRule="atLeast"/>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Бизнес-сервис (БС).</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Управление фондами и активами предприятия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Сервис «ИС УФАП», </w:t>
            </w:r>
          </w:p>
          <w:p>
            <w:pPr>
              <w:pStyle w:val="Normal"/>
              <w:widowControl w:val="false"/>
              <w:snapToGrid w:val="false"/>
              <w:spacing w:lineRule="auto" w:line="240"/>
              <w:ind w:hanging="0"/>
              <w:rPr>
                <w:b/>
                <w:sz w:val="24"/>
                <w:szCs w:val="24"/>
              </w:rPr>
            </w:pPr>
            <w:r>
              <w:rPr>
                <w:b/>
                <w:sz w:val="24"/>
                <w:szCs w:val="24"/>
              </w:rPr>
              <w:t xml:space="preserve">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Бизнес-сервис, включающий в себя ИС </w:t>
            </w:r>
            <w:r>
              <w:rPr>
                <w:sz w:val="24"/>
                <w:szCs w:val="24"/>
                <w:lang w:val="en-US"/>
              </w:rPr>
              <w:t>Maximo</w:t>
            </w:r>
            <w:r>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Pr>
                <w:sz w:val="24"/>
                <w:szCs w:val="24"/>
                <w:lang w:val="en-US"/>
              </w:rPr>
              <w:t>Maximo</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Пользователь</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ДСЗ</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Дирекция служб заказчика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СПП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Служба поддержки пользователей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АРМ ИС 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Назначение документа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Ответственные лица: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Ответственные лица определяются Сторонами согласно условиям, определенным в Договоре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Условия и порядок предоставления Сервиса «ИС УФАП»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Срок действия Сервиса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w:t>
            </w:r>
            <w:r>
              <w:rPr>
                <w:b/>
                <w:sz w:val="24"/>
                <w:szCs w:val="24"/>
              </w:rPr>
              <w:t xml:space="preserve"> </w:t>
            </w:r>
            <w:r>
              <w:rPr>
                <w:sz w:val="24"/>
                <w:szCs w:val="24"/>
              </w:rPr>
              <w:t>предоставляется Заказчиком Подрядчику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Заказчика: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rHeight w:val="22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Регламентировать порядок организации доступа и работы Пользователей в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Требовать от Подрядчика соблюдения требований корпоративных ИТ-стандартов</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Осуществлять тестирование персонала Подрядчика в части владения знаниями и навыками работы в ИС УФАП.</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Оказывать Подрядчику по его просьбе содействие в организации обучения Пользователей.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Представлять интересы Подрядчика при его взаимодействии с разработчиками ИС УФАП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 xml:space="preserve">Обязанности: </w:t>
            </w:r>
          </w:p>
        </w:tc>
      </w:tr>
      <w:tr>
        <w:trPr>
          <w:trHeight w:val="11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Оказывать Сервис профессионально,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Оказывать Сервис с параметрами, не хуже, чем указано в разделе «Параметры Сервиса» настоящих Правил.</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Обеспечить Подрядчика комплектом пользовательской документации, согласно списку, указанному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Рассматривать и давать мотивированный ответ на запросы Подрядчика об организации дополнительных АРМ ИС УФАП для персонала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Оказывать содействие Подрядчику в приобретении последним пользовательских лицензий ИС УФАП.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Рассматривать и давать мотивированный ответ на предложения Подрядчика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В письменной форме подтверждать либо аргументировано отклонять информацию Подрядчика о времени недоступности Сервиса.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Подрядчика: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Получать поддержку в СПП Заказчика по вопросам, касающимся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Требовать от Заказчика безвозмездного предоставления доступа персонала Подрядчика как минимум к одному АРМ ИС УФАП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Самостоятельно приобретать пользовательские лицензии на ИС УФАП у официальных представителей компании – разработчика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Делегировать Заказчику право представлять интересы Подрядчика при взаимодействии с разработчиками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trPr>
          <w:trHeight w:val="34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Направлять Заказчику предложения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Обязанности: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Взаимодействовать с представителями Заказчика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Выполнять требования корпоративных ИТ - стандартов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Обеспечить изучение Пользователями документации, перечисленной в Таблице 4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Microsoft Project 2003.</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Обеспечить наличие у Пользователей базовых навыков использования Сервиса путем организации вводного обучения.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Принимать все зависящие от него меры по содействию специалистам Заказчика в проведении текущего обучения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После регистрации обращения в СПП принимать все зависящие от него меры по содействию СПП в работах, связанных с данным обращением.</w:t>
            </w:r>
          </w:p>
        </w:tc>
      </w:tr>
      <w:tr>
        <w:trPr>
          <w:trHeight w:val="28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 xml:space="preserve">Предоставлять в СПП всю информацию, необходимую для выполнения обращения. </w:t>
            </w:r>
          </w:p>
        </w:tc>
      </w:tr>
      <w:tr>
        <w:trPr>
          <w:trHeight w:val="34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Не препятствовать выполнению стандартных регламентных процедур: обновление ПО, исправление ошибок ПО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Риски, катастрофы, чрезвычайные ситуации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trPr>
          <w:trHeight w:val="23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r>
          </w:p>
          <w:p>
            <w:pPr>
              <w:pStyle w:val="Normal"/>
              <w:widowControl w:val="false"/>
              <w:snapToGrid w:val="false"/>
              <w:spacing w:lineRule="auto" w:line="240"/>
              <w:ind w:hanging="0"/>
              <w:rPr>
                <w:b/>
                <w:sz w:val="24"/>
                <w:szCs w:val="24"/>
              </w:rPr>
            </w:pPr>
            <w:r>
              <w:rPr>
                <w:b/>
                <w:sz w:val="24"/>
                <w:szCs w:val="24"/>
              </w:rPr>
              <w:t>Описание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Описание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 является ИТ - сервисом по автоматизации процесса управления фондами и активами ПАО «РусГидро» и управляемых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Пользователи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overflowPunct w:val="true"/>
              <w:snapToGrid w:val="false"/>
              <w:spacing w:lineRule="auto" w:line="240"/>
              <w:ind w:hanging="0" w:left="0"/>
              <w:jc w:val="left"/>
              <w:textAlignment w:val="baseline"/>
              <w:rPr>
                <w:sz w:val="24"/>
                <w:szCs w:val="24"/>
              </w:rPr>
            </w:pPr>
            <w:r>
              <w:rPr>
                <w:sz w:val="24"/>
                <w:szCs w:val="24"/>
              </w:rPr>
              <w:t>Пользователями Сервиса могут быть: штатные сотрудники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trPr>
          <w:trHeight w:val="36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i/>
                <w:i/>
                <w:color w:val="808080"/>
                <w:sz w:val="24"/>
                <w:szCs w:val="24"/>
              </w:rPr>
            </w:pPr>
            <w:r>
              <w:rPr>
                <w:sz w:val="24"/>
                <w:szCs w:val="24"/>
              </w:rPr>
              <w: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Функциональность</w:t>
            </w:r>
          </w:p>
        </w:tc>
      </w:tr>
      <w:tr>
        <w:trPr>
          <w:trHeight w:val="27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предоставляется:</w:t>
            </w:r>
          </w:p>
        </w:tc>
      </w:tr>
      <w:tr>
        <w:trPr>
          <w:trHeight w:val="23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возможность использования единой базы данных по Объектам Заказчика</w:t>
            </w:r>
          </w:p>
        </w:tc>
      </w:tr>
      <w:tr>
        <w:trPr>
          <w:trHeight w:val="49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возможность планирования, проведения, контроля и анализа воздействий на обслуживаемые Объекты</w:t>
            </w:r>
          </w:p>
        </w:tc>
      </w:tr>
      <w:tr>
        <w:trPr>
          <w:trHeight w:val="23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возможность накопления и консолидирования данных отчетности по обслуживаемым Объектам.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автоматизация выполнения процедур регистрации и отслеживания дефектов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автоматизация складского учета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автоматизация процессов заказа и закупки МТР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состав Сервиса не входит:</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обслуживание или поддержка аппаратного обеспечения Подрядчика (персональные компьютеры, серверы, сетевые устройства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резервное копирование информации, хранящейся на внутренних жестких дисках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hanging="0" w:left="0"/>
              <w:outlineLvl w:val="0"/>
              <w:rPr>
                <w:sz w:val="24"/>
                <w:szCs w:val="24"/>
              </w:rPr>
            </w:pPr>
            <w:r>
              <w:rPr>
                <w:b/>
                <w:sz w:val="24"/>
                <w:szCs w:val="24"/>
              </w:rPr>
              <w:t>Параметры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предоставляется с одним уровнем – «Базовый» (Б)</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предоставляется 24 часа в сутки 7 дней в неделю.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доступен 24 часа в сутки 7 дней в неделю, за исключением времени проведения профилактических работ.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Коэффициент доступности, определяемый как отношение времени фактической доступности Сервиса к времени заявленной доступности: не ниже 80% в течение месяца. </w:t>
            </w:r>
          </w:p>
          <w:p>
            <w:pPr>
              <w:pStyle w:val="Normal"/>
              <w:widowControl w:val="false"/>
              <w:snapToGrid w:val="false"/>
              <w:spacing w:lineRule="auto" w:line="240"/>
              <w:ind w:hanging="0"/>
              <w:rPr>
                <w:sz w:val="24"/>
                <w:szCs w:val="24"/>
              </w:rPr>
            </w:pPr>
            <w:r>
              <w:rPr>
                <w:sz w:val="24"/>
                <w:szCs w:val="24"/>
              </w:rPr>
              <w:t>При этом Сервис считается доступным, если время восстановления Сервиса не превышает 60 минут.</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Допускается приостановление предоставления сервиса для проведения профилактических работ:</w:t>
            </w:r>
          </w:p>
          <w:p>
            <w:pPr>
              <w:pStyle w:val="ListParagraph"/>
              <w:widowControl w:val="false"/>
              <w:numPr>
                <w:ilvl w:val="0"/>
                <w:numId w:val="25"/>
              </w:numPr>
              <w:snapToGrid w:val="false"/>
              <w:ind w:hanging="360" w:left="426"/>
              <w:rPr/>
            </w:pPr>
            <w:r>
              <w:rPr/>
              <w:t>Еженедельные работы – 1 раз в неделю на 4 часа.</w:t>
            </w:r>
          </w:p>
          <w:p>
            <w:pPr>
              <w:pStyle w:val="ListParagraph"/>
              <w:widowControl w:val="false"/>
              <w:numPr>
                <w:ilvl w:val="0"/>
                <w:numId w:val="25"/>
              </w:numPr>
              <w:snapToGrid w:val="false"/>
              <w:ind w:hanging="360" w:left="426"/>
              <w:rPr/>
            </w:pPr>
            <w:r>
              <w:rPr/>
              <w:t>Ежемесячные работы – 1 раз в месяц на 4 часа.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trPr>
          <w:trHeight w:val="28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Параметры надежности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5"/>
              </w:numPr>
              <w:snapToGrid w:val="false"/>
              <w:ind w:hanging="360" w:left="426"/>
              <w:rPr/>
            </w:pPr>
            <w:r>
              <w:rPr/>
              <w:t>Количество сбоев в течение рабочего дня не должно превышать 10</w:t>
            </w:r>
          </w:p>
          <w:p>
            <w:pPr>
              <w:pStyle w:val="ListParagraph"/>
              <w:widowControl w:val="false"/>
              <w:numPr>
                <w:ilvl w:val="0"/>
                <w:numId w:val="25"/>
              </w:numPr>
              <w:snapToGrid w:val="false"/>
              <w:ind w:hanging="360" w:left="426"/>
              <w:rPr/>
            </w:pPr>
            <w:r>
              <w:rPr/>
              <w:t>Максимально допускаемый объем повторной работы в случае сбоя – 8 часов.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обеспечивает возможность конвертирования документов и отчетных форм УФАП Maximo в форматы xls  (Microsoft Excel) и pdf (Adobe Acrobat)</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right"/>
              <w:rPr>
                <w:b/>
                <w:sz w:val="24"/>
                <w:szCs w:val="24"/>
              </w:rPr>
            </w:pPr>
            <w:r>
              <w:rPr>
                <w:b/>
                <w:sz w:val="24"/>
                <w:szCs w:val="24"/>
              </w:rPr>
              <w:t>Таблица 1.</w:t>
            </w:r>
          </w:p>
        </w:tc>
      </w:tr>
      <w:tr>
        <w:trPr/>
        <w:tc>
          <w:tcPr>
            <w:tcW w:w="9636" w:type="dxa"/>
            <w:gridSpan w:val="2"/>
            <w:tcBorders>
              <w:top w:val="single" w:sz="4" w:space="0" w:color="000000"/>
              <w:left w:val="single" w:sz="4" w:space="0" w:color="000000"/>
              <w:bottom w:val="single" w:sz="4" w:space="0" w:color="000000"/>
              <w:right w:val="single" w:sz="4" w:space="0" w:color="000000"/>
            </w:tcBorders>
          </w:tcPr>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1278"/>
              <w:gridCol w:w="5374"/>
              <w:gridCol w:w="2769"/>
            </w:tblGrid>
            <w:tr>
              <w:trPr>
                <w:cantSplit w:val="true"/>
              </w:trPr>
              <w:tc>
                <w:tcPr>
                  <w:tcW w:w="6652" w:type="dxa"/>
                  <w:gridSpan w:val="2"/>
                  <w:tcBorders>
                    <w:top w:val="single" w:sz="4" w:space="0" w:color="000000"/>
                    <w:left w:val="single" w:sz="4" w:space="0" w:color="000000"/>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Влияние</w:t>
                  </w:r>
                </w:p>
              </w:tc>
              <w:tc>
                <w:tcPr>
                  <w:tcW w:w="2769" w:type="dxa"/>
                  <w:vMerge w:val="restart"/>
                  <w:tcBorders>
                    <w:top w:val="single" w:sz="8" w:space="0" w:color="000000"/>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Время устранения (Приоритет)</w:t>
                  </w:r>
                </w:p>
              </w:tc>
            </w:tr>
            <w:tr>
              <w:trPr>
                <w:cantSplit w:val="true"/>
              </w:trPr>
              <w:tc>
                <w:tcPr>
                  <w:tcW w:w="1278" w:type="dxa"/>
                  <w:tcBorders>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 xml:space="preserve">Уровень </w:t>
                  </w:r>
                </w:p>
              </w:tc>
              <w:tc>
                <w:tcPr>
                  <w:tcW w:w="5374" w:type="dxa"/>
                  <w:tcBorders>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Определение</w:t>
                  </w:r>
                </w:p>
              </w:tc>
              <w:tc>
                <w:tcPr>
                  <w:tcW w:w="2769" w:type="dxa"/>
                  <w:vMerge w:val="continue"/>
                  <w:tcBorders>
                    <w:top w:val="single" w:sz="8" w:space="0" w:color="000000"/>
                    <w:left w:val="single" w:sz="4" w:space="0" w:color="000000"/>
                    <w:bottom w:val="single" w:sz="8" w:space="0" w:color="000000"/>
                    <w:right w:val="single" w:sz="8" w:space="0" w:color="000000"/>
                  </w:tcBorders>
                  <w:vAlign w:val="center"/>
                </w:tcPr>
                <w:p>
                  <w:pPr>
                    <w:pStyle w:val="Normal"/>
                    <w:widowControl w:val="false"/>
                    <w:spacing w:lineRule="auto" w:line="240"/>
                    <w:ind w:hanging="0"/>
                    <w:jc w:val="left"/>
                    <w:rPr>
                      <w:b/>
                      <w:bCs/>
                      <w:sz w:val="24"/>
                      <w:szCs w:val="24"/>
                    </w:rPr>
                  </w:pPr>
                  <w:r>
                    <w:rPr>
                      <w:b/>
                      <w:bCs/>
                      <w:sz w:val="24"/>
                      <w:szCs w:val="24"/>
                    </w:rPr>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Нет</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Можно продолжать работу</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72 часа (4)</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Низкий</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один сотрудник</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24 часа (3)</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Средний</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выполняться технологическая операция</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8 часов (2)</w:t>
                  </w:r>
                </w:p>
              </w:tc>
            </w:tr>
            <w:tr>
              <w:trPr>
                <w:cantSplit w:val="true"/>
              </w:trPr>
              <w:tc>
                <w:tcPr>
                  <w:tcW w:w="1278" w:type="dxa"/>
                  <w:tcBorders>
                    <w:left w:val="single" w:sz="4" w:space="0" w:color="000000"/>
                    <w:bottom w:val="single" w:sz="4"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Высокий</w:t>
                  </w:r>
                </w:p>
              </w:tc>
              <w:tc>
                <w:tcPr>
                  <w:tcW w:w="5374" w:type="dxa"/>
                  <w:tcBorders>
                    <w:bottom w:val="single" w:sz="4"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предприятие</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lang w:val="en-US"/>
                    </w:rPr>
                    <w:t xml:space="preserve">   </w:t>
                  </w:r>
                  <w:r>
                    <w:rPr>
                      <w:sz w:val="24"/>
                      <w:szCs w:val="24"/>
                    </w:rPr>
                    <w:t>4 часа (1)</w:t>
                  </w:r>
                </w:p>
              </w:tc>
            </w:tr>
          </w:tbl>
          <w:p>
            <w:pPr>
              <w:pStyle w:val="Normal"/>
              <w:widowControl w:val="false"/>
              <w:spacing w:lineRule="auto" w:line="240"/>
              <w:ind w:hanging="0"/>
              <w:jc w:val="left"/>
              <w:rPr>
                <w:rFonts w:eastAsia="Calibri"/>
                <w:sz w:val="24"/>
                <w:szCs w:val="24"/>
                <w:lang w:eastAsia="en-US"/>
              </w:rPr>
            </w:pPr>
            <w:r>
              <w:rPr>
                <w:rFonts w:eastAsia="Calibri"/>
                <w:sz w:val="24"/>
                <w:szCs w:val="24"/>
                <w:lang w:eastAsia="en-US"/>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Параметры безопасности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hanging="0" w:left="0"/>
              <w:outlineLvl w:val="0"/>
              <w:rPr>
                <w:b/>
                <w:sz w:val="24"/>
                <w:szCs w:val="24"/>
              </w:rPr>
            </w:pPr>
            <w:r>
              <w:rPr>
                <w:b/>
                <w:sz w:val="24"/>
                <w:szCs w:val="24"/>
              </w:rPr>
              <w:t>Процедуры:</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регистрации нового Пользователя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Процедура инициации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Процедуры и инструкции для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Состав документации, с которой должны быть ознакомлены пользователи, приведен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информирования об инцидентах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отсрочки регистрации Подрядчиком данных в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trPr>
          <w:trHeight w:val="72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trPr>
          <w:trHeight w:val="25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Процедура выполняется в следующем порядке: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trPr>
          <w:trHeight w:val="56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Моментом начала возобновления поставки Сервиса Подрядчику считается дата и время закрытия в СПП инцидента по обращению Подрядчика. </w:t>
            </w:r>
          </w:p>
        </w:tc>
      </w:tr>
      <w:tr>
        <w:trPr>
          <w:trHeight w:val="69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trPr>
          <w:trHeight w:val="33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trPr>
          <w:trHeight w:val="48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 </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pPr>
        <w:pStyle w:val="Normal"/>
        <w:widowControl w:val="false"/>
        <w:overflowPunct w:val="true"/>
        <w:snapToGrid w:val="false"/>
        <w:spacing w:lineRule="auto" w:line="240" w:before="120" w:after="120"/>
        <w:rPr>
          <w:b/>
          <w:bCs/>
          <w:sz w:val="24"/>
          <w:szCs w:val="24"/>
        </w:rPr>
      </w:pPr>
      <w:r>
        <w:rPr>
          <w:b/>
          <w:bCs/>
          <w:sz w:val="24"/>
          <w:szCs w:val="24"/>
        </w:rPr>
        <w:t xml:space="preserve">Таблица 2. Требования к АРМ ИС УФАП. </w:t>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738"/>
        <w:gridCol w:w="3798"/>
        <w:gridCol w:w="5101"/>
      </w:tblGrid>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w:t>
            </w:r>
            <w:r>
              <w:rPr>
                <w:sz w:val="24"/>
                <w:szCs w:val="24"/>
                <w:lang w:val="en-US"/>
              </w:rPr>
              <w:t>/</w:t>
            </w:r>
            <w:r>
              <w:rPr>
                <w:sz w:val="24"/>
                <w:szCs w:val="24"/>
              </w:rPr>
              <w:t>п</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Параметр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Значение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Процессор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Не</w:t>
            </w:r>
            <w:r>
              <w:rPr>
                <w:sz w:val="24"/>
                <w:szCs w:val="24"/>
                <w:lang w:val="en-US"/>
              </w:rPr>
              <w:t xml:space="preserve"> </w:t>
            </w:r>
            <w:r>
              <w:rPr>
                <w:sz w:val="24"/>
                <w:szCs w:val="24"/>
              </w:rPr>
              <w:t>ниже</w:t>
            </w:r>
            <w:r>
              <w:rPr>
                <w:sz w:val="24"/>
                <w:szCs w:val="24"/>
                <w:lang w:val="en-US"/>
              </w:rPr>
              <w:t xml:space="preserve"> Intel-based Pentium 600 MHz </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2</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Операционная система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Windows</w:t>
            </w:r>
            <w:r>
              <w:rPr>
                <w:sz w:val="24"/>
                <w:szCs w:val="24"/>
              </w:rPr>
              <w:t xml:space="preserve"> 2000</w:t>
            </w:r>
            <w:r>
              <w:rPr>
                <w:sz w:val="24"/>
                <w:szCs w:val="24"/>
                <w:lang w:val="en-US"/>
              </w:rPr>
              <w:t>, Windows XP</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ОЗУ</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256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4</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свободного места на жестком диске</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100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Разрешение монитора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ниже 1024х768  High Color 16-bit</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Скорость доступа в сеть Интернет</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64 кБит/сек и 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7</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 xml:space="preserve">Версия </w:t>
            </w:r>
            <w:r>
              <w:rPr>
                <w:sz w:val="24"/>
                <w:szCs w:val="24"/>
                <w:lang w:val="en-US"/>
              </w:rPr>
              <w:t>Internet Explorer</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6.2 или выше</w:t>
            </w:r>
          </w:p>
        </w:tc>
      </w:tr>
      <w:tr>
        <w:trPr/>
        <w:tc>
          <w:tcPr>
            <w:tcW w:w="7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8</w:t>
            </w:r>
          </w:p>
        </w:tc>
        <w:tc>
          <w:tcPr>
            <w:tcW w:w="379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Дополнительное программное обеспечение </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Java Runtime Engine (JRE) v.1.3.08 </w:t>
            </w:r>
            <w:r>
              <w:rPr>
                <w:sz w:val="24"/>
                <w:szCs w:val="24"/>
              </w:rPr>
              <w:t>или</w:t>
            </w:r>
            <w:r>
              <w:rPr>
                <w:sz w:val="24"/>
                <w:szCs w:val="24"/>
                <w:lang w:val="en-US"/>
              </w:rPr>
              <w:t xml:space="preserve"> v.1.4.07</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lang w:val="en-US"/>
              </w:rPr>
            </w:pPr>
            <w:r>
              <w:rPr>
                <w:sz w:val="24"/>
                <w:szCs w:val="24"/>
                <w:lang w:val="en-US"/>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Office 2003 Professional</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Project 2003</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Adobe Acrobat Reader 4.0 </w:t>
            </w:r>
            <w:r>
              <w:rPr>
                <w:sz w:val="24"/>
                <w:szCs w:val="24"/>
              </w:rPr>
              <w:t>или</w:t>
            </w:r>
            <w:r>
              <w:rPr>
                <w:sz w:val="24"/>
                <w:szCs w:val="24"/>
                <w:lang w:val="en-US"/>
              </w:rPr>
              <w:t xml:space="preserve"> </w:t>
            </w:r>
            <w:r>
              <w:rPr>
                <w:sz w:val="24"/>
                <w:szCs w:val="24"/>
              </w:rPr>
              <w:t>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9</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Прочие требования</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Для всех персональных компьютеров должна быть обеспечена возможность печати черно-белых документов.</w:t>
            </w:r>
          </w:p>
        </w:tc>
      </w:tr>
    </w:tbl>
    <w:p>
      <w:pPr>
        <w:pStyle w:val="Normal"/>
        <w:widowControl w:val="false"/>
        <w:overflowPunct w:val="true"/>
        <w:snapToGrid w:val="false"/>
        <w:spacing w:lineRule="auto" w:line="240" w:before="120" w:after="120"/>
        <w:rPr>
          <w:b/>
          <w:bCs/>
          <w:sz w:val="24"/>
          <w:szCs w:val="24"/>
        </w:rPr>
      </w:pPr>
      <w:r>
        <w:rPr>
          <w:b/>
          <w:bCs/>
          <w:sz w:val="24"/>
          <w:szCs w:val="24"/>
        </w:rPr>
        <w:t>Таблица 3.  Список стандартных запросов на обслуживание</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122"/>
        <w:gridCol w:w="1919"/>
        <w:gridCol w:w="1596"/>
      </w:tblGrid>
      <w:tr>
        <w:trPr>
          <w:trHeight w:val="645"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Стандартный запрос на обслуживание</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Время исполнения</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Примечание</w:t>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простого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простого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сложного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сложного запроса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Добавление нового запроса к списку стандартных запросов на выборку</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Изменение содержания справочников</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Корректировка прав доступа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 раб. день</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widowControl w:val="false"/>
        <w:overflowPunct w:val="true"/>
        <w:snapToGrid w:val="false"/>
        <w:spacing w:lineRule="auto" w:line="240" w:before="120" w:after="120"/>
        <w:rPr>
          <w:b/>
          <w:bCs/>
          <w:sz w:val="24"/>
          <w:szCs w:val="24"/>
        </w:rPr>
      </w:pPr>
      <w:r>
        <w:rPr>
          <w:b/>
          <w:bCs/>
          <w:sz w:val="24"/>
          <w:szCs w:val="24"/>
        </w:rPr>
        <w:t>Таблица 4. Список пользовательской документации</w:t>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916"/>
        <w:gridCol w:w="8720"/>
      </w:tblGrid>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Наименование документа</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1.</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Руководство пользователя ИС УФАП </w:t>
            </w:r>
            <w:r>
              <w:rPr>
                <w:sz w:val="24"/>
                <w:szCs w:val="24"/>
                <w:lang w:val="en-US"/>
              </w:rPr>
              <w:t>Maximo</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2.</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Комплект рабочих инструкций по работе в </w:t>
            </w:r>
            <w:r>
              <w:rPr>
                <w:sz w:val="24"/>
                <w:szCs w:val="24"/>
                <w:lang w:val="en-US"/>
              </w:rPr>
              <w:t>Maximo</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3.</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Положение о Службе Поддержки Пользователей</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4.</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Памятка пользователя СПП</w:t>
            </w:r>
          </w:p>
        </w:tc>
      </w:tr>
    </w:tbl>
    <w:p>
      <w:pPr>
        <w:pStyle w:val="Normal"/>
        <w:widowControl w:val="false"/>
        <w:overflowPunct w:val="true"/>
        <w:snapToGrid w:val="false"/>
        <w:spacing w:lineRule="auto" w:line="240" w:before="120" w:after="120"/>
        <w:rPr>
          <w:b/>
          <w:bCs/>
          <w:sz w:val="24"/>
          <w:szCs w:val="24"/>
        </w:rPr>
      </w:pPr>
      <w:r>
        <w:rPr>
          <w:b/>
          <w:bCs/>
          <w:sz w:val="24"/>
          <w:szCs w:val="24"/>
        </w:rPr>
        <w:t>Таблица 5. Форма журнала учета перерывов поставки сервиса «ИС УФАП».</w:t>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502"/>
        <w:gridCol w:w="1457"/>
        <w:gridCol w:w="1239"/>
        <w:gridCol w:w="1604"/>
        <w:gridCol w:w="982"/>
        <w:gridCol w:w="744"/>
        <w:gridCol w:w="1565"/>
        <w:gridCol w:w="1542"/>
      </w:tblGrid>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 прекращения поставки Сервиса</w:t>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Номер обращения в СПП</w:t>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w:t>
            </w:r>
          </w:p>
          <w:p>
            <w:pPr>
              <w:pStyle w:val="Normal"/>
              <w:widowControl w:val="false"/>
              <w:snapToGrid w:val="false"/>
              <w:spacing w:lineRule="auto" w:line="240"/>
              <w:ind w:hanging="0"/>
              <w:jc w:val="center"/>
              <w:rPr>
                <w:sz w:val="24"/>
                <w:szCs w:val="24"/>
              </w:rPr>
            </w:pPr>
            <w:r>
              <w:rPr>
                <w:sz w:val="24"/>
                <w:szCs w:val="24"/>
              </w:rPr>
              <w:t>возобновления</w:t>
            </w:r>
          </w:p>
          <w:p>
            <w:pPr>
              <w:pStyle w:val="Normal"/>
              <w:widowControl w:val="false"/>
              <w:snapToGrid w:val="false"/>
              <w:spacing w:lineRule="auto" w:line="240"/>
              <w:ind w:hanging="0"/>
              <w:jc w:val="center"/>
              <w:rPr>
                <w:sz w:val="24"/>
                <w:szCs w:val="24"/>
              </w:rPr>
            </w:pPr>
            <w:r>
              <w:rPr>
                <w:sz w:val="24"/>
                <w:szCs w:val="24"/>
              </w:rPr>
              <w:t>поставки</w:t>
            </w:r>
          </w:p>
          <w:p>
            <w:pPr>
              <w:pStyle w:val="Normal"/>
              <w:widowControl w:val="false"/>
              <w:snapToGrid w:val="false"/>
              <w:spacing w:lineRule="auto" w:line="240"/>
              <w:ind w:hanging="0"/>
              <w:jc w:val="center"/>
              <w:rPr>
                <w:sz w:val="24"/>
                <w:szCs w:val="24"/>
              </w:rPr>
            </w:pPr>
            <w:r>
              <w:rPr>
                <w:sz w:val="24"/>
                <w:szCs w:val="24"/>
              </w:rPr>
              <w:t>Сервиса</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Общее время простоя Сервиса</w:t>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Примечания</w:t>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Ф.И.О. и подпись представителя Подрядчика </w:t>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Ф.И.О. и подпись представителя Заказчика</w:t>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spacing w:lineRule="auto" w:line="240"/>
        <w:ind w:hanging="0"/>
        <w:rPr>
          <w:b/>
          <w:bCs/>
          <w:sz w:val="24"/>
          <w:szCs w:val="24"/>
        </w:rPr>
      </w:pPr>
      <w:r>
        <w:rPr>
          <w:b/>
          <w:bCs/>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284" w:top="851" w:footer="284" w:bottom="851"/>
          <w:pgNumType w:fmt="decimal"/>
          <w:formProt w:val="false"/>
          <w:textDirection w:val="lrTb"/>
          <w:docGrid w:type="default" w:linePitch="381" w:charSpace="0"/>
        </w:sectPr>
      </w:pPr>
    </w:p>
    <w:p>
      <w:pPr>
        <w:pStyle w:val="Normal"/>
        <w:spacing w:lineRule="auto" w:line="240"/>
        <w:ind w:hanging="0" w:left="9781"/>
        <w:rPr>
          <w:sz w:val="22"/>
        </w:rPr>
      </w:pPr>
      <w:r>
        <w:rPr>
          <w:sz w:val="22"/>
        </w:rPr>
        <w:t xml:space="preserve">Приложение № </w:t>
      </w:r>
      <w:r>
        <w:rPr>
          <w:sz w:val="22"/>
          <w:szCs w:val="22"/>
        </w:rPr>
        <w:t>7</w:t>
      </w:r>
    </w:p>
    <w:p>
      <w:pPr>
        <w:pStyle w:val="Normal"/>
        <w:spacing w:lineRule="auto" w:line="240"/>
        <w:ind w:hanging="0" w:left="9781"/>
        <w:rPr>
          <w:sz w:val="22"/>
        </w:rPr>
      </w:pPr>
      <w:r>
        <w:rPr>
          <w:sz w:val="22"/>
        </w:rPr>
        <w:t>к договору подряда</w:t>
      </w:r>
    </w:p>
    <w:p>
      <w:pPr>
        <w:pStyle w:val="Normal"/>
        <w:spacing w:lineRule="auto" w:line="240"/>
        <w:ind w:hanging="0" w:left="9781"/>
        <w:rPr>
          <w:sz w:val="22"/>
        </w:rPr>
      </w:pPr>
      <w:r>
        <w:rPr>
          <w:sz w:val="22"/>
          <w:szCs w:val="22"/>
        </w:rPr>
        <w:t>от «____» __________ 20__ № ____</w:t>
      </w:r>
    </w:p>
    <w:p>
      <w:pPr>
        <w:pStyle w:val="Normal"/>
        <w:spacing w:lineRule="auto" w:line="240"/>
        <w:ind w:hanging="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pPr>
        <w:pStyle w:val="Normal"/>
        <w:spacing w:lineRule="auto" w:line="240"/>
        <w:ind w:hanging="0"/>
        <w:jc w:val="right"/>
        <w:rPr>
          <w:sz w:val="16"/>
          <w:szCs w:val="16"/>
        </w:rPr>
      </w:pPr>
      <w:r>
        <w:rPr>
          <w:sz w:val="16"/>
          <w:szCs w:val="16"/>
        </w:rPr>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90"/>
        <w:gridCol w:w="867"/>
        <w:gridCol w:w="1275"/>
        <w:gridCol w:w="1528"/>
        <w:gridCol w:w="2593"/>
        <w:gridCol w:w="3203"/>
        <w:gridCol w:w="3048"/>
        <w:gridCol w:w="1071"/>
        <w:gridCol w:w="1827"/>
      </w:tblGrid>
      <w:tr>
        <w:trPr>
          <w:trHeight w:val="1327" w:hRule="atLeast"/>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r>
          </w:p>
        </w:tc>
        <w:tc>
          <w:tcPr>
            <w:tcW w:w="8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Предмет договора</w:t>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Дата договора</w:t>
            </w:r>
          </w:p>
        </w:tc>
        <w:tc>
          <w:tcPr>
            <w:tcW w:w="1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Номер договора с субподрядчиком</w:t>
            </w:r>
          </w:p>
        </w:tc>
        <w:tc>
          <w:tcPr>
            <w:tcW w:w="25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ОКПД2</w:t>
            </w:r>
          </w:p>
          <w:p>
            <w:pPr>
              <w:pStyle w:val="Normal"/>
              <w:widowControl w:val="false"/>
              <w:spacing w:lineRule="auto" w:line="240"/>
              <w:ind w:hanging="0"/>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32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происхождения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3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регистрации производителя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Валюта (ОКВ)</w:t>
            </w:r>
          </w:p>
        </w:tc>
        <w:tc>
          <w:tcPr>
            <w:tcW w:w="1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Единица измерения</w:t>
            </w:r>
          </w:p>
          <w:p>
            <w:pPr>
              <w:pStyle w:val="Normal"/>
              <w:widowControl w:val="false"/>
              <w:spacing w:lineRule="auto" w:line="240"/>
              <w:ind w:hanging="0"/>
              <w:jc w:val="center"/>
              <w:rPr>
                <w:sz w:val="16"/>
                <w:szCs w:val="16"/>
              </w:rPr>
            </w:pPr>
            <w:r>
              <w:rPr>
                <w:sz w:val="16"/>
                <w:szCs w:val="16"/>
              </w:rPr>
              <w:t>ОКЕИ</w:t>
            </w:r>
          </w:p>
        </w:tc>
      </w:tr>
      <w:tr>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w:t>
            </w:r>
          </w:p>
        </w:tc>
        <w:tc>
          <w:tcPr>
            <w:tcW w:w="8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3</w:t>
            </w:r>
          </w:p>
        </w:tc>
        <w:tc>
          <w:tcPr>
            <w:tcW w:w="2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4</w:t>
            </w:r>
          </w:p>
        </w:tc>
        <w:tc>
          <w:tcPr>
            <w:tcW w:w="3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5</w:t>
            </w:r>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6</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7</w:t>
            </w:r>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8</w:t>
            </w:r>
          </w:p>
        </w:tc>
      </w:tr>
      <w:tr>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lang w:val="en-US"/>
              </w:rPr>
            </w:pPr>
            <w:r>
              <w:rPr>
                <w:i/>
                <w:sz w:val="16"/>
                <w:szCs w:val="16"/>
                <w:lang w:val="en-US"/>
              </w:rPr>
              <w:t>1</w:t>
            </w:r>
          </w:p>
        </w:tc>
        <w:tc>
          <w:tcPr>
            <w:tcW w:w="8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spacing w:lineRule="auto" w:line="240"/>
        <w:ind w:hanging="0"/>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HBand="0" w:noVBand="1" w:firstColumn="1" w:lastRow="0" w:lastColumn="0" w:firstRow="1"/>
      </w:tblPr>
      <w:tblGrid>
        <w:gridCol w:w="1367"/>
        <w:gridCol w:w="1831"/>
        <w:gridCol w:w="1219"/>
        <w:gridCol w:w="1220"/>
        <w:gridCol w:w="1373"/>
        <w:gridCol w:w="2289"/>
        <w:gridCol w:w="1982"/>
        <w:gridCol w:w="1374"/>
        <w:gridCol w:w="3047"/>
      </w:tblGrid>
      <w:tr>
        <w:trPr>
          <w:trHeight w:val="1289" w:hRule="atLeast"/>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Кол-во товара, работ, услуг</w:t>
            </w:r>
          </w:p>
        </w:tc>
        <w:tc>
          <w:tcPr>
            <w:tcW w:w="18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за единицу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по договору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2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начала выполнения работ</w:t>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окончания выполнения работ</w:t>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Принадлежность к МСП</w:t>
            </w:r>
          </w:p>
          <w:p>
            <w:pPr>
              <w:pStyle w:val="Normal"/>
              <w:widowControl w:val="false"/>
              <w:spacing w:lineRule="auto" w:line="240"/>
              <w:ind w:hanging="0"/>
              <w:jc w:val="center"/>
              <w:rPr>
                <w:sz w:val="16"/>
                <w:szCs w:val="16"/>
              </w:rPr>
            </w:pPr>
            <w:r>
              <w:rPr>
                <w:sz w:val="16"/>
                <w:szCs w:val="16"/>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8"/>
              <w:t></w:t>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Полное наименование/ФИО</w:t>
            </w:r>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Сокращенное наименование</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Физическое/Юридическое лицо</w:t>
            </w:r>
          </w:p>
        </w:tc>
      </w:tr>
      <w:tr>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9</w:t>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10</w:t>
            </w:r>
          </w:p>
        </w:tc>
        <w:tc>
          <w:tcPr>
            <w:tcW w:w="12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rPr>
              <w:t>1</w:t>
            </w:r>
            <w:r>
              <w:rPr>
                <w:b/>
                <w:sz w:val="16"/>
                <w:szCs w:val="16"/>
                <w:lang w:val="en-US"/>
              </w:rPr>
              <w:t>1</w:t>
            </w:r>
          </w:p>
        </w:tc>
        <w:tc>
          <w:tcPr>
            <w:tcW w:w="1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12</w:t>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13</w:t>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14</w:t>
            </w:r>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15</w:t>
            </w:r>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16</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17</w:t>
            </w:r>
          </w:p>
        </w:tc>
      </w:tr>
      <w:tr>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HBand="0" w:noVBand="1" w:firstColumn="1" w:lastRow="0" w:lastColumn="0" w:firstRow="1"/>
      </w:tblPr>
      <w:tblGrid>
        <w:gridCol w:w="1435"/>
        <w:gridCol w:w="1920"/>
        <w:gridCol w:w="1279"/>
        <w:gridCol w:w="1278"/>
        <w:gridCol w:w="1438"/>
        <w:gridCol w:w="1279"/>
        <w:gridCol w:w="2080"/>
        <w:gridCol w:w="1119"/>
        <w:gridCol w:w="1280"/>
        <w:gridCol w:w="956"/>
        <w:gridCol w:w="801"/>
        <w:gridCol w:w="838"/>
      </w:tblGrid>
      <w:tr>
        <w:trPr>
          <w:trHeight w:val="1266"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Дата постановки на учет</w:t>
            </w:r>
          </w:p>
        </w:tc>
        <w:tc>
          <w:tcPr>
            <w:tcW w:w="19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Почтовый индекс</w:t>
            </w:r>
          </w:p>
        </w:tc>
        <w:tc>
          <w:tcPr>
            <w:tcW w:w="12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местонахождения</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пребывания на территории РФ (для нерезидентов РФ)</w:t>
            </w:r>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Электронный адрес</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Контактный телефон</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ОКСМ</w:t>
            </w:r>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ОКТМО</w:t>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ОКОПФ</w:t>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ОКПО</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КПП</w:t>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ИНН</w:t>
            </w:r>
          </w:p>
          <w:p>
            <w:pPr>
              <w:pStyle w:val="Normal"/>
              <w:widowControl w:val="false"/>
              <w:rPr>
                <w:sz w:val="16"/>
                <w:szCs w:val="16"/>
              </w:rPr>
            </w:pPr>
            <w:r>
              <w:rPr>
                <w:sz w:val="16"/>
                <w:szCs w:val="16"/>
              </w:rPr>
            </w:r>
          </w:p>
          <w:p>
            <w:pPr>
              <w:pStyle w:val="Normal"/>
              <w:widowControl w:val="false"/>
              <w:rPr>
                <w:sz w:val="16"/>
                <w:szCs w:val="16"/>
              </w:rPr>
            </w:pPr>
            <w:r>
              <w:rPr>
                <w:sz w:val="16"/>
                <w:szCs w:val="16"/>
              </w:rPr>
            </w:r>
          </w:p>
        </w:tc>
      </w:tr>
      <w:tr>
        <w:trPr>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18</w:t>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19</w:t>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20</w:t>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21</w:t>
            </w:r>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22</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23</w:t>
            </w:r>
          </w:p>
        </w:tc>
        <w:tc>
          <w:tcPr>
            <w:tcW w:w="20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24</w:t>
            </w:r>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25</w:t>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26</w:t>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27</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28</w:t>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29</w:t>
            </w:r>
          </w:p>
        </w:tc>
      </w:tr>
      <w:tr>
        <w:trPr>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4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16"/>
          <w:szCs w:val="16"/>
        </w:rPr>
      </w:pPr>
      <w:r>
        <w:rPr>
          <w:sz w:val="16"/>
          <w:szCs w:val="16"/>
        </w:rPr>
        <w:t>Генеральный директор ________________________________</w:t>
      </w:r>
    </w:p>
    <w:p>
      <w:pPr>
        <w:pStyle w:val="Normal"/>
        <w:widowControl w:val="false"/>
        <w:spacing w:lineRule="auto" w:line="240"/>
        <w:ind w:hanging="0"/>
        <w:jc w:val="left"/>
        <w:rPr>
          <w:sz w:val="16"/>
          <w:szCs w:val="16"/>
        </w:rPr>
      </w:pPr>
      <w:r>
        <w:rPr>
          <w:sz w:val="16"/>
          <w:szCs w:val="16"/>
        </w:rPr>
        <w:t xml:space="preserve">Дата составления справки _________     </w:t>
      </w:r>
    </w:p>
    <w:tbl>
      <w:tblPr>
        <w:tblW w:w="14963"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6896"/>
        <w:gridCol w:w="8066"/>
      </w:tblGrid>
      <w:tr>
        <w:trPr>
          <w:trHeight w:val="270" w:hRule="atLeast"/>
        </w:trPr>
        <w:tc>
          <w:tcPr>
            <w:tcW w:w="6896" w:type="dxa"/>
            <w:tcBorders/>
          </w:tcPr>
          <w:p>
            <w:pPr>
              <w:pStyle w:val="Normal"/>
              <w:widowControl w:val="false"/>
              <w:spacing w:lineRule="auto" w:line="240"/>
              <w:ind w:hanging="0"/>
              <w:jc w:val="center"/>
              <w:rPr>
                <w:b/>
                <w:sz w:val="16"/>
                <w:szCs w:val="16"/>
              </w:rPr>
            </w:pPr>
            <w:r>
              <w:rPr>
                <w:b/>
                <w:sz w:val="16"/>
                <w:szCs w:val="16"/>
              </w:rPr>
              <w:t>Заказчик:</w:t>
            </w:r>
          </w:p>
        </w:tc>
        <w:tc>
          <w:tcPr>
            <w:tcW w:w="8066" w:type="dxa"/>
            <w:tcBorders/>
          </w:tcPr>
          <w:p>
            <w:pPr>
              <w:pStyle w:val="Normal"/>
              <w:widowControl w:val="false"/>
              <w:spacing w:lineRule="auto" w:line="240"/>
              <w:ind w:hanging="0"/>
              <w:jc w:val="center"/>
              <w:rPr>
                <w:b/>
                <w:sz w:val="16"/>
                <w:szCs w:val="16"/>
              </w:rPr>
            </w:pPr>
            <w:r>
              <w:rPr>
                <w:b/>
                <w:sz w:val="16"/>
                <w:szCs w:val="16"/>
              </w:rPr>
              <w:t>Подрядчик:</w:t>
            </w:r>
          </w:p>
        </w:tc>
      </w:tr>
      <w:tr>
        <w:trPr>
          <w:trHeight w:val="270" w:hRule="atLeast"/>
        </w:trPr>
        <w:tc>
          <w:tcPr>
            <w:tcW w:w="6896" w:type="dxa"/>
            <w:tcBorders/>
          </w:tcPr>
          <w:p>
            <w:pPr>
              <w:pStyle w:val="Normal"/>
              <w:widowControl w:val="false"/>
              <w:spacing w:lineRule="auto" w:line="240"/>
              <w:ind w:hanging="0"/>
              <w:jc w:val="center"/>
              <w:rPr>
                <w:sz w:val="16"/>
                <w:szCs w:val="16"/>
              </w:rPr>
            </w:pPr>
            <w:r>
              <w:rPr>
                <w:sz w:val="16"/>
                <w:szCs w:val="16"/>
              </w:rPr>
              <w:t>______________ /_______________</w:t>
            </w:r>
          </w:p>
        </w:tc>
        <w:tc>
          <w:tcPr>
            <w:tcW w:w="8066" w:type="dxa"/>
            <w:tcBorders/>
          </w:tcPr>
          <w:p>
            <w:pPr>
              <w:pStyle w:val="Normal"/>
              <w:widowControl w:val="false"/>
              <w:spacing w:lineRule="auto" w:line="240"/>
              <w:ind w:hanging="0"/>
              <w:jc w:val="center"/>
              <w:rPr>
                <w:sz w:val="16"/>
                <w:szCs w:val="16"/>
              </w:rPr>
            </w:pPr>
            <w:r>
              <w:rPr>
                <w:sz w:val="16"/>
                <w:szCs w:val="16"/>
              </w:rPr>
              <w:t>_______________ / _______________</w:t>
            </w:r>
          </w:p>
        </w:tc>
      </w:tr>
    </w:tbl>
    <w:p>
      <w:pPr>
        <w:sectPr>
          <w:headerReference w:type="default" r:id="rId12"/>
          <w:headerReference w:type="first" r:id="rId13"/>
          <w:footerReference w:type="default" r:id="rId14"/>
          <w:footerReference w:type="first" r:id="rId15"/>
          <w:footnotePr>
            <w:numFmt w:val="decimal"/>
          </w:footnotePr>
          <w:type w:val="nextPage"/>
          <w:pgSz w:orient="landscape" w:w="16838" w:h="11906"/>
          <w:pgMar w:left="567" w:right="567" w:gutter="0" w:header="567" w:top="1418" w:footer="284" w:bottom="567"/>
          <w:pgNumType w:fmt="decimal"/>
          <w:formProt w:val="false"/>
          <w:textDirection w:val="lrTb"/>
          <w:docGrid w:type="default" w:linePitch="360" w:charSpace="0"/>
        </w:sectPr>
      </w:pPr>
    </w:p>
    <w:p>
      <w:pPr>
        <w:pStyle w:val="Normal"/>
        <w:spacing w:lineRule="auto" w:line="240"/>
        <w:ind w:hanging="0"/>
        <w:jc w:val="left"/>
        <w:rPr>
          <w:bCs/>
          <w:sz w:val="24"/>
          <w:szCs w:val="24"/>
        </w:rPr>
      </w:pPr>
      <w:r>
        <w:rPr>
          <w:bCs/>
          <w:sz w:val="24"/>
          <w:szCs w:val="24"/>
        </w:rPr>
      </w:r>
    </w:p>
    <w:p>
      <w:pPr>
        <w:pStyle w:val="Normal"/>
        <w:spacing w:lineRule="auto" w:line="240"/>
        <w:ind w:hanging="0" w:left="5103"/>
        <w:rPr>
          <w:sz w:val="22"/>
          <w:szCs w:val="22"/>
        </w:rPr>
      </w:pPr>
      <w:r>
        <w:rPr>
          <w:sz w:val="22"/>
          <w:szCs w:val="22"/>
        </w:rPr>
        <w:t>Приложение № 8</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от «____» __________ 20 _ г. № ____</w:t>
      </w:r>
    </w:p>
    <w:p>
      <w:pPr>
        <w:pStyle w:val="Normal"/>
        <w:spacing w:lineRule="auto" w:line="240"/>
        <w:ind w:firstLine="9"/>
        <w:jc w:val="center"/>
        <w:rPr>
          <w:bCs/>
          <w:color w:val="000000"/>
          <w:sz w:val="24"/>
          <w:szCs w:val="24"/>
        </w:rPr>
      </w:pPr>
      <w:r>
        <w:rPr>
          <w:bCs/>
          <w:color w:val="000000"/>
          <w:sz w:val="24"/>
          <w:szCs w:val="24"/>
        </w:rPr>
      </w:r>
    </w:p>
    <w:p>
      <w:pPr>
        <w:pStyle w:val="Normal"/>
        <w:spacing w:lineRule="auto" w:line="240"/>
        <w:ind w:firstLine="9"/>
        <w:jc w:val="center"/>
        <w:rPr>
          <w:b/>
          <w:bCs/>
          <w:sz w:val="23"/>
          <w:szCs w:val="23"/>
        </w:rPr>
      </w:pPr>
      <w:r>
        <w:rPr>
          <w:b/>
          <w:bCs/>
          <w:sz w:val="23"/>
          <w:szCs w:val="23"/>
        </w:rPr>
        <w:t>Перечень передаваемых Давальческих материалов и запасных частей</w:t>
      </w:r>
    </w:p>
    <w:p>
      <w:pPr>
        <w:pStyle w:val="Normal"/>
        <w:spacing w:lineRule="auto" w:line="240"/>
        <w:ind w:firstLine="9"/>
        <w:jc w:val="center"/>
        <w:rPr>
          <w:bCs/>
          <w:sz w:val="23"/>
          <w:szCs w:val="23"/>
        </w:rPr>
      </w:pPr>
      <w:r>
        <w:rPr>
          <w:bCs/>
          <w:sz w:val="23"/>
          <w:szCs w:val="23"/>
        </w:rPr>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4"/>
        <w:gridCol w:w="6236"/>
        <w:gridCol w:w="1283"/>
        <w:gridCol w:w="1517"/>
      </w:tblGrid>
      <w:tr>
        <w:trPr/>
        <w:tc>
          <w:tcPr>
            <w:tcW w:w="5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r>
              <w:rPr>
                <w:bCs/>
                <w:sz w:val="23"/>
                <w:szCs w:val="23"/>
              </w:rPr>
              <w:t xml:space="preserve">№ </w:t>
            </w:r>
            <w:r>
              <w:rPr>
                <w:bCs/>
                <w:sz w:val="23"/>
                <w:szCs w:val="23"/>
              </w:rPr>
              <w:t>п/п</w:t>
            </w:r>
          </w:p>
        </w:tc>
        <w:tc>
          <w:tcPr>
            <w:tcW w:w="62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r>
              <w:rPr>
                <w:bCs/>
                <w:sz w:val="23"/>
                <w:szCs w:val="23"/>
              </w:rPr>
              <w:t>Наименование</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r>
              <w:rPr>
                <w:bCs/>
                <w:sz w:val="23"/>
                <w:szCs w:val="23"/>
              </w:rPr>
              <w:t>Ед.изм.</w:t>
            </w:r>
          </w:p>
        </w:tc>
        <w:tc>
          <w:tcPr>
            <w:tcW w:w="15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firstLine="9"/>
              <w:jc w:val="center"/>
              <w:rPr>
                <w:bCs/>
                <w:sz w:val="23"/>
                <w:szCs w:val="23"/>
              </w:rPr>
            </w:pPr>
            <w:r>
              <w:rPr>
                <w:bCs/>
                <w:sz w:val="23"/>
                <w:szCs w:val="23"/>
              </w:rPr>
              <w:t>Количество</w:t>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rHeight w:val="63" w:hRule="atLeast"/>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r>
        <w:trPr/>
        <w:tc>
          <w:tcPr>
            <w:tcW w:w="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62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28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c>
          <w:tcPr>
            <w:tcW w:w="15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firstLine="9"/>
              <w:jc w:val="center"/>
              <w:rPr>
                <w:bCs/>
                <w:sz w:val="23"/>
                <w:szCs w:val="23"/>
              </w:rPr>
            </w:pPr>
            <w:r>
              <w:rPr>
                <w:bCs/>
                <w:sz w:val="23"/>
                <w:szCs w:val="23"/>
              </w:rPr>
            </w:r>
          </w:p>
        </w:tc>
      </w:tr>
    </w:tbl>
    <w:p>
      <w:pPr>
        <w:pStyle w:val="Normal"/>
        <w:spacing w:lineRule="auto" w:line="240"/>
        <w:ind w:firstLine="9"/>
        <w:jc w:val="center"/>
        <w:rPr>
          <w:bCs/>
          <w:sz w:val="23"/>
          <w:szCs w:val="23"/>
        </w:rPr>
      </w:pPr>
      <w:r>
        <w:rPr>
          <w:bCs/>
          <w:sz w:val="23"/>
          <w:szCs w:val="23"/>
        </w:rPr>
      </w:r>
    </w:p>
    <w:p>
      <w:pPr>
        <w:pStyle w:val="Normal"/>
        <w:spacing w:lineRule="auto" w:line="240"/>
        <w:ind w:firstLine="9"/>
        <w:jc w:val="center"/>
        <w:rPr>
          <w:bCs/>
          <w:sz w:val="23"/>
          <w:szCs w:val="23"/>
        </w:rPr>
      </w:pPr>
      <w:r>
        <w:rPr>
          <w:bCs/>
          <w:sz w:val="23"/>
          <w:szCs w:val="23"/>
        </w:rPr>
      </w:r>
    </w:p>
    <w:p>
      <w:pPr>
        <w:pStyle w:val="Normal"/>
        <w:spacing w:lineRule="auto" w:line="240"/>
        <w:ind w:hanging="0"/>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bCs/>
          <w:sz w:val="24"/>
          <w:szCs w:val="24"/>
        </w:rPr>
      </w:pPr>
      <w:r>
        <w:rPr>
          <w:bCs/>
          <w:sz w:val="24"/>
          <w:szCs w:val="24"/>
        </w:rPr>
      </w:r>
    </w:p>
    <w:p>
      <w:pPr>
        <w:pStyle w:val="Normal"/>
        <w:spacing w:lineRule="auto" w:line="240"/>
        <w:ind w:firstLine="9"/>
        <w:jc w:val="center"/>
        <w:rPr>
          <w:bCs/>
          <w:sz w:val="23"/>
          <w:szCs w:val="23"/>
        </w:rPr>
      </w:pPr>
      <w:r>
        <w:rPr>
          <w:bCs/>
          <w:sz w:val="23"/>
          <w:szCs w:val="23"/>
        </w:rPr>
      </w:r>
    </w:p>
    <w:p>
      <w:pPr>
        <w:pStyle w:val="Normal"/>
        <w:spacing w:lineRule="auto" w:line="240"/>
        <w:ind w:hanging="0" w:left="5103"/>
        <w:rPr>
          <w:sz w:val="22"/>
          <w:szCs w:val="22"/>
        </w:rPr>
      </w:pPr>
      <w:r>
        <w:rPr>
          <w:sz w:val="22"/>
          <w:szCs w:val="22"/>
        </w:rPr>
        <w:t>Приложение № 9</w:t>
      </w:r>
      <w:r>
        <w:br w:type="page"/>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от «____» __________ 20 _ г. № ____</w:t>
      </w:r>
    </w:p>
    <w:p>
      <w:pPr>
        <w:pStyle w:val="Normal"/>
        <w:spacing w:lineRule="auto" w:line="288"/>
        <w:rPr>
          <w:b/>
          <w:sz w:val="24"/>
          <w:szCs w:val="24"/>
        </w:rPr>
      </w:pPr>
      <w:r>
        <w:rPr>
          <w:b/>
          <w:sz w:val="24"/>
          <w:szCs w:val="24"/>
        </w:rPr>
      </w:r>
    </w:p>
    <w:p>
      <w:pPr>
        <w:pStyle w:val="Normal"/>
        <w:spacing w:lineRule="auto" w:line="240"/>
        <w:ind w:hanging="0"/>
        <w:jc w:val="center"/>
        <w:rPr>
          <w:b/>
          <w:sz w:val="22"/>
          <w:szCs w:val="22"/>
        </w:rPr>
      </w:pPr>
      <w:r>
        <w:rPr>
          <w:b/>
          <w:sz w:val="22"/>
          <w:szCs w:val="22"/>
        </w:rPr>
        <w:t>Порядок передачи и учета Давальческих материалов и запасных частей</w:t>
      </w:r>
    </w:p>
    <w:p>
      <w:pPr>
        <w:pStyle w:val="Normal"/>
        <w:spacing w:lineRule="auto" w:line="240"/>
        <w:ind w:firstLine="709"/>
        <w:jc w:val="center"/>
        <w:rPr>
          <w:b/>
          <w:sz w:val="22"/>
          <w:szCs w:val="22"/>
        </w:rPr>
      </w:pPr>
      <w:r>
        <w:rPr>
          <w:b/>
          <w:sz w:val="22"/>
          <w:szCs w:val="22"/>
        </w:rPr>
      </w:r>
    </w:p>
    <w:p>
      <w:pPr>
        <w:pStyle w:val="ListParagraph"/>
        <w:numPr>
          <w:ilvl w:val="0"/>
          <w:numId w:val="9"/>
        </w:numPr>
        <w:tabs>
          <w:tab w:val="clear" w:pos="709"/>
          <w:tab w:val="left" w:pos="1134" w:leader="none"/>
        </w:tabs>
        <w:ind w:firstLine="709" w:left="0"/>
        <w:jc w:val="both"/>
        <w:rPr>
          <w:sz w:val="22"/>
          <w:szCs w:val="22"/>
        </w:rPr>
      </w:pPr>
      <w:r>
        <w:rPr>
          <w:sz w:val="22"/>
          <w:szCs w:val="22"/>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24"/>
        </w:numPr>
        <w:ind w:firstLine="709" w:left="0"/>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24"/>
        </w:numPr>
        <w:ind w:firstLine="709" w:left="0"/>
        <w:jc w:val="both"/>
        <w:rPr>
          <w:sz w:val="22"/>
          <w:szCs w:val="22"/>
        </w:rPr>
      </w:pPr>
      <w:r>
        <w:rPr>
          <w:sz w:val="22"/>
          <w:szCs w:val="22"/>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24"/>
        </w:numPr>
        <w:ind w:firstLine="709" w:left="0"/>
        <w:jc w:val="both"/>
        <w:rPr>
          <w:sz w:val="22"/>
          <w:szCs w:val="22"/>
        </w:rPr>
      </w:pPr>
      <w:r>
        <w:rPr>
          <w:sz w:val="22"/>
          <w:szCs w:val="22"/>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9"/>
        </w:numPr>
        <w:tabs>
          <w:tab w:val="clear" w:pos="709"/>
          <w:tab w:val="left" w:pos="1134" w:leader="none"/>
        </w:tabs>
        <w:ind w:firstLine="709" w:left="0"/>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9"/>
        </w:numPr>
        <w:tabs>
          <w:tab w:val="clear" w:pos="709"/>
          <w:tab w:val="left" w:pos="1134" w:leader="none"/>
        </w:tabs>
        <w:ind w:firstLine="709" w:left="0"/>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9"/>
        </w:numPr>
        <w:tabs>
          <w:tab w:val="clear" w:pos="709"/>
          <w:tab w:val="left" w:pos="1134" w:leader="none"/>
        </w:tabs>
        <w:ind w:firstLine="709" w:left="0"/>
        <w:jc w:val="both"/>
        <w:rPr>
          <w:sz w:val="22"/>
          <w:szCs w:val="22"/>
        </w:rPr>
      </w:pPr>
      <w:r>
        <w:rPr>
          <w:sz w:val="22"/>
          <w:szCs w:val="22"/>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2"/>
          <w:szCs w:val="22"/>
        </w:rPr>
        <w:t>.</w:t>
      </w:r>
    </w:p>
    <w:p>
      <w:pPr>
        <w:pStyle w:val="ListParagraph"/>
        <w:numPr>
          <w:ilvl w:val="0"/>
          <w:numId w:val="9"/>
        </w:numPr>
        <w:tabs>
          <w:tab w:val="clear" w:pos="709"/>
          <w:tab w:val="left" w:pos="1134" w:leader="none"/>
        </w:tabs>
        <w:ind w:firstLine="709" w:left="0"/>
        <w:jc w:val="both"/>
        <w:rPr>
          <w:sz w:val="22"/>
          <w:szCs w:val="22"/>
        </w:rPr>
      </w:pPr>
      <w:r>
        <w:rPr>
          <w:sz w:val="22"/>
          <w:szCs w:val="22"/>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ind w:firstLine="709" w:left="0"/>
        <w:jc w:val="both"/>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szCs w:val="24"/>
              </w:rPr>
            </w:pPr>
            <w:r>
              <w:rPr>
                <w:b/>
                <w:sz w:val="24"/>
                <w:szCs w:val="24"/>
              </w:rPr>
              <w:t>Заказчик:</w:t>
            </w:r>
          </w:p>
        </w:tc>
        <w:tc>
          <w:tcPr>
            <w:tcW w:w="4785" w:type="dxa"/>
            <w:tcBorders/>
          </w:tcPr>
          <w:p>
            <w:pPr>
              <w:pStyle w:val="Normal"/>
              <w:widowControl w:val="false"/>
              <w:spacing w:lineRule="auto" w:line="240"/>
              <w:ind w:hanging="0"/>
              <w:rPr>
                <w:b/>
                <w:sz w:val="24"/>
                <w:szCs w:val="24"/>
              </w:rPr>
            </w:pPr>
            <w:r>
              <w:rPr>
                <w:b/>
                <w:sz w:val="24"/>
                <w:szCs w:val="24"/>
              </w:rPr>
              <w:t>Подрядчик:</w:t>
            </w:r>
          </w:p>
        </w:tc>
      </w:tr>
      <w:tr>
        <w:trPr/>
        <w:tc>
          <w:tcPr>
            <w:tcW w:w="4785" w:type="dxa"/>
            <w:tcBorders/>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c>
          <w:tcPr>
            <w:tcW w:w="4785" w:type="dxa"/>
            <w:tcBorders/>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 / _______________ /</w:t>
            </w:r>
          </w:p>
          <w:p>
            <w:pPr>
              <w:pStyle w:val="Normal"/>
              <w:widowControl w:val="false"/>
              <w:spacing w:lineRule="auto" w:line="240"/>
              <w:ind w:hanging="0"/>
              <w:rPr>
                <w:sz w:val="24"/>
                <w:szCs w:val="24"/>
              </w:rPr>
            </w:pPr>
            <w:r>
              <w:rPr>
                <w:sz w:val="24"/>
                <w:szCs w:val="24"/>
              </w:rPr>
            </w:r>
          </w:p>
        </w:tc>
      </w:tr>
    </w:tbl>
    <w:p>
      <w:pPr>
        <w:pStyle w:val="Normal"/>
        <w:spacing w:lineRule="auto" w:line="240"/>
        <w:ind w:hanging="0"/>
        <w:rPr>
          <w:sz w:val="24"/>
          <w:szCs w:val="24"/>
        </w:rPr>
      </w:pPr>
      <w:r>
        <w:rPr>
          <w:sz w:val="24"/>
          <w:szCs w:val="24"/>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highlight w:val="lightGray"/>
        </w:rPr>
      </w:pPr>
      <w:r>
        <w:rPr>
          <w:sz w:val="22"/>
          <w:szCs w:val="22"/>
          <w:highlight w:val="lightGray"/>
        </w:rPr>
      </w:r>
    </w:p>
    <w:p>
      <w:pPr>
        <w:pStyle w:val="Normal"/>
        <w:spacing w:lineRule="auto" w:line="240"/>
        <w:ind w:hanging="0" w:left="5103"/>
        <w:rPr>
          <w:sz w:val="22"/>
          <w:szCs w:val="22"/>
        </w:rPr>
      </w:pPr>
      <w:r>
        <w:rPr>
          <w:sz w:val="22"/>
          <w:szCs w:val="22"/>
        </w:rPr>
        <w:t>Приложение № 10</w:t>
      </w:r>
    </w:p>
    <w:p>
      <w:pPr>
        <w:pStyle w:val="Normal"/>
        <w:spacing w:lineRule="auto" w:line="240"/>
        <w:ind w:hanging="0" w:left="5103"/>
        <w:rPr>
          <w:sz w:val="22"/>
          <w:szCs w:val="22"/>
        </w:rPr>
      </w:pPr>
      <w:r>
        <w:rPr>
          <w:sz w:val="22"/>
          <w:szCs w:val="22"/>
        </w:rPr>
        <w:t xml:space="preserve">к Договору подряда </w:t>
      </w:r>
    </w:p>
    <w:p>
      <w:pPr>
        <w:pStyle w:val="Normal"/>
        <w:spacing w:lineRule="auto" w:line="240"/>
        <w:ind w:hanging="0" w:left="5103"/>
        <w:rPr>
          <w:sz w:val="22"/>
          <w:szCs w:val="22"/>
        </w:rPr>
      </w:pPr>
      <w:r>
        <w:rPr>
          <w:sz w:val="22"/>
          <w:szCs w:val="22"/>
        </w:rPr>
        <w:t xml:space="preserve">от «____» __________ 20 _ г. № ____ </w:t>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jc w:val="center"/>
        <w:rPr>
          <w:b/>
          <w:sz w:val="24"/>
          <w:szCs w:val="24"/>
        </w:rPr>
      </w:pPr>
      <w:r>
        <w:rPr>
          <w:b/>
          <w:sz w:val="24"/>
          <w:szCs w:val="24"/>
        </w:rPr>
        <w:t>Критерии отбора банков-гарантов</w:t>
      </w:r>
    </w:p>
    <w:p>
      <w:pPr>
        <w:pStyle w:val="Normal"/>
        <w:spacing w:lineRule="auto" w:line="240"/>
        <w:rPr>
          <w:sz w:val="24"/>
          <w:szCs w:val="24"/>
        </w:rPr>
      </w:pPr>
      <w:r>
        <w:rPr>
          <w:sz w:val="24"/>
          <w:szCs w:val="24"/>
        </w:rPr>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19"/>
      </w:r>
      <w:r>
        <w:rPr>
          <w:sz w:val="24"/>
          <w:szCs w:val="24"/>
        </w:rPr>
        <w:t>, а также соответствовать следующим критериям:</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16">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20"/>
      </w:r>
      <w:r>
        <w:rPr>
          <w:sz w:val="24"/>
          <w:szCs w:val="24"/>
        </w:rPr>
        <w:t xml:space="preserve">. </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21"/>
      </w:r>
      <w:r>
        <w:rPr>
          <w:sz w:val="24"/>
          <w:szCs w:val="24"/>
        </w:rPr>
        <w:t>.</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rPr>
        <w:footnoteReference w:id="22"/>
      </w:r>
      <w:r>
        <w:rPr>
          <w:sz w:val="24"/>
          <w:szCs w:val="24"/>
        </w:rPr>
        <w:t>.</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33"/>
        </w:numPr>
        <w:tabs>
          <w:tab w:val="clear" w:pos="709"/>
          <w:tab w:val="left" w:pos="1134" w:leader="none"/>
        </w:tabs>
        <w:spacing w:lineRule="auto" w:line="240"/>
        <w:ind w:firstLine="709" w:left="0"/>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3"/>
        </w:numPr>
        <w:tabs>
          <w:tab w:val="clear" w:pos="709"/>
          <w:tab w:val="left" w:pos="1134" w:leader="none"/>
        </w:tabs>
        <w:spacing w:lineRule="auto" w:line="240"/>
        <w:ind w:firstLine="709" w:left="0"/>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3"/>
        </w:numPr>
        <w:tabs>
          <w:tab w:val="clear" w:pos="709"/>
          <w:tab w:val="left" w:pos="1134" w:leader="none"/>
        </w:tabs>
        <w:spacing w:lineRule="auto" w:line="240"/>
        <w:ind w:firstLine="709" w:left="0"/>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3"/>
        </w:numPr>
        <w:tabs>
          <w:tab w:val="clear" w:pos="709"/>
          <w:tab w:val="left" w:pos="1134" w:leader="none"/>
        </w:tabs>
        <w:spacing w:lineRule="auto" w:line="240"/>
        <w:ind w:firstLine="709" w:left="0"/>
        <w:rPr>
          <w:sz w:val="24"/>
          <w:szCs w:val="24"/>
        </w:rPr>
      </w:pPr>
      <w:r>
        <w:rPr>
          <w:sz w:val="24"/>
          <w:szCs w:val="24"/>
        </w:rPr>
        <w:t xml:space="preserve"> </w:t>
      </w:r>
      <w:r>
        <w:rPr>
          <w:sz w:val="24"/>
          <w:szCs w:val="24"/>
        </w:rPr>
        <w:t>ВЭБ.РФ.</w:t>
      </w:r>
    </w:p>
    <w:p>
      <w:pPr>
        <w:pStyle w:val="Normal"/>
        <w:numPr>
          <w:ilvl w:val="1"/>
          <w:numId w:val="33"/>
        </w:numPr>
        <w:tabs>
          <w:tab w:val="clear" w:pos="709"/>
          <w:tab w:val="left" w:pos="1134" w:leader="none"/>
        </w:tabs>
        <w:spacing w:lineRule="auto" w:line="240"/>
        <w:ind w:firstLine="709" w:left="0"/>
        <w:rPr>
          <w:sz w:val="24"/>
          <w:szCs w:val="24"/>
        </w:rPr>
      </w:pPr>
      <w:r>
        <w:rPr>
          <w:sz w:val="24"/>
          <w:szCs w:val="24"/>
        </w:rPr>
        <w:t>Нерезидентов Российской Федерации.</w:t>
      </w:r>
    </w:p>
    <w:p>
      <w:pPr>
        <w:pStyle w:val="Normal"/>
        <w:numPr>
          <w:ilvl w:val="1"/>
          <w:numId w:val="32"/>
        </w:numPr>
        <w:tabs>
          <w:tab w:val="clear" w:pos="709"/>
          <w:tab w:val="left" w:pos="1134" w:leader="none"/>
        </w:tabs>
        <w:spacing w:lineRule="auto" w:line="240"/>
        <w:ind w:firstLine="710" w:left="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left="0" w:right="0"/>
        <w:jc w:val="center"/>
        <w:rPr>
          <w:sz w:val="24"/>
          <w:szCs w:val="24"/>
        </w:rPr>
      </w:pPr>
      <w:r>
        <w:rPr>
          <w:sz w:val="24"/>
          <w:szCs w:val="24"/>
        </w:rPr>
      </w:r>
    </w:p>
    <w:p>
      <w:pPr>
        <w:pStyle w:val="Normal"/>
        <w:spacing w:lineRule="auto" w:line="240" w:before="0" w:after="0"/>
        <w:ind w:hanging="0" w:left="360"/>
        <w:jc w:val="center"/>
        <w:rPr>
          <w:sz w:val="24"/>
          <w:szCs w:val="24"/>
        </w:rPr>
      </w:pPr>
      <w:r>
        <w:rPr>
          <w:rFonts w:eastAsia="Times New Roman" w:cs="Times New Roman"/>
          <w:b/>
          <w:i/>
          <w:sz w:val="24"/>
          <w:szCs w:val="24"/>
          <w:lang w:val="en-US" w:eastAsia="ru-RU"/>
        </w:rPr>
        <w:t>Lim</w:t>
      </w:r>
      <w:r>
        <w:rPr>
          <w:rFonts w:eastAsia="Times New Roman" w:cs="Times New Roman"/>
          <w:b/>
          <w:i/>
          <w:sz w:val="24"/>
          <w:szCs w:val="24"/>
          <w:vertAlign w:val="subscript"/>
          <w:lang w:val="en-US" w:eastAsia="ru-RU"/>
        </w:rPr>
        <w:t>Ai</w:t>
      </w:r>
      <w:r>
        <w:rPr>
          <w:rFonts w:eastAsia="Times New Roman" w:cs="Times New Roman"/>
          <w:b/>
          <w:sz w:val="24"/>
          <w:szCs w:val="24"/>
          <w:vertAlign w:val="subscript"/>
          <w:lang w:eastAsia="ru-RU"/>
        </w:rPr>
        <w:t xml:space="preserve"> </w:t>
      </w:r>
      <w:r>
        <w:rPr>
          <w:rFonts w:eastAsia="Times New Roman" w:cs="Times New Roman"/>
          <w:b/>
          <w:sz w:val="24"/>
          <w:szCs w:val="24"/>
          <w:lang w:eastAsia="ru-RU"/>
        </w:rPr>
        <w:t xml:space="preserve"> = </w:t>
      </w:r>
      <w:r>
        <w:rPr>
          <w:rFonts w:eastAsia="Times New Roman" w:cs="Times New Roman"/>
          <w:b/>
          <w:i/>
          <w:sz w:val="24"/>
          <w:szCs w:val="24"/>
          <w:lang w:val="en-US" w:eastAsia="ru-RU"/>
        </w:rPr>
        <w:t>r</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xml:space="preserve"> </w:t>
      </w:r>
      <w:r>
        <w:rPr>
          <w:rFonts w:eastAsia="Times New Roman" w:cs="Times New Roman"/>
          <w:b/>
          <w:sz w:val="24"/>
          <w:szCs w:val="24"/>
          <w:lang w:eastAsia="ru-RU"/>
        </w:rPr>
        <w:t xml:space="preserve">× </w:t>
      </w:r>
      <w:r>
        <w:rPr>
          <w:rFonts w:eastAsia="Times New Roman" w:cs="Times New Roman"/>
          <w:b/>
          <w:i/>
          <w:sz w:val="24"/>
          <w:szCs w:val="24"/>
          <w:lang w:eastAsia="ru-RU"/>
        </w:rPr>
        <w:t>С</w:t>
      </w:r>
      <w:r>
        <w:rPr>
          <w:rFonts w:eastAsia="Times New Roman" w:cs="Times New Roman"/>
          <w:b/>
          <w:i/>
          <w:sz w:val="24"/>
          <w:szCs w:val="24"/>
          <w:lang w:val="en-US" w:eastAsia="ru-RU"/>
        </w:rPr>
        <w:t>K</w:t>
      </w:r>
      <w:r>
        <w:rPr>
          <w:rFonts w:eastAsia="Times New Roman" w:cs="Times New Roman"/>
          <w:b/>
          <w:i/>
          <w:sz w:val="24"/>
          <w:szCs w:val="24"/>
          <w:vertAlign w:val="subscript"/>
          <w:lang w:val="en-US" w:eastAsia="ru-RU"/>
        </w:rPr>
        <w:t>i</w:t>
      </w:r>
      <w:r>
        <w:rPr>
          <w:rFonts w:eastAsia="Times New Roman" w:cs="Times New Roman"/>
          <w:sz w:val="24"/>
          <w:szCs w:val="24"/>
          <w:lang w:eastAsia="ru-RU"/>
        </w:rPr>
        <w:t>, где</w:t>
      </w:r>
    </w:p>
    <w:p>
      <w:pPr>
        <w:pStyle w:val="Normal"/>
        <w:spacing w:lineRule="auto" w:line="240" w:before="0" w:after="0"/>
        <w:ind w:firstLine="349" w:left="360"/>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3"/>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4"/>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suppressAutoHyphens w:val="true"/>
        <w:bidi w:val="0"/>
        <w:spacing w:lineRule="auto" w:line="240" w:before="0" w:after="0"/>
        <w:ind w:hanging="0"/>
        <w:jc w:val="center"/>
        <w:rPr>
          <w:sz w:val="24"/>
          <w:szCs w:val="24"/>
        </w:rPr>
      </w:pPr>
      <w:r>
        <w:rPr>
          <w:sz w:val="24"/>
          <w:szCs w:val="24"/>
        </w:rPr>
      </w:r>
    </w:p>
    <w:p>
      <w:pPr>
        <w:pStyle w:val="Normal"/>
        <w:widowControl w:val="false"/>
        <w:suppressAutoHyphens w:val="true"/>
        <w:bidi w:val="0"/>
        <w:spacing w:lineRule="auto" w:line="240" w:before="0" w:after="0"/>
        <w:ind w:firstLine="492"/>
        <w:jc w:val="both"/>
        <w:rPr>
          <w:sz w:val="24"/>
          <w:szCs w:val="24"/>
        </w:rPr>
      </w:pPr>
      <w:r>
        <w:rPr>
          <w:sz w:val="24"/>
          <w:szCs w:val="24"/>
        </w:rPr>
      </w:r>
    </w:p>
    <w:tbl>
      <w:tblPr>
        <w:tblW w:w="9637"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42"/>
        <w:gridCol w:w="4994"/>
      </w:tblGrid>
      <w:tr>
        <w:trPr>
          <w:trHeight w:val="1377" w:hRule="atLeast"/>
        </w:trPr>
        <w:tc>
          <w:tcPr>
            <w:tcW w:w="4642" w:type="dxa"/>
            <w:tcBorders/>
            <w:shd w:color="auto" w:fill="auto" w:val="clear"/>
          </w:tcPr>
          <w:p>
            <w:pPr>
              <w:pStyle w:val="Normal"/>
              <w:widowControl w:val="false"/>
              <w:spacing w:lineRule="auto" w:line="240"/>
              <w:rPr>
                <w:b/>
                <w:sz w:val="24"/>
                <w:szCs w:val="24"/>
              </w:rPr>
            </w:pPr>
            <w:r>
              <w:rPr>
                <w:b/>
                <w:sz w:val="24"/>
                <w:szCs w:val="24"/>
              </w:rPr>
              <w:t>Заказчик: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c>
          <w:tcPr>
            <w:tcW w:w="4994" w:type="dxa"/>
            <w:tcBorders/>
            <w:shd w:color="auto" w:fill="auto" w:val="clear"/>
          </w:tcPr>
          <w:p>
            <w:pPr>
              <w:pStyle w:val="Normal"/>
              <w:widowControl w:val="false"/>
              <w:spacing w:lineRule="auto" w:line="240"/>
              <w:rPr>
                <w:b/>
                <w:sz w:val="24"/>
                <w:szCs w:val="24"/>
              </w:rPr>
            </w:pPr>
            <w:r>
              <w:rPr>
                <w:b/>
                <w:sz w:val="24"/>
                <w:szCs w:val="24"/>
              </w:rPr>
              <w:t>Подрядчик: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r>
    </w:tbl>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2"/>
          <w:szCs w:val="22"/>
        </w:rPr>
      </w:pPr>
      <w:r>
        <w:rPr>
          <w:sz w:val="22"/>
          <w:szCs w:val="22"/>
        </w:rPr>
        <w:t>Приложение № 11</w:t>
      </w:r>
    </w:p>
    <w:p>
      <w:pPr>
        <w:pStyle w:val="Normal"/>
        <w:snapToGrid w:val="false"/>
        <w:spacing w:lineRule="auto" w:line="240"/>
        <w:ind w:firstLine="5103"/>
        <w:rPr>
          <w:sz w:val="22"/>
          <w:szCs w:val="22"/>
        </w:rPr>
      </w:pPr>
      <w:r>
        <w:rPr>
          <w:sz w:val="22"/>
          <w:szCs w:val="22"/>
        </w:rPr>
        <w:t>к Договору подряда</w:t>
      </w:r>
    </w:p>
    <w:p>
      <w:pPr>
        <w:pStyle w:val="Normal"/>
        <w:snapToGrid w:val="false"/>
        <w:spacing w:lineRule="auto" w:line="240"/>
        <w:ind w:firstLine="5103"/>
        <w:rPr>
          <w:sz w:val="22"/>
          <w:szCs w:val="22"/>
        </w:rPr>
      </w:pPr>
      <w:r>
        <w:rPr>
          <w:sz w:val="22"/>
          <w:szCs w:val="22"/>
        </w:rPr>
        <w:t>от «____» __________ 20 _ г. № ____</w:t>
      </w:r>
    </w:p>
    <w:p>
      <w:pPr>
        <w:pStyle w:val="Normal"/>
        <w:spacing w:lineRule="auto" w:line="240"/>
        <w:jc w:val="center"/>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27"/>
        </w:numPr>
        <w:tabs>
          <w:tab w:val="clear" w:pos="709"/>
          <w:tab w:val="left" w:pos="284" w:leader="none"/>
        </w:tabs>
        <w:ind w:hanging="0" w:left="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48"/>
        </w:numPr>
        <w:spacing w:lineRule="auto" w:line="240"/>
        <w:ind w:firstLine="709" w:left="0"/>
        <w:rPr>
          <w:sz w:val="24"/>
          <w:szCs w:val="24"/>
        </w:rPr>
      </w:pPr>
      <w:r>
        <w:rPr>
          <w:sz w:val="24"/>
          <w:szCs w:val="24"/>
        </w:rPr>
        <w:t>Перемещение грузов грузоподъемными механизмами Заказчика.</w:t>
      </w:r>
    </w:p>
    <w:p>
      <w:pPr>
        <w:pStyle w:val="Normal"/>
        <w:numPr>
          <w:ilvl w:val="0"/>
          <w:numId w:val="49"/>
        </w:numPr>
        <w:spacing w:lineRule="auto" w:line="240"/>
        <w:ind w:firstLine="709" w:left="0"/>
        <w:rPr>
          <w:sz w:val="24"/>
          <w:szCs w:val="24"/>
        </w:rPr>
      </w:pPr>
      <w:r>
        <w:rPr>
          <w:sz w:val="24"/>
          <w:szCs w:val="24"/>
        </w:rPr>
        <w:t>Коммунальные ресурсы:</w:t>
      </w:r>
    </w:p>
    <w:p>
      <w:pPr>
        <w:pStyle w:val="Normal"/>
        <w:numPr>
          <w:ilvl w:val="1"/>
          <w:numId w:val="50"/>
        </w:numPr>
        <w:spacing w:lineRule="auto" w:line="240"/>
        <w:ind w:firstLine="709" w:left="0"/>
        <w:rPr>
          <w:sz w:val="24"/>
          <w:szCs w:val="24"/>
        </w:rPr>
      </w:pPr>
      <w:r>
        <w:rPr>
          <w:sz w:val="24"/>
          <w:szCs w:val="24"/>
        </w:rPr>
        <w:t>Электроэнергия.</w:t>
      </w:r>
    </w:p>
    <w:p>
      <w:pPr>
        <w:pStyle w:val="Normal"/>
        <w:numPr>
          <w:ilvl w:val="1"/>
          <w:numId w:val="51"/>
        </w:numPr>
        <w:spacing w:lineRule="auto" w:line="240"/>
        <w:ind w:firstLine="709" w:left="0"/>
        <w:rPr>
          <w:sz w:val="24"/>
          <w:szCs w:val="24"/>
        </w:rPr>
      </w:pPr>
      <w:r>
        <w:rPr>
          <w:sz w:val="24"/>
          <w:szCs w:val="24"/>
        </w:rPr>
        <w:t>Водоснабжение и водоотведение.</w:t>
      </w:r>
    </w:p>
    <w:p>
      <w:pPr>
        <w:pStyle w:val="Normal"/>
        <w:numPr>
          <w:ilvl w:val="1"/>
          <w:numId w:val="52"/>
        </w:numPr>
        <w:spacing w:lineRule="auto" w:line="240"/>
        <w:ind w:firstLine="709" w:left="0"/>
        <w:rPr>
          <w:sz w:val="24"/>
          <w:szCs w:val="24"/>
        </w:rPr>
      </w:pPr>
      <w:r>
        <w:rPr>
          <w:sz w:val="24"/>
          <w:szCs w:val="24"/>
        </w:rPr>
        <w:t>Сжатый воздух.</w:t>
      </w:r>
    </w:p>
    <w:p>
      <w:pPr>
        <w:pStyle w:val="Normal"/>
        <w:numPr>
          <w:ilvl w:val="0"/>
          <w:numId w:val="53"/>
        </w:numPr>
        <w:spacing w:lineRule="auto" w:line="240"/>
        <w:ind w:firstLine="709" w:left="0"/>
        <w:rPr>
          <w:sz w:val="24"/>
          <w:szCs w:val="24"/>
        </w:rPr>
      </w:pPr>
      <w:r>
        <w:rPr>
          <w:sz w:val="24"/>
          <w:szCs w:val="24"/>
        </w:rPr>
        <w:t>Обеспечение санитарно-гигиенических и бытовых условий.</w:t>
      </w:r>
    </w:p>
    <w:p>
      <w:pPr>
        <w:pStyle w:val="Normal"/>
        <w:numPr>
          <w:ilvl w:val="0"/>
          <w:numId w:val="54"/>
        </w:numPr>
        <w:spacing w:lineRule="auto" w:line="240"/>
        <w:ind w:firstLine="709" w:left="0"/>
        <w:rPr>
          <w:sz w:val="24"/>
          <w:szCs w:val="24"/>
        </w:rPr>
      </w:pPr>
      <w:r>
        <w:rPr>
          <w:sz w:val="24"/>
          <w:szCs w:val="24"/>
        </w:rPr>
        <w:t>Содержание пожарной и сторожевой охраны.</w:t>
      </w:r>
    </w:p>
    <w:p>
      <w:pPr>
        <w:pStyle w:val="Normal"/>
        <w:numPr>
          <w:ilvl w:val="0"/>
          <w:numId w:val="55"/>
        </w:numPr>
        <w:spacing w:lineRule="auto" w:line="240"/>
        <w:ind w:firstLine="709" w:left="0"/>
        <w:rPr>
          <w:sz w:val="24"/>
          <w:szCs w:val="24"/>
        </w:rPr>
      </w:pPr>
      <w:r>
        <w:rPr>
          <w:sz w:val="24"/>
          <w:szCs w:val="24"/>
        </w:rPr>
        <w:t>Благоустройство и содержание строительных площадок.</w:t>
      </w:r>
    </w:p>
    <w:p>
      <w:pPr>
        <w:pStyle w:val="Normal"/>
        <w:numPr>
          <w:ilvl w:val="0"/>
          <w:numId w:val="56"/>
        </w:numPr>
        <w:spacing w:lineRule="auto" w:line="240"/>
        <w:ind w:firstLine="709" w:left="0"/>
        <w:rPr>
          <w:sz w:val="24"/>
          <w:szCs w:val="24"/>
        </w:rPr>
      </w:pPr>
      <w:r>
        <w:rPr>
          <w:sz w:val="24"/>
          <w:szCs w:val="24"/>
        </w:rPr>
        <w:t>Проведение химического анализа масел.</w:t>
      </w:r>
    </w:p>
    <w:p>
      <w:pPr>
        <w:pStyle w:val="Normal"/>
        <w:numPr>
          <w:ilvl w:val="0"/>
          <w:numId w:val="57"/>
        </w:numPr>
        <w:spacing w:lineRule="auto" w:line="240"/>
        <w:ind w:firstLine="709" w:left="0"/>
        <w:rPr>
          <w:sz w:val="24"/>
          <w:szCs w:val="24"/>
        </w:rPr>
      </w:pPr>
      <w:r>
        <w:rPr>
          <w:sz w:val="24"/>
          <w:szCs w:val="24"/>
        </w:rPr>
        <w:t>Осушение оборудования (проточная часть гидроагрегата).</w:t>
      </w:r>
    </w:p>
    <w:p>
      <w:pPr>
        <w:pStyle w:val="Normal"/>
        <w:numPr>
          <w:ilvl w:val="0"/>
          <w:numId w:val="58"/>
        </w:numPr>
        <w:spacing w:lineRule="auto" w:line="240"/>
        <w:ind w:firstLine="709" w:left="0"/>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59"/>
        </w:numPr>
        <w:spacing w:lineRule="auto" w:line="240"/>
        <w:ind w:firstLine="709" w:left="0"/>
        <w:rPr>
          <w:sz w:val="24"/>
          <w:szCs w:val="24"/>
        </w:rPr>
      </w:pPr>
      <w:r>
        <w:rPr>
          <w:sz w:val="24"/>
          <w:szCs w:val="24"/>
        </w:rPr>
        <w:t>Предоставление помещений:</w:t>
      </w:r>
    </w:p>
    <w:p>
      <w:pPr>
        <w:pStyle w:val="Normal"/>
        <w:numPr>
          <w:ilvl w:val="1"/>
          <w:numId w:val="60"/>
        </w:numPr>
        <w:spacing w:lineRule="auto" w:line="240"/>
        <w:ind w:firstLine="709" w:left="0"/>
        <w:rPr>
          <w:bCs/>
          <w:sz w:val="24"/>
          <w:szCs w:val="24"/>
        </w:rPr>
      </w:pPr>
      <w:r>
        <w:rPr>
          <w:bCs/>
          <w:sz w:val="24"/>
          <w:szCs w:val="24"/>
        </w:rPr>
        <w:t xml:space="preserve">Помещений / площадок для размещения персонала Подрядчика; </w:t>
      </w:r>
    </w:p>
    <w:p>
      <w:pPr>
        <w:pStyle w:val="Normal"/>
        <w:numPr>
          <w:ilvl w:val="1"/>
          <w:numId w:val="61"/>
        </w:numPr>
        <w:spacing w:lineRule="auto" w:line="240"/>
        <w:ind w:firstLine="709" w:left="0"/>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27"/>
        </w:numPr>
        <w:tabs>
          <w:tab w:val="clear" w:pos="709"/>
          <w:tab w:val="left" w:pos="284" w:leader="none"/>
          <w:tab w:val="left" w:pos="1418" w:leader="none"/>
        </w:tabs>
        <w:ind w:hanging="0" w:left="0"/>
        <w:jc w:val="center"/>
        <w:rPr>
          <w:b/>
        </w:rPr>
      </w:pPr>
      <w:r>
        <w:rPr>
          <w:b/>
        </w:rPr>
        <w:t>Порядок предоставления ресурсов и услуг</w:t>
      </w:r>
    </w:p>
    <w:p>
      <w:pPr>
        <w:pStyle w:val="ListParagraph"/>
        <w:numPr>
          <w:ilvl w:val="0"/>
          <w:numId w:val="28"/>
        </w:numPr>
        <w:tabs>
          <w:tab w:val="clear" w:pos="709"/>
          <w:tab w:val="left" w:pos="1134" w:leader="none"/>
          <w:tab w:val="left" w:pos="1418" w:leader="none"/>
        </w:tabs>
        <w:spacing w:before="0" w:after="120"/>
        <w:ind w:firstLine="709" w:left="0"/>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8"/>
        </w:numPr>
        <w:tabs>
          <w:tab w:val="clear" w:pos="709"/>
          <w:tab w:val="left" w:pos="1134" w:leader="none"/>
        </w:tabs>
        <w:spacing w:before="0" w:after="120"/>
        <w:ind w:firstLine="709" w:left="0"/>
        <w:contextualSpacing/>
        <w:rPr>
          <w:u w:val="single"/>
        </w:rPr>
      </w:pPr>
      <w:r>
        <w:rPr>
          <w:u w:val="single"/>
        </w:rPr>
        <w:t>Предоставление ресурсов</w:t>
      </w:r>
    </w:p>
    <w:p>
      <w:pPr>
        <w:pStyle w:val="Normal"/>
        <w:tabs>
          <w:tab w:val="clear" w:pos="709"/>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8"/>
        </w:numPr>
        <w:tabs>
          <w:tab w:val="clear" w:pos="709"/>
          <w:tab w:val="left" w:pos="1134" w:leader="none"/>
        </w:tabs>
        <w:spacing w:before="0" w:after="120"/>
        <w:ind w:firstLine="709" w:left="0"/>
        <w:contextualSpacing/>
        <w:jc w:val="both"/>
        <w:rPr>
          <w:u w:val="single"/>
        </w:rPr>
      </w:pPr>
      <w:r>
        <w:rPr>
          <w:u w:val="single"/>
        </w:rPr>
        <w:t>Обеспечение санитарно-гигиенических и бытовых условий</w:t>
      </w:r>
    </w:p>
    <w:p>
      <w:pPr>
        <w:pStyle w:val="Normal"/>
        <w:tabs>
          <w:tab w:val="clear" w:pos="709"/>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28"/>
        </w:numPr>
        <w:tabs>
          <w:tab w:val="clear" w:pos="709"/>
          <w:tab w:val="left" w:pos="1134" w:leader="none"/>
        </w:tabs>
        <w:spacing w:lineRule="auto" w:line="240" w:before="0" w:after="120"/>
        <w:ind w:firstLine="709" w:left="0"/>
        <w:rPr>
          <w:sz w:val="24"/>
          <w:szCs w:val="24"/>
          <w:u w:val="single"/>
        </w:rPr>
      </w:pPr>
      <w:r>
        <w:rPr>
          <w:sz w:val="24"/>
          <w:szCs w:val="24"/>
          <w:u w:val="single"/>
        </w:rPr>
        <w:t>Содержание пожарной и сторожевой охраны</w:t>
      </w:r>
    </w:p>
    <w:p>
      <w:pPr>
        <w:pStyle w:val="Normal"/>
        <w:tabs>
          <w:tab w:val="clear" w:pos="709"/>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8"/>
        </w:numPr>
        <w:tabs>
          <w:tab w:val="clear" w:pos="709"/>
          <w:tab w:val="left" w:pos="1134" w:leader="none"/>
        </w:tabs>
        <w:spacing w:lineRule="auto" w:line="240" w:before="0" w:after="120"/>
        <w:ind w:firstLine="709" w:left="0"/>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9"/>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9"/>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8"/>
        </w:numPr>
        <w:tabs>
          <w:tab w:val="clear" w:pos="709"/>
          <w:tab w:val="left" w:pos="1134" w:leader="none"/>
          <w:tab w:val="left" w:pos="1418" w:leader="none"/>
        </w:tabs>
        <w:spacing w:lineRule="auto" w:line="240" w:before="0" w:after="120"/>
        <w:ind w:firstLine="709" w:left="0"/>
        <w:rPr>
          <w:sz w:val="24"/>
          <w:szCs w:val="24"/>
          <w:u w:val="single"/>
        </w:rPr>
      </w:pPr>
      <w:r>
        <w:rPr>
          <w:sz w:val="24"/>
          <w:szCs w:val="24"/>
          <w:u w:val="single"/>
        </w:rPr>
        <w:t>Проведение химического анализа масел</w:t>
      </w:r>
    </w:p>
    <w:p>
      <w:pPr>
        <w:pStyle w:val="Normal"/>
        <w:tabs>
          <w:tab w:val="clear" w:pos="709"/>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8"/>
        </w:numPr>
        <w:tabs>
          <w:tab w:val="clear" w:pos="709"/>
          <w:tab w:val="left" w:pos="1134" w:leader="none"/>
          <w:tab w:val="left" w:pos="1418" w:leader="none"/>
        </w:tabs>
        <w:spacing w:lineRule="auto" w:line="240" w:before="0" w:after="120"/>
        <w:ind w:firstLine="709" w:left="0"/>
        <w:rPr>
          <w:sz w:val="24"/>
          <w:szCs w:val="24"/>
          <w:u w:val="single"/>
        </w:rPr>
      </w:pPr>
      <w:r>
        <w:rPr>
          <w:sz w:val="24"/>
          <w:szCs w:val="24"/>
          <w:u w:val="single"/>
        </w:rPr>
        <w:t>Осушение оборудования (проточная часть гидроагрегата)</w:t>
      </w:r>
    </w:p>
    <w:p>
      <w:pPr>
        <w:pStyle w:val="Normal"/>
        <w:tabs>
          <w:tab w:val="clear" w:pos="709"/>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8"/>
        </w:numPr>
        <w:tabs>
          <w:tab w:val="clear" w:pos="709"/>
          <w:tab w:val="left" w:pos="1134" w:leader="none"/>
        </w:tabs>
        <w:spacing w:lineRule="auto" w:line="240" w:before="0" w:after="120"/>
        <w:ind w:firstLine="709" w:left="0"/>
        <w:rPr>
          <w:sz w:val="24"/>
          <w:szCs w:val="24"/>
          <w:u w:val="single"/>
        </w:rPr>
      </w:pPr>
      <w:r>
        <w:rPr>
          <w:sz w:val="24"/>
          <w:szCs w:val="24"/>
          <w:u w:val="single"/>
        </w:rPr>
        <w:t>Порядок предоставления помещений</w:t>
      </w:r>
    </w:p>
    <w:p>
      <w:pPr>
        <w:pStyle w:val="Normal"/>
        <w:tabs>
          <w:tab w:val="clear" w:pos="709"/>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9639"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Заказчик: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Подрядчик: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c>
          <w:tcPr>
            <w:tcW w:w="4995"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r>
    </w:tbl>
    <w:p>
      <w:pPr>
        <w:pStyle w:val="Normal"/>
        <w:spacing w:lineRule="auto" w:line="240"/>
        <w:ind w:hanging="0" w:left="5103"/>
        <w:rPr>
          <w:sz w:val="24"/>
          <w:szCs w:val="24"/>
        </w:rPr>
      </w:pPr>
      <w:r>
        <w:rPr>
          <w:sz w:val="24"/>
          <w:szCs w:val="24"/>
        </w:rPr>
      </w:r>
    </w:p>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4"/>
          <w:szCs w:val="24"/>
          <w:highlight w:val="lightGray"/>
        </w:rPr>
      </w:pPr>
      <w:r>
        <w:rPr>
          <w:sz w:val="24"/>
          <w:szCs w:val="24"/>
          <w:highlight w:val="lightGray"/>
        </w:rPr>
        <w:t>Приложение № 12</w:t>
      </w:r>
    </w:p>
    <w:p>
      <w:pPr>
        <w:pStyle w:val="Normal"/>
        <w:snapToGrid w:val="false"/>
        <w:spacing w:lineRule="auto" w:line="240"/>
        <w:ind w:firstLine="5103"/>
        <w:rPr>
          <w:sz w:val="24"/>
          <w:szCs w:val="24"/>
          <w:highlight w:val="lightGray"/>
        </w:rPr>
      </w:pPr>
      <w:r>
        <w:rPr>
          <w:sz w:val="24"/>
          <w:szCs w:val="24"/>
          <w:highlight w:val="lightGray"/>
        </w:rPr>
        <w:t>к Договору подряда</w:t>
      </w:r>
    </w:p>
    <w:p>
      <w:pPr>
        <w:pStyle w:val="Normal"/>
        <w:snapToGrid w:val="false"/>
        <w:spacing w:lineRule="auto" w:line="240"/>
        <w:ind w:firstLine="5103"/>
        <w:rPr>
          <w:sz w:val="24"/>
          <w:szCs w:val="24"/>
          <w:highlight w:val="lightGray"/>
        </w:rPr>
      </w:pPr>
      <w:r>
        <w:rPr>
          <w:sz w:val="24"/>
          <w:szCs w:val="24"/>
          <w:highlight w:val="lightGray"/>
        </w:rPr>
        <w:t>от «____» __________ 20 _ г. № ____</w:t>
      </w:r>
    </w:p>
    <w:p>
      <w:pPr>
        <w:pStyle w:val="Normal"/>
        <w:spacing w:lineRule="auto" w:line="240"/>
        <w:jc w:val="right"/>
        <w:rPr>
          <w:sz w:val="24"/>
          <w:szCs w:val="24"/>
          <w:highlight w:val="lightGray"/>
        </w:rPr>
      </w:pPr>
      <w:r>
        <w:rPr>
          <w:sz w:val="24"/>
          <w:szCs w:val="24"/>
          <w:highlight w:val="lightGray"/>
        </w:rPr>
      </w:r>
    </w:p>
    <w:p>
      <w:pPr>
        <w:pStyle w:val="Normal"/>
        <w:spacing w:lineRule="auto" w:line="240"/>
        <w:ind w:firstLine="709"/>
        <w:jc w:val="center"/>
        <w:rPr>
          <w:sz w:val="24"/>
          <w:szCs w:val="24"/>
          <w:highlight w:val="lightGray"/>
        </w:rPr>
      </w:pPr>
      <w:r>
        <w:rPr>
          <w:sz w:val="24"/>
          <w:szCs w:val="24"/>
          <w:highlight w:val="lightGray"/>
        </w:rPr>
      </w:r>
    </w:p>
    <w:p>
      <w:pPr>
        <w:pStyle w:val="Normal"/>
        <w:spacing w:lineRule="auto" w:line="240"/>
        <w:ind w:firstLine="709"/>
        <w:jc w:val="center"/>
        <w:rPr>
          <w:b/>
          <w:sz w:val="24"/>
          <w:szCs w:val="24"/>
        </w:rPr>
      </w:pPr>
      <w:r>
        <w:rPr>
          <w:b/>
          <w:sz w:val="24"/>
          <w:szCs w:val="24"/>
        </w:rPr>
        <w:br/>
      </w:r>
      <w:bookmarkStart w:id="47" w:name="_Toc122678954_Копия_5"/>
      <w:r>
        <w:rPr>
          <w:b/>
          <w:sz w:val="24"/>
          <w:szCs w:val="24"/>
        </w:rPr>
        <w:t>Методика расчета упущенной выгоды (выручки)</w:t>
      </w:r>
      <w:bookmarkEnd w:id="47"/>
      <w:r>
        <w:rPr>
          <w:b/>
          <w:sz w:val="24"/>
          <w:szCs w:val="24"/>
        </w:rPr>
        <w:t xml:space="preserve"> </w:t>
      </w:r>
    </w:p>
    <w:p>
      <w:pPr>
        <w:pStyle w:val="Normal"/>
        <w:spacing w:lineRule="auto" w:line="240"/>
        <w:ind w:firstLine="709"/>
        <w:jc w:val="center"/>
        <w:rPr>
          <w:b/>
          <w:sz w:val="24"/>
          <w:szCs w:val="24"/>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отпового рынка Дальнего Востока</w:t>
      </w:r>
    </w:p>
    <w:p>
      <w:pPr>
        <w:pStyle w:val="Normal"/>
        <w:spacing w:lineRule="auto" w:line="240"/>
        <w:ind w:firstLine="709"/>
        <w:jc w:val="center"/>
        <w:rPr>
          <w:sz w:val="24"/>
          <w:szCs w:val="24"/>
        </w:rPr>
      </w:pPr>
      <w:r>
        <w:rPr>
          <w:sz w:val="24"/>
          <w:szCs w:val="24"/>
        </w:rPr>
      </w:r>
    </w:p>
    <w:p>
      <w:pPr>
        <w:pStyle w:val="Normal"/>
        <w:spacing w:lineRule="auto" w:line="240"/>
        <w:ind w:firstLine="709"/>
        <w:rPr>
          <w:sz w:val="24"/>
          <w:szCs w:val="24"/>
        </w:rPr>
      </w:pPr>
      <w:r>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Normal"/>
        <w:spacing w:lineRule="auto" w:line="240"/>
        <w:ind w:firstLine="709"/>
        <w:rPr>
          <w:sz w:val="24"/>
          <w:szCs w:val="24"/>
        </w:rPr>
      </w:pPr>
      <w:r>
        <w:rPr>
          <w:sz w:val="24"/>
          <w:szCs w:val="24"/>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spacing w:lineRule="auto" w:line="240"/>
        <w:ind w:firstLine="709"/>
        <w:rPr>
          <w:sz w:val="24"/>
          <w:szCs w:val="24"/>
        </w:rPr>
      </w:pPr>
      <w:r>
        <w:rPr>
          <w:sz w:val="24"/>
          <w:szCs w:val="24"/>
        </w:rPr>
        <w:t xml:space="preserve"> </w:t>
      </w:r>
      <w:r>
        <w:rPr>
          <w:sz w:val="24"/>
          <w:szCs w:val="24"/>
        </w:rPr>
        <w:t xml:space="preserve">В заявках должны быть указаны: </w:t>
      </w:r>
    </w:p>
    <w:p>
      <w:pPr>
        <w:pStyle w:val="Normal"/>
        <w:numPr>
          <w:ilvl w:val="0"/>
          <w:numId w:val="31"/>
        </w:numPr>
        <w:spacing w:lineRule="auto" w:line="240"/>
        <w:ind w:firstLine="709" w:left="0"/>
        <w:rPr>
          <w:bCs/>
          <w:sz w:val="24"/>
          <w:szCs w:val="24"/>
        </w:rPr>
      </w:pPr>
      <w:r>
        <w:rPr>
          <w:bCs/>
          <w:sz w:val="24"/>
          <w:szCs w:val="24"/>
        </w:rPr>
        <w:t>номер заявки;</w:t>
      </w:r>
    </w:p>
    <w:p>
      <w:pPr>
        <w:pStyle w:val="Normal"/>
        <w:numPr>
          <w:ilvl w:val="0"/>
          <w:numId w:val="31"/>
        </w:numPr>
        <w:spacing w:lineRule="auto" w:line="240"/>
        <w:ind w:firstLine="709" w:left="0"/>
        <w:rPr>
          <w:bCs/>
          <w:sz w:val="24"/>
          <w:szCs w:val="24"/>
        </w:rPr>
      </w:pPr>
      <w:r>
        <w:rPr>
          <w:bCs/>
          <w:sz w:val="24"/>
          <w:szCs w:val="24"/>
        </w:rPr>
        <w:t>подающее предприятие;</w:t>
      </w:r>
    </w:p>
    <w:p>
      <w:pPr>
        <w:pStyle w:val="Normal"/>
        <w:numPr>
          <w:ilvl w:val="0"/>
          <w:numId w:val="31"/>
        </w:numPr>
        <w:spacing w:lineRule="auto" w:line="240"/>
        <w:ind w:firstLine="709" w:left="0"/>
        <w:rPr>
          <w:bCs/>
          <w:sz w:val="24"/>
          <w:szCs w:val="24"/>
        </w:rPr>
      </w:pPr>
      <w:r>
        <w:rPr>
          <w:bCs/>
          <w:sz w:val="24"/>
          <w:szCs w:val="24"/>
        </w:rPr>
        <w:t>оборудование, по которому фиксируется изменение эксплуатационного состояния или технологического режима работы;</w:t>
      </w:r>
    </w:p>
    <w:p>
      <w:pPr>
        <w:pStyle w:val="Normal"/>
        <w:numPr>
          <w:ilvl w:val="0"/>
          <w:numId w:val="31"/>
        </w:numPr>
        <w:spacing w:lineRule="auto" w:line="240"/>
        <w:ind w:firstLine="709" w:left="0"/>
        <w:rPr>
          <w:bCs/>
          <w:sz w:val="24"/>
          <w:szCs w:val="24"/>
        </w:rPr>
      </w:pPr>
      <w:r>
        <w:rPr>
          <w:bCs/>
          <w:sz w:val="24"/>
          <w:szCs w:val="24"/>
        </w:rPr>
        <w:t>величина снижения максимальной мощности;</w:t>
      </w:r>
    </w:p>
    <w:p>
      <w:pPr>
        <w:pStyle w:val="Normal"/>
        <w:numPr>
          <w:ilvl w:val="0"/>
          <w:numId w:val="31"/>
        </w:numPr>
        <w:spacing w:lineRule="auto" w:line="240"/>
        <w:ind w:firstLine="709" w:left="0"/>
        <w:rPr>
          <w:bCs/>
          <w:sz w:val="24"/>
          <w:szCs w:val="24"/>
        </w:rPr>
      </w:pPr>
      <w:r>
        <w:rPr>
          <w:bCs/>
          <w:sz w:val="24"/>
          <w:szCs w:val="24"/>
        </w:rPr>
        <w:t>содержание работ;</w:t>
      </w:r>
    </w:p>
    <w:p>
      <w:pPr>
        <w:pStyle w:val="Normal"/>
        <w:numPr>
          <w:ilvl w:val="0"/>
          <w:numId w:val="31"/>
        </w:numPr>
        <w:spacing w:lineRule="auto" w:line="240"/>
        <w:ind w:firstLine="709" w:left="0"/>
        <w:rPr>
          <w:bCs/>
          <w:sz w:val="24"/>
          <w:szCs w:val="24"/>
        </w:rPr>
      </w:pPr>
      <w:r>
        <w:rPr>
          <w:bCs/>
          <w:sz w:val="24"/>
          <w:szCs w:val="24"/>
        </w:rPr>
        <w:t>время подачи заявки;</w:t>
      </w:r>
    </w:p>
    <w:p>
      <w:pPr>
        <w:pStyle w:val="Normal"/>
        <w:numPr>
          <w:ilvl w:val="0"/>
          <w:numId w:val="31"/>
        </w:numPr>
        <w:spacing w:lineRule="auto" w:line="240"/>
        <w:ind w:firstLine="709" w:left="0"/>
        <w:rPr>
          <w:bCs/>
          <w:sz w:val="24"/>
          <w:szCs w:val="24"/>
        </w:rPr>
      </w:pPr>
      <w:r>
        <w:rPr>
          <w:bCs/>
          <w:sz w:val="24"/>
          <w:szCs w:val="24"/>
        </w:rPr>
        <w:t>время начала и конца действия заявки и др.</w:t>
      </w:r>
    </w:p>
    <w:p>
      <w:pPr>
        <w:pStyle w:val="Normal"/>
        <w:spacing w:lineRule="auto" w:line="240"/>
        <w:ind w:firstLine="709"/>
        <w:rPr>
          <w:sz w:val="24"/>
          <w:szCs w:val="24"/>
        </w:rPr>
      </w:pPr>
      <w:r>
        <w:rPr>
          <w:sz w:val="24"/>
          <w:szCs w:val="24"/>
        </w:rPr>
        <w:t>2.</w:t>
        <w:tab/>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8"/>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9"/>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20"/>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21"/>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22"/>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23"/>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4"/>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5"/>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6"/>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7"/>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8"/>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9"/>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30"/>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31"/>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32"/>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33"/>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4"/>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5"/>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firstLine="567" w:left="0"/>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6"/>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firstLine="567" w:left="0"/>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7"/>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8"/>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9"/>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spacing w:lineRule="auto" w:line="240"/>
        <w:ind w:firstLine="709"/>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40"/>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41"/>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spacing w:lineRule="auto" w:line="240"/>
        <w:ind w:firstLine="709"/>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spacing w:lineRule="auto" w:line="240"/>
              <w:rPr>
                <w:b/>
                <w:sz w:val="24"/>
                <w:szCs w:val="24"/>
              </w:rPr>
            </w:pPr>
            <w:r>
              <w:rPr>
                <w:b/>
                <w:sz w:val="24"/>
                <w:szCs w:val="24"/>
              </w:rPr>
              <w:t>Заказчик:</w:t>
            </w:r>
          </w:p>
        </w:tc>
        <w:tc>
          <w:tcPr>
            <w:tcW w:w="8789" w:type="dxa"/>
            <w:tcBorders/>
          </w:tcPr>
          <w:p>
            <w:pPr>
              <w:pStyle w:val="Normal"/>
              <w:widowControl w:val="false"/>
              <w:spacing w:lineRule="auto" w:line="240"/>
              <w:rPr>
                <w:b/>
                <w:sz w:val="24"/>
                <w:szCs w:val="24"/>
              </w:rPr>
            </w:pPr>
            <w:r>
              <w:rPr>
                <w:b/>
                <w:sz w:val="24"/>
                <w:szCs w:val="24"/>
              </w:rPr>
              <w:t>Подрядчик:</w:t>
            </w:r>
          </w:p>
        </w:tc>
      </w:tr>
      <w:tr>
        <w:trPr>
          <w:trHeight w:val="95" w:hRule="atLeast"/>
        </w:trPr>
        <w:tc>
          <w:tcPr>
            <w:tcW w:w="4961"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tc>
        <w:tc>
          <w:tcPr>
            <w:tcW w:w="8789"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p>
            <w:pPr>
              <w:pStyle w:val="Normal"/>
              <w:widowControl w:val="false"/>
              <w:spacing w:lineRule="auto" w:line="240"/>
              <w:rPr>
                <w:sz w:val="24"/>
                <w:szCs w:val="24"/>
              </w:rPr>
            </w:pPr>
            <w:r>
              <w:rPr>
                <w:sz w:val="24"/>
                <w:szCs w:val="24"/>
              </w:rPr>
            </w:r>
          </w:p>
        </w:tc>
      </w:tr>
    </w:tbl>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left="5103"/>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firstLine="5387"/>
        <w:rPr>
          <w:sz w:val="24"/>
          <w:szCs w:val="24"/>
        </w:rPr>
      </w:pPr>
      <w:r>
        <w:rPr>
          <w:sz w:val="24"/>
          <w:szCs w:val="24"/>
        </w:rPr>
      </w:r>
    </w:p>
    <w:sectPr>
      <w:headerReference w:type="default" r:id="rId42"/>
      <w:headerReference w:type="first" r:id="rId43"/>
      <w:footerReference w:type="default" r:id="rId44"/>
      <w:footerReference w:type="first" r:id="rId45"/>
      <w:footnotePr>
        <w:numFmt w:val="decimal"/>
      </w:footnotePr>
      <w:type w:val="nextPage"/>
      <w:pgSz w:w="11906" w:h="16838"/>
      <w:pgMar w:left="1418" w:right="567" w:gutter="0" w:header="567" w:top="624" w:footer="284"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9</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45</w:t>
    </w:r>
    <w:r>
      <w:rPr>
        <w:sz w:val="24"/>
        <w:szCs w:val="24"/>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47</w:t>
    </w:r>
    <w:r>
      <w:rPr>
        <w:sz w:val="20"/>
        <w:szCs w:val="20"/>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60</w:t>
    </w:r>
    <w:r>
      <w:rPr>
        <w:sz w:val="20"/>
        <w:szCs w:val="20"/>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Не требуется членство в СРО контрагентов по договорам строительного подряда в следующих случаях:</w:t>
      </w:r>
    </w:p>
    <w:p>
      <w:pPr>
        <w:pStyle w:val="FootnoteText"/>
        <w:tabs>
          <w:tab w:val="clear" w:pos="709"/>
          <w:tab w:val="left" w:pos="284" w:leader="none"/>
        </w:tabs>
        <w:jc w:val="both"/>
        <w:rPr/>
      </w:pPr>
      <w:r>
        <w:rPr/>
        <w:t>-</w:t>
        <w:tab/>
        <w:t>размер обязательств по одному договору не превышает 10 000 000 (десяти миллионов) рублей (по договорам строительного подряда);</w:t>
      </w:r>
    </w:p>
    <w:p>
      <w:pPr>
        <w:pStyle w:val="FootnoteText"/>
        <w:tabs>
          <w:tab w:val="clear" w:pos="709"/>
          <w:tab w:val="left" w:pos="284" w:leader="none"/>
        </w:tabs>
        <w:jc w:val="both"/>
        <w:rPr/>
      </w:pPr>
      <w:r>
        <w:rPr/>
        <w:t>-</w:t>
        <w:tab/>
        <w:t>при выполнении работ по капитальному ремонту объекта, не являющегося объектом капитального строительства;</w:t>
      </w:r>
    </w:p>
    <w:p>
      <w:pPr>
        <w:pStyle w:val="FootnoteText"/>
        <w:tabs>
          <w:tab w:val="clear" w:pos="709"/>
          <w:tab w:val="left" w:pos="284" w:leader="none"/>
        </w:tabs>
        <w:jc w:val="both"/>
        <w:rPr/>
      </w:pPr>
      <w:r>
        <w:rPr/>
        <w:t>-</w:t>
        <w:tab/>
        <w:t>при выполнении работ по капитальному ремонту на земельном участке строений и сооружений вспомогательного использования;</w:t>
      </w:r>
    </w:p>
    <w:p>
      <w:pPr>
        <w:pStyle w:val="FootnoteText"/>
        <w:tabs>
          <w:tab w:val="clear" w:pos="709"/>
          <w:tab w:val="left" w:pos="284" w:leader="none"/>
        </w:tabs>
        <w:jc w:val="both"/>
        <w:rPr/>
      </w:pPr>
      <w:r>
        <w:rPr/>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pPr>
        <w:pStyle w:val="FootnoteText"/>
        <w:jc w:val="both"/>
        <w:rPr/>
      </w:pPr>
      <w:r>
        <w:rPr>
          <w:rStyle w:val="Style6"/>
        </w:rPr>
        <w:footnoteRef/>
      </w:r>
      <w:r>
        <w:rPr/>
        <w:t xml:space="preserve"> </w:t>
      </w:r>
      <w:r>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4">
    <w:p>
      <w:pPr>
        <w:pStyle w:val="FootnoteText"/>
        <w:jc w:val="both"/>
        <w:rPr/>
      </w:pPr>
      <w:r>
        <w:rPr>
          <w:rStyle w:val="Style6"/>
        </w:rPr>
        <w:footnoteRef/>
      </w:r>
      <w:r>
        <w:rPr/>
        <w:t xml:space="preserve"> </w:t>
      </w:r>
      <w:r>
        <w:rPr/>
        <w:t>Пункты включаются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jc w:val="both"/>
        <w:rPr/>
      </w:pPr>
      <w:r>
        <w:rPr>
          <w:rFonts w:eastAsia="Times New Roman" w:cs="Times New Roman"/>
          <w:color w:val="auto"/>
          <w:kern w:val="0"/>
          <w:sz w:val="20"/>
          <w:szCs w:val="20"/>
          <w:lang w:val="ru-RU" w:eastAsia="ru-RU" w:bidi="ar-SA"/>
        </w:rPr>
        <w:t>- утилизации плавмусора.</w:t>
      </w:r>
      <w:r>
        <w:rPr/>
        <w:t xml:space="preserve"> </w:t>
      </w:r>
    </w:p>
  </w:footnote>
  <w:footnote w:id="5">
    <w:p>
      <w:pPr>
        <w:pStyle w:val="FootnoteText"/>
        <w:jc w:val="both"/>
        <w:rPr/>
      </w:pPr>
      <w:r>
        <w:rPr>
          <w:rStyle w:val="Style6"/>
        </w:rPr>
        <w:footnoteRef/>
      </w:r>
      <w:r>
        <w:rPr/>
        <w:t xml:space="preserve"> </w:t>
      </w:r>
      <w:r>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6">
    <w:p>
      <w:pPr>
        <w:pStyle w:val="FootnoteText"/>
        <w:jc w:val="both"/>
        <w:rPr>
          <w:highlight w:val="yellow"/>
        </w:rPr>
      </w:pPr>
      <w:r>
        <w:rPr>
          <w:rStyle w:val="Style6"/>
        </w:rPr>
        <w:footnoteRef/>
      </w:r>
      <w:r>
        <w:rPr/>
        <w:t xml:space="preserve"> </w:t>
      </w:r>
      <w:r>
        <w:rPr>
          <w:highlight w:val="lightGray"/>
        </w:rPr>
        <w:t>Условие включается в случае, когда на дату заключения Договора локальные сметные расчеты отсутствуют</w:t>
      </w:r>
      <w:r>
        <w:rPr/>
        <w:t>.</w:t>
      </w:r>
      <w:r>
        <w:rPr>
          <w:highlight w:val="yellow"/>
        </w:rPr>
        <w:t xml:space="preserve"> </w:t>
      </w:r>
    </w:p>
  </w:footnote>
  <w:footnote w:id="7">
    <w:p>
      <w:pPr>
        <w:pStyle w:val="FootnoteText"/>
        <w:jc w:val="both"/>
        <w:rPr/>
      </w:pPr>
      <w:r>
        <w:rPr>
          <w:rStyle w:val="Style6"/>
        </w:rPr>
        <w:footnoteRef/>
      </w:r>
      <w:r>
        <w:rPr/>
        <w:t xml:space="preserve"> </w:t>
      </w:r>
      <w:r>
        <w:rPr>
          <w:highlight w:val="lightGray"/>
        </w:rPr>
        <w:t>Для договоров, заключенных в рамках операционной (текущей) деятельности Заказчика.</w:t>
      </w:r>
    </w:p>
  </w:footnote>
  <w:footnote w:id="8">
    <w:p>
      <w:pPr>
        <w:pStyle w:val="FootnoteText"/>
        <w:jc w:val="both"/>
        <w:rPr/>
      </w:pPr>
      <w:r>
        <w:rPr>
          <w:rStyle w:val="Style6"/>
        </w:rPr>
        <w:footnoteRef/>
      </w:r>
      <w:r>
        <w:rPr/>
        <w:t xml:space="preserve"> </w:t>
      </w:r>
      <w:r>
        <w:rPr>
          <w:highlight w:val="lightGray"/>
        </w:rP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rPr/>
      </w:pPr>
      <w:r>
        <w:rPr>
          <w:rStyle w:val="Style6"/>
        </w:rPr>
        <w:footnoteRef/>
      </w:r>
      <w:r>
        <w:rPr/>
        <w:t xml:space="preserve"> </w:t>
      </w:r>
      <w:r>
        <w:rPr>
          <w:highlight w:val="lightGray"/>
        </w:rPr>
        <w:t>Для договоров, заключенных в рамках операционной (текущей) деятельности Заказчика.</w:t>
      </w:r>
    </w:p>
  </w:footnote>
  <w:footnote w:id="10">
    <w:p>
      <w:pPr>
        <w:pStyle w:val="FootnoteText"/>
        <w:jc w:val="both"/>
        <w:rPr/>
      </w:pPr>
      <w:r>
        <w:rPr>
          <w:rStyle w:val="Style6"/>
        </w:rPr>
        <w:footnoteRef/>
      </w:r>
      <w:r>
        <w:rPr/>
        <w:t xml:space="preserve"> </w:t>
      </w:r>
      <w:r>
        <w:rPr>
          <w:highlight w:val="lightGray"/>
        </w:rPr>
        <w:t>Применяется в случае, если Контрагент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1">
    <w:p>
      <w:pPr>
        <w:pStyle w:val="FootnoteText"/>
        <w:jc w:val="both"/>
        <w:rPr/>
      </w:pPr>
      <w:r>
        <w:rPr>
          <w:rStyle w:val="Style6"/>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2">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13">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14">
    <w:p>
      <w:pPr>
        <w:pStyle w:val="FootnoteText"/>
        <w:jc w:val="both"/>
        <w:rPr/>
      </w:pPr>
      <w:r>
        <w:rPr>
          <w:rStyle w:val="Style6"/>
        </w:rPr>
        <w:footnoteRef/>
      </w:r>
      <w:r>
        <w:rPr/>
        <w:t xml:space="preserve"> </w:t>
      </w:r>
      <w:r>
        <w:rPr/>
        <w:t>С учетом комментариев к пункту 2.3.9 Договора.</w:t>
      </w:r>
    </w:p>
  </w:footnote>
  <w:footnote w:id="15">
    <w:p>
      <w:pPr>
        <w:pStyle w:val="FootnoteText"/>
        <w:jc w:val="both"/>
        <w:rPr/>
      </w:pPr>
      <w:r>
        <w:rPr>
          <w:rStyle w:val="Style6"/>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6">
    <w:p>
      <w:pPr>
        <w:pStyle w:val="FootnoteText"/>
        <w:jc w:val="both"/>
        <w:rPr/>
      </w:pPr>
      <w:r>
        <w:rPr>
          <w:rStyle w:val="Style6"/>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7">
    <w:p>
      <w:pPr>
        <w:pStyle w:val="FootnoteText"/>
        <w:rPr/>
      </w:pPr>
      <w:r>
        <w:rPr>
          <w:rStyle w:val="Style6"/>
        </w:rPr>
        <w:footnoteRef/>
      </w:r>
      <w:r>
        <w:rPr/>
        <w:t xml:space="preserve"> </w:t>
      </w:r>
      <w:r>
        <w:rPr/>
        <w:t>В</w:t>
      </w:r>
      <w:r>
        <w:rPr>
          <w:rFonts w:eastAsia="Times New Roman" w:cs="Times New Roman"/>
          <w:color w:val="auto"/>
          <w:kern w:val="0"/>
          <w:sz w:val="20"/>
          <w:szCs w:val="20"/>
          <w:lang w:val="ru-RU" w:eastAsia="ru-RU" w:bidi="ar-SA"/>
        </w:rPr>
        <w:t>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xml:space="preserve">- утилизации плавмусора. </w:t>
      </w:r>
    </w:p>
  </w:footnote>
  <w:footnote w:id="18">
    <w:p>
      <w:pPr>
        <w:pStyle w:val="Normal"/>
        <w:spacing w:lineRule="auto" w:line="240"/>
        <w:ind w:hanging="0"/>
        <w:rPr>
          <w:sz w:val="24"/>
          <w:szCs w:val="24"/>
        </w:rPr>
      </w:pPr>
      <w:r>
        <w:rPr>
          <w:rStyle w:val="Style6"/>
        </w:rPr>
        <w:t></w:t>
      </w:r>
      <w:r>
        <w:rPr>
          <w:rStyle w:val="Style6"/>
        </w:rPr>
        <w:t></w:t>
      </w:r>
      <w:r>
        <w:rP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pPr>
        <w:pStyle w:val="FootnoteText"/>
        <w:rPr/>
      </w:pPr>
      <w:r>
        <w:rPr/>
      </w:r>
    </w:p>
  </w:footnote>
  <w:footnote w:id="19">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Общества http://zakupki.rushydro.ru/PublicContent/Section/6</w:t>
      </w:r>
    </w:p>
  </w:footnote>
  <w:footnote w:id="20">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1">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22">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23">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4">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6">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2">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7">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8">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3">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34"/>
    <w:lvlOverride w:ilvl="0">
      <w:startOverride w:val="1"/>
    </w:lvlOverride>
  </w:num>
  <w:num w:numId="49">
    <w:abstractNumId w:val="34"/>
  </w:num>
  <w:num w:numId="50">
    <w:abstractNumId w:val="34"/>
  </w:num>
  <w:num w:numId="51">
    <w:abstractNumId w:val="34"/>
  </w:num>
  <w:num w:numId="52">
    <w:abstractNumId w:val="34"/>
  </w:num>
  <w:num w:numId="53">
    <w:abstractNumId w:val="34"/>
  </w:num>
  <w:num w:numId="54">
    <w:abstractNumId w:val="34"/>
  </w:num>
  <w:num w:numId="55">
    <w:abstractNumId w:val="34"/>
  </w:num>
  <w:num w:numId="56">
    <w:abstractNumId w:val="34"/>
  </w:num>
  <w:num w:numId="57">
    <w:abstractNumId w:val="34"/>
  </w:num>
  <w:num w:numId="58">
    <w:abstractNumId w:val="34"/>
  </w:num>
  <w:num w:numId="59">
    <w:abstractNumId w:val="34"/>
  </w:num>
  <w:num w:numId="60">
    <w:abstractNumId w:val="34"/>
  </w:num>
  <w:num w:numId="61">
    <w:abstractNumId w:val="34"/>
  </w:num>
</w:numbering>
</file>

<file path=word/settings.xml><?xml version="1.0" encoding="utf-8"?>
<w:settings xmlns:w="http://schemas.openxmlformats.org/wordprocessingml/2006/main">
  <w:zoom w:percent="13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unhideWhenUsed/>
    <w:qFormat/>
    <w:rPr/>
  </w:style>
  <w:style w:type="character" w:styleId="Style6">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uiPriority w:val="99"/>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Текст Знак"/>
    <w:basedOn w:val="DefaultParagraphFont"/>
    <w:link w:val="PlainText"/>
    <w:uiPriority w:val="99"/>
    <w:semiHidden/>
    <w:qFormat/>
    <w:rsid w:val="003b200e"/>
    <w:rPr>
      <w:rFonts w:ascii="Calibri" w:hAnsi="Calibri" w:eastAsia="Calibri"/>
      <w:sz w:val="22"/>
      <w:szCs w:val="21"/>
      <w:lang w:eastAsia="en-US"/>
    </w:rPr>
  </w:style>
  <w:style w:type="character" w:styleId="Style17" w:customStyle="1">
    <w:name w:val="Абзац списка Знак"/>
    <w:link w:val="ListParagraph"/>
    <w:uiPriority w:val="34"/>
    <w:qFormat/>
    <w:locked/>
    <w:rsid w:val="008a3fe7"/>
    <w:rPr>
      <w:sz w:val="24"/>
      <w:szCs w:val="24"/>
    </w:rPr>
  </w:style>
  <w:style w:type="character" w:styleId="LineNumber">
    <w:name w:val="Line Number"/>
    <w:rPr/>
  </w:style>
  <w:style w:type="character" w:styleId="FollowedHyperlink">
    <w:name w:val="FollowedHyperlink"/>
    <w:rPr>
      <w:color w:val="800000"/>
      <w:u w:val="single"/>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0">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1"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2"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3"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4"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5"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7"/>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overflowPunct w:val="tru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overflowPunct w:val="tru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uiPriority w:val="9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Title" w:customStyle="1">
    <w:name w:val="Title"/>
    <w:basedOn w:val="Normal"/>
    <w:link w:val="Style11"/>
    <w:qFormat/>
    <w:rsid w:val="00ae674d"/>
    <w:pPr>
      <w:widowControl w:val="false"/>
      <w:overflowPunct w:val="tru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overflowPunct w:val="tru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6"/>
      </w:numPr>
      <w:tabs>
        <w:tab w:val="clear" w:pos="709"/>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6"/>
      </w:numPr>
    </w:pPr>
    <w:rPr/>
  </w:style>
  <w:style w:type="paragraph" w:styleId="-2" w:customStyle="1">
    <w:name w:val="Контракт-подпункт"/>
    <w:basedOn w:val="Normal"/>
    <w:qFormat/>
    <w:rsid w:val="00f43f0d"/>
    <w:pPr>
      <w:numPr>
        <w:ilvl w:val="2"/>
        <w:numId w:val="6"/>
      </w:numPr>
    </w:pPr>
    <w:rPr/>
  </w:style>
  <w:style w:type="paragraph" w:styleId="-3" w:customStyle="1">
    <w:name w:val="Контракт-подподпункт"/>
    <w:basedOn w:val="Normal"/>
    <w:qFormat/>
    <w:rsid w:val="00f43f0d"/>
    <w:pPr>
      <w:numPr>
        <w:ilvl w:val="3"/>
        <w:numId w:val="6"/>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ConsPlusNonformat" w:customStyle="1">
    <w:name w:val="ConsPlusNonformat"/>
    <w:qFormat/>
    <w:rsid w:val="006b6853"/>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PlainText">
    <w:name w:val="Plain Text"/>
    <w:basedOn w:val="Normal"/>
    <w:link w:val="Style16"/>
    <w:uiPriority w:val="99"/>
    <w:semiHidden/>
    <w:unhideWhenUsed/>
    <w:qFormat/>
    <w:rsid w:val="003b200e"/>
    <w:pPr>
      <w:spacing w:lineRule="auto" w:line="240"/>
      <w:ind w:hanging="0"/>
      <w:jc w:val="left"/>
    </w:pPr>
    <w:rPr>
      <w:rFonts w:ascii="Calibri" w:hAnsi="Calibri" w:eastAsia="Calibri"/>
      <w:sz w:val="22"/>
      <w:szCs w:val="21"/>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yperlink" Target="http://www.cbr.ru/" TargetMode="External"/><Relationship Id="rId17" Type="http://schemas.openxmlformats.org/officeDocument/2006/relationships/hyperlink" Target="http://www.cbr.ru/" TargetMode="External"/><Relationship Id="rId18" Type="http://schemas.openxmlformats.org/officeDocument/2006/relationships/image" Target="media/image1.png"/><Relationship Id="rId19" Type="http://schemas.openxmlformats.org/officeDocument/2006/relationships/image" Target="media/image2.wmf"/><Relationship Id="rId20" Type="http://schemas.openxmlformats.org/officeDocument/2006/relationships/image" Target="media/image3.wmf"/><Relationship Id="rId21" Type="http://schemas.openxmlformats.org/officeDocument/2006/relationships/image" Target="media/image4.wmf"/><Relationship Id="rId22" Type="http://schemas.openxmlformats.org/officeDocument/2006/relationships/image" Target="media/image5.wmf"/><Relationship Id="rId23" Type="http://schemas.openxmlformats.org/officeDocument/2006/relationships/image" Target="media/image6.wmf"/><Relationship Id="rId24" Type="http://schemas.openxmlformats.org/officeDocument/2006/relationships/image" Target="media/image7.wmf"/><Relationship Id="rId25" Type="http://schemas.openxmlformats.org/officeDocument/2006/relationships/image" Target="media/image8.wmf"/><Relationship Id="rId26" Type="http://schemas.openxmlformats.org/officeDocument/2006/relationships/image" Target="media/image9.wmf"/><Relationship Id="rId27" Type="http://schemas.openxmlformats.org/officeDocument/2006/relationships/image" Target="media/image10.wmf"/><Relationship Id="rId28" Type="http://schemas.openxmlformats.org/officeDocument/2006/relationships/image" Target="media/image11.wmf"/><Relationship Id="rId29" Type="http://schemas.openxmlformats.org/officeDocument/2006/relationships/image" Target="media/image12.wmf"/><Relationship Id="rId30" Type="http://schemas.openxmlformats.org/officeDocument/2006/relationships/image" Target="media/image13.wmf"/><Relationship Id="rId31" Type="http://schemas.openxmlformats.org/officeDocument/2006/relationships/image" Target="media/image14.wmf"/><Relationship Id="rId32" Type="http://schemas.openxmlformats.org/officeDocument/2006/relationships/image" Target="media/image15.wmf"/><Relationship Id="rId33" Type="http://schemas.openxmlformats.org/officeDocument/2006/relationships/image" Target="media/image16.wmf"/><Relationship Id="rId34" Type="http://schemas.openxmlformats.org/officeDocument/2006/relationships/image" Target="media/image17.wmf"/><Relationship Id="rId35" Type="http://schemas.openxmlformats.org/officeDocument/2006/relationships/image" Target="media/image18.wmf"/><Relationship Id="rId36" Type="http://schemas.openxmlformats.org/officeDocument/2006/relationships/image" Target="media/image19.wmf"/><Relationship Id="rId37" Type="http://schemas.openxmlformats.org/officeDocument/2006/relationships/image" Target="media/image20.wmf"/><Relationship Id="rId38" Type="http://schemas.openxmlformats.org/officeDocument/2006/relationships/image" Target="media/image21.wmf"/><Relationship Id="rId39" Type="http://schemas.openxmlformats.org/officeDocument/2006/relationships/image" Target="media/image22.wmf"/><Relationship Id="rId40" Type="http://schemas.openxmlformats.org/officeDocument/2006/relationships/image" Target="media/image21.wmf"/><Relationship Id="rId41" Type="http://schemas.openxmlformats.org/officeDocument/2006/relationships/image" Target="media/image22.wmf"/><Relationship Id="rId42" Type="http://schemas.openxmlformats.org/officeDocument/2006/relationships/header" Target="header7.xml"/><Relationship Id="rId43" Type="http://schemas.openxmlformats.org/officeDocument/2006/relationships/header" Target="header8.xml"/><Relationship Id="rId44" Type="http://schemas.openxmlformats.org/officeDocument/2006/relationships/footer" Target="footer6.xml"/><Relationship Id="rId45" Type="http://schemas.openxmlformats.org/officeDocument/2006/relationships/footer" Target="footer7.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Relationship Id="rId52" Type="http://schemas.openxmlformats.org/officeDocument/2006/relationships/customXml" Target="../customXml/item2.xml"/><Relationship Id="rId53" Type="http://schemas.openxmlformats.org/officeDocument/2006/relationships/customXml" Target="../customXml/item3.xml"/><Relationship Id="rId54" Type="http://schemas.openxmlformats.org/officeDocument/2006/relationships/customXml" Target="../customXml/item4.xml"/><Relationship Id="rId55"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EB75E-50BC-4392-8316-239F88A3A548}"/>
</file>

<file path=customXml/itemProps2.xml><?xml version="1.0" encoding="utf-8"?>
<ds:datastoreItem xmlns:ds="http://schemas.openxmlformats.org/officeDocument/2006/customXml" ds:itemID="{49D51074-EE40-483D-BE1C-66974CA10E24}"/>
</file>

<file path=customXml/itemProps3.xml><?xml version="1.0" encoding="utf-8"?>
<ds:datastoreItem xmlns:ds="http://schemas.openxmlformats.org/officeDocument/2006/customXml" ds:itemID="{0AFA0D1E-01BD-4B0A-B285-A9E147B082EF}">
  <ds:schemaRefs>
    <ds:schemaRef ds:uri="http://schemas.openxmlformats.org/officeDocument/2006/bibliography"/>
  </ds:schemaRefs>
</ds:datastoreItem>
</file>

<file path=customXml/itemProps4.xml><?xml version="1.0" encoding="utf-8"?>
<ds:datastoreItem xmlns:ds="http://schemas.openxmlformats.org/officeDocument/2006/customXml" ds:itemID="{21FED578-BC61-4072-8C8C-1093E81A50EA}">
  <ds:schemaRefs>
    <ds:schemaRef ds:uri="http://schemas.openxmlformats.org/officeDocument/2006/bibliography"/>
  </ds:schemaRefs>
</ds:datastoreItem>
</file>

<file path=customXml/itemProps5.xml><?xml version="1.0" encoding="utf-8"?>
<ds:datastoreItem xmlns:ds="http://schemas.openxmlformats.org/officeDocument/2006/customXml" ds:itemID="{903C9BD7-52AC-43E6-AC52-544EB14C9346}"/>
</file>

<file path=docProps/app.xml><?xml version="1.0" encoding="utf-8"?>
<Properties xmlns="http://schemas.openxmlformats.org/officeDocument/2006/extended-properties" xmlns:vt="http://schemas.openxmlformats.org/officeDocument/2006/docPropsVTypes">
  <Template>Normal</Template>
  <TotalTime>176</TotalTime>
  <Application>AlterOffice/2026.2.0.0$Linux_X86_64 LibreOffice_project/bc4ef1adf80b36c7a6365f8ed6cbf29021361edd</Application>
  <AppVersion>15.0000</AppVersion>
  <Pages>60</Pages>
  <Words>19644</Words>
  <Characters>140227</Characters>
  <CharactersWithSpaces>151232</CharactersWithSpaces>
  <Paragraphs>1118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2023-06-13T10:58:00Z</dcterms:created>
  <dc:creator>UK VoHEC</dc:creator>
  <dc:description/>
  <dc:language>ru-RU</dc:language>
  <cp:lastModifiedBy>golovachevamvi@corp.gidroogk.com</cp:lastModifiedBy>
  <cp:lastPrinted>2017-07-18T10:53:00Z</cp:lastPrinted>
  <dcterms:modified xsi:type="dcterms:W3CDTF">2026-09-21T08:57:22Z</dcterms:modified>
  <cp:revision>39</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