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4.xml" ContentType="application/vnd.openxmlformats-officedocument.wordprocessingml.header+xml"/>
  <Override PartName="/word/theme/theme1.xml" ContentType="application/vnd.openxmlformats-officedocument.theme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="http://schemas.openxmlformats.org/wordprocessingml/2006/main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xmlns:w10="urn:schemas-microsoft-com:office:word" xmlns:wp14="http://schemas.microsoft.com/office/word/2010/wordprocessingDrawing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body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  <w:r>
        <w:rPr>
          <w:rFonts w:eastAsia="Calibri"/>
          <w:b/>
          <w:bCs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bCs/>
          <w:sz w:val="26"/>
          <w:szCs w:val="26"/>
        </w:rPr>
      </w:r>
      <w:r>
        <w:rPr>
          <w:rFonts w:eastAsia="Calibri"/>
          <w:b/>
          <w:bCs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bCs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Технические требования на поставку МТР</w:t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 w:left="284"/>
        <w:jc w:val="center"/>
        <w:rPr>
          <w:rFonts w:eastAsia="Calibri"/>
          <w:sz w:val="26"/>
          <w:szCs w:val="26"/>
        </w:rPr>
      </w:pPr>
      <w:r>
        <w:rPr>
          <w:sz w:val="26"/>
          <w:szCs w:val="26"/>
        </w:rPr>
        <w:t xml:space="preserve">Поставка </w:t>
      </w:r>
      <w:r>
        <w:rPr>
          <w:sz w:val="26"/>
          <w:szCs w:val="26"/>
        </w:rPr>
        <w:t xml:space="preserve">Снегоболотохода</w:t>
      </w:r>
      <w:r>
        <w:rPr>
          <w:sz w:val="26"/>
          <w:szCs w:val="26"/>
        </w:rPr>
        <w:t xml:space="preserve"> в г.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Якутск</w:t>
      </w:r>
      <w:r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для нужд АО</w:t>
      </w:r>
      <w:r>
        <w:rPr>
          <w:rFonts w:eastAsia="Calibri"/>
          <w:bCs/>
          <w:sz w:val="26"/>
          <w:szCs w:val="26"/>
        </w:rPr>
        <w:t xml:space="preserve"> «Сахаэнерго»</w:t>
      </w:r>
      <w:r>
        <w:rPr>
          <w:rFonts w:eastAsia="Calibri"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rPr>
          <w:rFonts w:eastAsia="Calibri"/>
          <w:b/>
          <w:sz w:val="26"/>
          <w:szCs w:val="26"/>
        </w:rPr>
      </w:pPr>
      <w:r>
        <w:rPr>
          <w:rFonts w:eastAsia="Calibri"/>
          <w:b/>
          <w:sz w:val="26"/>
          <w:szCs w:val="26"/>
        </w:rPr>
        <w:t xml:space="preserve">                                                  </w:t>
      </w:r>
      <w:r>
        <w:rPr>
          <w:rFonts w:eastAsia="Calibri"/>
          <w:b/>
          <w:sz w:val="26"/>
          <w:szCs w:val="26"/>
        </w:rPr>
      </w:r>
    </w:p>
    <w:p>
      <w:pPr>
        <w:keepNext w:val="true"/>
        <w:keepLines w:val="true"/>
        <w:pBdr/>
        <w:spacing/>
        <w:ind w:right="281"/>
        <w:jc w:val="center"/>
        <w:rPr>
          <w:sz w:val="26"/>
          <w:szCs w:val="26"/>
        </w:rPr>
      </w:pPr>
      <w:r>
        <w:rPr>
          <w:sz w:val="26"/>
          <w:szCs w:val="26"/>
        </w:rPr>
        <w:br w:type="page" w:clear="all"/>
      </w:r>
      <w:r>
        <w:rPr>
          <w:sz w:val="26"/>
          <w:szCs w:val="26"/>
        </w:rPr>
      </w:r>
    </w:p>
    <w:p>
      <w:pPr>
        <w:pBdr/>
        <w:spacing/>
        <w:ind/>
        <w:jc w:val="center"/>
        <w:rPr>
          <w:b/>
        </w:rPr>
      </w:pPr>
      <w:r>
        <w:rPr>
          <w:b/>
        </w:rPr>
        <w:t xml:space="preserve">СОДЕРЖАНИЕ</w:t>
      </w:r>
      <w:r>
        <w:rPr>
          <w:b/>
        </w:rPr>
      </w:r>
    </w:p>
    <w:p>
      <w:pPr>
        <w:pStyle w:val="826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pPr>
      <w:r>
        <w:rPr>
          <w:rFonts w:cstheme="majorHAnsi"/>
          <w:b w:val="0"/>
          <w:i/>
        </w:rPr>
        <w:fldChar w:fldCharType="begin"/>
      </w:r>
      <w:r>
        <w:rPr>
          <w:rFonts w:cstheme="majorHAnsi"/>
          <w:b w:val="0"/>
          <w:i/>
        </w:rPr>
        <w:instrText xml:space="preserve"> TOC \o "1-4" \h \z \u </w:instrText>
      </w:r>
      <w:r>
        <w:rPr>
          <w:rFonts w:cstheme="majorHAnsi"/>
          <w:b w:val="0"/>
          <w:i/>
        </w:rPr>
        <w:fldChar w:fldCharType="separate"/>
      </w:r>
      <w:hyperlink w:tooltip="#_Toc146783989" w:anchor="_Toc146783989" w:history="1">
        <w:r>
          <w:rPr>
            <w:rStyle w:val="828"/>
          </w:rPr>
          <w:t xml:space="preserve">1.</w:t>
        </w:r>
        <w:r>
          <w:rPr>
            <w:rFonts w:asciiTheme="minorHAnsi" w:hAnsiTheme="minorHAnsi" w:eastAsiaTheme="minorEastAsia" w:cstheme="minorBidi"/>
            <w:b w:val="0"/>
            <w:bCs w:val="0"/>
            <w:sz w:val="22"/>
            <w:szCs w:val="22"/>
          </w:rPr>
          <w:tab/>
        </w:r>
        <w:r>
          <w:rPr>
            <w:rStyle w:val="828"/>
          </w:rPr>
          <w:t xml:space="preserve">Общие сведения</w:t>
        </w:r>
        <w:r>
          <w:tab/>
        </w:r>
        <w:r>
          <w:fldChar w:fldCharType="begin"/>
        </w:r>
        <w:r>
          <w:instrText xml:space="preserve"> PAGEREF _Toc146783989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r>
    </w:p>
    <w:p>
      <w:pPr>
        <w:pStyle w:val="839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3990" w:anchor="_Toc146783990" w:history="1">
        <w:r>
          <w:rPr>
            <w:rStyle w:val="828"/>
            <w:rFonts w:eastAsia="Calibri"/>
            <w:bCs/>
            <w:iCs/>
          </w:rPr>
          <w:t xml:space="preserve">1.1.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rFonts w:eastAsia="Calibri"/>
            <w:bCs/>
          </w:rPr>
          <w:t xml:space="preserve">Обозначения и сокращения</w:t>
        </w:r>
        <w:r>
          <w:tab/>
        </w:r>
        <w:r>
          <w:fldChar w:fldCharType="begin"/>
        </w:r>
        <w:r>
          <w:instrText xml:space="preserve"> PAGEREF _Toc146783990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39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3991" w:anchor="_Toc146783991" w:history="1">
        <w:r>
          <w:rPr>
            <w:rStyle w:val="828"/>
            <w:iCs/>
          </w:rPr>
          <w:t xml:space="preserve">1.2.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</w:rPr>
          <w:t xml:space="preserve">Наименование закупаемой продукции: </w:t>
        </w:r>
        <w:r>
          <w:rPr>
            <w:rStyle w:val="828"/>
            <w:i/>
          </w:rPr>
          <w:t xml:space="preserve"> </w:t>
        </w:r>
        <w:r>
          <w:tab/>
        </w:r>
        <w:r>
          <w:fldChar w:fldCharType="begin"/>
        </w:r>
        <w:r>
          <w:instrText xml:space="preserve"> PAGEREF _Toc146783991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39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3992" w:anchor="_Toc146783992" w:history="1">
        <w:r>
          <w:rPr>
            <w:rStyle w:val="828"/>
            <w:rFonts w:eastAsia="Calibri"/>
            <w:bCs/>
            <w:iCs/>
          </w:rPr>
          <w:t xml:space="preserve">1.3.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rFonts w:eastAsia="Calibri"/>
            <w:bCs/>
          </w:rPr>
          <w:t xml:space="preserve">Цель использования закупаемой продукции</w:t>
        </w:r>
        <w:r>
          <w:rPr>
            <w:rStyle w:val="828"/>
            <w:rFonts w:eastAsia="Calibri"/>
            <w:bCs/>
            <w:i/>
          </w:rPr>
          <w:t xml:space="preserve">:</w:t>
        </w:r>
        <w:r>
          <w:rPr>
            <w:rStyle w:val="828"/>
            <w:rFonts w:eastAsia="Calibri"/>
            <w:bCs/>
          </w:rPr>
          <w:t xml:space="preserve">.</w:t>
        </w:r>
        <w:r>
          <w:tab/>
        </w:r>
        <w:r>
          <w:fldChar w:fldCharType="begin"/>
        </w:r>
        <w:r>
          <w:instrText xml:space="preserve"> PAGEREF _Toc146783992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26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pPr>
      <w:r/>
      <w:hyperlink w:tooltip="#_Toc146783993" w:anchor="_Toc146783993" w:history="1">
        <w:r>
          <w:rPr>
            <w:rStyle w:val="828"/>
            <w:rFonts w:eastAsia="Calibri"/>
          </w:rPr>
          <w:t xml:space="preserve">2.</w:t>
        </w:r>
        <w:r>
          <w:rPr>
            <w:rFonts w:asciiTheme="minorHAnsi" w:hAnsiTheme="minorHAnsi" w:eastAsiaTheme="minorEastAsia" w:cstheme="minorBidi"/>
            <w:b w:val="0"/>
            <w:bCs w:val="0"/>
            <w:sz w:val="22"/>
            <w:szCs w:val="22"/>
          </w:rPr>
          <w:tab/>
        </w:r>
        <w:r>
          <w:rPr>
            <w:rStyle w:val="828"/>
            <w:rFonts w:eastAsia="Calibri"/>
          </w:rPr>
          <w:t xml:space="preserve">Требования к продукции</w:t>
        </w:r>
        <w:r>
          <w:tab/>
        </w:r>
        <w:r>
          <w:fldChar w:fldCharType="begin"/>
        </w:r>
        <w:r>
          <w:instrText xml:space="preserve"> PAGEREF _Toc146783993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r>
    </w:p>
    <w:p>
      <w:pPr>
        <w:pStyle w:val="839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3994" w:anchor="_Toc146783994" w:history="1">
        <w:r>
          <w:rPr>
            <w:rStyle w:val="828"/>
            <w:rFonts w:eastAsia="Calibri"/>
            <w:bCs/>
            <w:iCs/>
          </w:rPr>
          <w:t xml:space="preserve">2.1.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rFonts w:eastAsia="Calibri"/>
            <w:bCs/>
          </w:rPr>
          <w:t xml:space="preserve">Требования к объемам и срокам </w:t>
        </w:r>
        <w:r>
          <w:rPr>
            <w:rStyle w:val="828"/>
            <w:rFonts w:eastAsia="Calibri"/>
            <w:bCs/>
          </w:rPr>
          <w:t xml:space="preserve">поставки</w:t>
        </w:r>
        <w:r>
          <w:tab/>
        </w:r>
        <w:r>
          <w:fldChar w:fldCharType="begin"/>
        </w:r>
        <w:r>
          <w:instrText xml:space="preserve"> PAGEREF _Toc146783994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27"/>
        <w:pBdr/>
        <w:spacing/>
        <w:ind/>
        <w:rPr/>
      </w:pPr>
      <w:r/>
      <w:hyperlink w:tooltip="#_Toc146783995" w:anchor="_Toc146783995" w:history="1">
        <w:r>
          <w:rPr>
            <w:rStyle w:val="828"/>
            <w:b w:val="0"/>
          </w:rPr>
          <w:t xml:space="preserve">2.1.1.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b w:val="0"/>
          </w:rPr>
          <w:t xml:space="preserve">Перечень и объем закупаемой продукции</w:t>
        </w:r>
        <w:r>
          <w:tab/>
        </w:r>
        <w:r>
          <w:fldChar w:fldCharType="begin"/>
        </w:r>
        <w:r>
          <w:instrText xml:space="preserve"> PAGEREF _Toc146783995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/>
    </w:p>
    <w:p>
      <w:pPr>
        <w:pStyle w:val="827"/>
        <w:pBdr/>
        <w:spacing/>
        <w:ind/>
        <w:rPr>
          <w:rFonts w:asciiTheme="minorHAnsi" w:hAnsiTheme="minorHAnsi" w:eastAsiaTheme="minorEastAsia" w:cstheme="minorBidi"/>
          <w:b w:val="0"/>
          <w:bCs/>
          <w:sz w:val="22"/>
          <w:szCs w:val="22"/>
        </w:rPr>
      </w:pPr>
      <w:r/>
      <w:hyperlink w:tooltip="#_Toc146783996" w:anchor="_Toc146783996" w:history="1">
        <w:r>
          <w:rPr>
            <w:rStyle w:val="828"/>
          </w:rPr>
          <w:t xml:space="preserve">Таблица 1.1 Перечень и объем закупаемой продукции</w:t>
        </w:r>
        <w:r>
          <w:tab/>
        </w:r>
        <w:r>
          <w:fldChar w:fldCharType="begin"/>
        </w:r>
        <w:r>
          <w:instrText xml:space="preserve"> PAGEREF _Toc146783996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/>
          <w:sz w:val="22"/>
          <w:szCs w:val="22"/>
        </w:rPr>
      </w:r>
    </w:p>
    <w:p>
      <w:pPr>
        <w:pStyle w:val="827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4007" w:anchor="_Toc146784007" w:history="1">
        <w:r>
          <w:rPr>
            <w:rStyle w:val="828"/>
            <w:b w:val="0"/>
          </w:rPr>
          <w:t xml:space="preserve">2.1.2.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b w:val="0"/>
          </w:rPr>
          <w:t xml:space="preserve">Требования к срокам поставки продукции</w:t>
        </w:r>
        <w:r>
          <w:tab/>
        </w:r>
        <w:r>
          <w:fldChar w:fldCharType="begin"/>
        </w:r>
        <w:r>
          <w:instrText xml:space="preserve"> PAGEREF _Toc146784007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27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4008" w:anchor="_Toc146784008" w:history="1">
        <w:r>
          <w:rPr>
            <w:rStyle w:val="828"/>
          </w:rPr>
          <w:t xml:space="preserve">Таблица 2.1 Требования по срокам поставки продукции</w:t>
        </w:r>
        <w:r>
          <w:tab/>
        </w:r>
        <w:r>
          <w:fldChar w:fldCharType="begin"/>
        </w:r>
        <w:r>
          <w:instrText xml:space="preserve"> PAGEREF _Toc146784008 \h </w:instrText>
        </w:r>
        <w:r/>
        <w:r>
          <w:fldChar w:fldCharType="separate"/>
        </w:r>
        <w:r>
          <w:t xml:space="preserve">3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39"/>
        <w:pBdr/>
        <w:spacing/>
        <w:ind/>
        <w:rPr>
          <w:rFonts w:asciiTheme="minorHAnsi" w:hAnsiTheme="minorHAnsi" w:eastAsiaTheme="minorEastAsia" w:cstheme="minorBidi"/>
          <w:sz w:val="22"/>
          <w:szCs w:val="22"/>
        </w:rPr>
      </w:pPr>
      <w:r/>
      <w:hyperlink w:tooltip="#_Toc146784019" w:anchor="_Toc146784019" w:history="1">
        <w:r>
          <w:rPr>
            <w:rStyle w:val="828"/>
            <w:rFonts w:eastAsia="Calibri"/>
            <w:bCs/>
            <w:iCs/>
          </w:rPr>
          <w:t xml:space="preserve">2.2.</w:t>
        </w:r>
        <w:r>
          <w:rPr>
            <w:rFonts w:asciiTheme="minorHAnsi" w:hAnsiTheme="minorHAnsi" w:eastAsiaTheme="minorEastAsia" w:cstheme="minorBidi"/>
            <w:sz w:val="22"/>
            <w:szCs w:val="22"/>
          </w:rPr>
          <w:tab/>
        </w:r>
        <w:r>
          <w:rPr>
            <w:rStyle w:val="828"/>
            <w:rFonts w:eastAsia="Calibri"/>
            <w:bCs/>
          </w:rPr>
          <w:t xml:space="preserve">Требования к качеству продукции</w:t>
        </w:r>
        <w:r>
          <w:tab/>
        </w:r>
        <w:r>
          <w:fldChar w:fldCharType="begin"/>
        </w:r>
        <w:r>
          <w:instrText xml:space="preserve"> PAGEREF _Toc146784019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sz w:val="22"/>
          <w:szCs w:val="22"/>
        </w:rPr>
      </w:r>
    </w:p>
    <w:p>
      <w:pPr>
        <w:pStyle w:val="826"/>
        <w:pBdr/>
        <w:tabs>
          <w:tab w:val="right" w:leader="dot" w:pos="10194"/>
        </w:tabs>
        <w:spacing/>
        <w:ind w:left="567"/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pPr>
      <w:r/>
      <w:hyperlink w:tooltip="#_Toc146784020" w:anchor="_Toc146784020" w:history="1">
        <w:r>
          <w:rPr>
            <w:rStyle w:val="828"/>
            <w:rFonts w:eastAsia="Calibri"/>
            <w:sz w:val="20"/>
            <w:szCs w:val="20"/>
          </w:rPr>
          <w:t xml:space="preserve">Таблица </w:t>
        </w:r>
        <w:r>
          <w:rPr>
            <w:rStyle w:val="828"/>
            <w:rFonts w:eastAsia="Calibri"/>
            <w:sz w:val="20"/>
            <w:szCs w:val="20"/>
          </w:rPr>
          <w:t xml:space="preserve">3</w:t>
        </w:r>
        <w:r>
          <w:rPr>
            <w:rStyle w:val="828"/>
            <w:rFonts w:eastAsia="Calibri"/>
            <w:sz w:val="20"/>
            <w:szCs w:val="20"/>
          </w:rPr>
          <w:t xml:space="preserve">. Требования к </w:t>
        </w:r>
        <w:r>
          <w:rPr>
            <w:rStyle w:val="828"/>
            <w:rFonts w:eastAsia="Calibri"/>
            <w:sz w:val="20"/>
            <w:szCs w:val="20"/>
          </w:rPr>
          <w:t xml:space="preserve">продукции</w:t>
        </w:r>
        <w:r>
          <w:tab/>
        </w:r>
        <w:r>
          <w:fldChar w:fldCharType="begin"/>
        </w:r>
        <w:r>
          <w:instrText xml:space="preserve"> PAGEREF _Toc146784020 \h </w:instrText>
        </w:r>
        <w:r/>
        <w:r>
          <w:fldChar w:fldCharType="separate"/>
        </w:r>
        <w:r>
          <w:t xml:space="preserve">4</w:t>
        </w:r>
        <w:r>
          <w:fldChar w:fldCharType="end"/>
        </w:r>
      </w:hyperlink>
      <w:r/>
      <w:r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r>
    </w:p>
    <w:p>
      <w:pPr>
        <w:pStyle w:val="826"/>
        <w:pBdr/>
        <w:tabs>
          <w:tab w:val="left" w:leader="none" w:pos="567"/>
          <w:tab w:val="right" w:leader="dot" w:pos="10194"/>
        </w:tabs>
        <w:spacing/>
        <w:ind/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pPr>
      <w:r/>
      <w:hyperlink w:tooltip="#_Toc146784037" w:anchor="_Toc146784037" w:history="1">
        <w:r>
          <w:rPr>
            <w:rStyle w:val="828"/>
          </w:rPr>
          <w:t xml:space="preserve">3</w:t>
        </w:r>
        <w:r>
          <w:rPr>
            <w:rStyle w:val="828"/>
          </w:rPr>
          <w:t xml:space="preserve">.</w:t>
        </w:r>
        <w:r>
          <w:rPr>
            <w:rFonts w:asciiTheme="minorHAnsi" w:hAnsiTheme="minorHAnsi" w:eastAsiaTheme="minorEastAsia" w:cstheme="minorBidi"/>
            <w:b w:val="0"/>
            <w:bCs w:val="0"/>
            <w:sz w:val="22"/>
            <w:szCs w:val="22"/>
          </w:rPr>
          <w:tab/>
        </w:r>
        <w:r>
          <w:rPr>
            <w:rStyle w:val="828"/>
          </w:rPr>
          <w:t xml:space="preserve">Перечень продукции с единичными расценками</w:t>
        </w:r>
        <w:r>
          <w:tab/>
        </w:r>
        <w:r>
          <w:fldChar w:fldCharType="begin"/>
        </w:r>
        <w:r>
          <w:instrText xml:space="preserve"> PAGEREF _Toc146784037 \h </w:instrText>
        </w:r>
        <w:r/>
        <w:r>
          <w:fldChar w:fldCharType="separate"/>
        </w:r>
        <w:r>
          <w:rPr>
            <w:b w:val="0"/>
            <w:bCs w:val="0"/>
          </w:rPr>
          <w:t xml:space="preserve">Ошибка! Закладка не определена.</w:t>
        </w:r>
        <w:r>
          <w:fldChar w:fldCharType="end"/>
        </w:r>
      </w:hyperlink>
      <w:r>
        <w:t xml:space="preserve">4</w:t>
      </w:r>
      <w:r>
        <w:rPr>
          <w:rFonts w:asciiTheme="minorHAnsi" w:hAnsiTheme="minorHAnsi" w:eastAsiaTheme="minorEastAsia" w:cstheme="minorBidi"/>
          <w:b w:val="0"/>
          <w:bCs w:val="0"/>
          <w:sz w:val="22"/>
          <w:szCs w:val="22"/>
        </w:rPr>
      </w:r>
    </w:p>
    <w:p>
      <w:pPr>
        <w:pStyle w:val="793"/>
        <w:numPr>
          <w:ilvl w:val="0"/>
          <w:numId w:val="0"/>
        </w:numPr>
        <w:pBdr/>
        <w:spacing/>
        <w:ind/>
        <w:rPr>
          <w:lang w:val="en-US"/>
        </w:rPr>
      </w:pPr>
      <w:r>
        <w:fldChar w:fldCharType="end"/>
      </w:r>
      <w:r>
        <w:rPr>
          <w:lang w:val="en-US"/>
        </w:rPr>
      </w:r>
    </w:p>
    <w:p>
      <w:pPr>
        <w:pStyle w:val="792"/>
        <w:pBdr/>
        <w:spacing/>
        <w:ind w:left="4820"/>
        <w:rPr>
          <w:caps/>
        </w:rPr>
      </w:pPr>
      <w:r>
        <w:rPr>
          <w:i/>
          <w:sz w:val="24"/>
          <w:szCs w:val="24"/>
        </w:rPr>
        <w:br w:type="page" w:clear="all"/>
      </w:r>
      <w:bookmarkStart w:id="0" w:name="_Toc51339692"/>
      <w:r/>
      <w:bookmarkStart w:id="1" w:name="_Toc75446566"/>
      <w:r/>
      <w:bookmarkStart w:id="2" w:name="_Toc124170484"/>
      <w:r/>
      <w:bookmarkStart w:id="3" w:name="_Toc124170616"/>
      <w:r/>
      <w:bookmarkStart w:id="4" w:name="_Toc146783989"/>
      <w:r>
        <w:t xml:space="preserve">Общие сведения</w:t>
      </w:r>
      <w:bookmarkEnd w:id="0"/>
      <w:r/>
      <w:bookmarkEnd w:id="1"/>
      <w:r/>
      <w:bookmarkEnd w:id="2"/>
      <w:r/>
      <w:bookmarkEnd w:id="3"/>
      <w:r/>
      <w:bookmarkEnd w:id="4"/>
      <w:r/>
      <w:r>
        <w:rPr>
          <w:caps/>
        </w:rPr>
      </w:r>
    </w:p>
    <w:p>
      <w:pPr>
        <w:keepNext w:val="true"/>
        <w:numPr>
          <w:ilvl w:val="1"/>
          <w:numId w:val="4"/>
        </w:numPr>
        <w:pBdr/>
        <w:spacing/>
        <w:ind w:firstLine="135"/>
        <w:outlineLvl w:val="3"/>
        <w:rPr>
          <w:rFonts w:eastAsia="Calibri"/>
          <w:b/>
          <w:bCs/>
          <w:sz w:val="24"/>
          <w:szCs w:val="24"/>
        </w:rPr>
      </w:pPr>
      <w:r/>
      <w:bookmarkStart w:id="5" w:name="_Toc46743505"/>
      <w:r/>
      <w:bookmarkStart w:id="6" w:name="_Toc75446567"/>
      <w:r/>
      <w:bookmarkStart w:id="7" w:name="_Toc124170617"/>
      <w:r/>
      <w:bookmarkStart w:id="8" w:name="_Toc146783990"/>
      <w:r>
        <w:rPr>
          <w:rFonts w:eastAsia="Calibri"/>
          <w:b/>
          <w:bCs/>
          <w:sz w:val="24"/>
          <w:szCs w:val="24"/>
        </w:rPr>
        <w:t xml:space="preserve">Обозначения и сокращения</w:t>
      </w:r>
      <w:bookmarkEnd w:id="5"/>
      <w:r/>
      <w:bookmarkEnd w:id="6"/>
      <w:r/>
      <w:bookmarkEnd w:id="7"/>
      <w:r/>
      <w:bookmarkEnd w:id="8"/>
      <w:r/>
      <w:r>
        <w:rPr>
          <w:rFonts w:eastAsia="Calibri"/>
          <w:b/>
          <w:bCs/>
          <w:sz w:val="24"/>
          <w:szCs w:val="24"/>
        </w:rPr>
      </w:r>
    </w:p>
    <w:tbl>
      <w:tblPr>
        <w:tblW w:w="922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ook w:val="04A0" w:firstRow="1" w:lastRow="0" w:firstColumn="1" w:lastColumn="0" w:noHBand="0" w:noVBand="1"/>
      </w:tblPr>
      <w:tblGrid>
        <w:gridCol w:w="1488"/>
        <w:gridCol w:w="7738"/>
      </w:tblGrid>
      <w:tr>
        <w:trPr>
          <w:cantSplit/>
          <w:jc w:val="center"/>
        </w:trPr>
        <w:tc>
          <w:tcPr>
            <w:tcBorders/>
            <w:tcW w:w="1488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bCs/>
                <w:i/>
                <w:iCs/>
                <w:sz w:val="24"/>
                <w:szCs w:val="24"/>
                <w:shd w:val="clear" w:color="auto" w:fill="ffff99"/>
              </w:rPr>
            </w:pPr>
            <w:r>
              <w:rPr>
                <w:i/>
                <w:iCs/>
                <w:sz w:val="24"/>
                <w:szCs w:val="24"/>
              </w:rPr>
              <w:t xml:space="preserve">ТТ</w:t>
            </w:r>
            <w:r>
              <w:rPr>
                <w:bCs/>
                <w:i/>
                <w:iCs/>
                <w:sz w:val="24"/>
                <w:szCs w:val="24"/>
                <w:shd w:val="clear" w:color="auto" w:fill="ffff99"/>
              </w:rPr>
            </w:r>
          </w:p>
        </w:tc>
        <w:tc>
          <w:tcPr>
            <w:tcBorders/>
            <w:tcW w:w="7738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bCs/>
                <w:iCs/>
                <w:sz w:val="24"/>
                <w:szCs w:val="24"/>
                <w:shd w:val="clear" w:color="auto" w:fill="ffff99"/>
              </w:rPr>
            </w:pPr>
            <w:r>
              <w:rPr>
                <w:i/>
                <w:iCs/>
                <w:sz w:val="24"/>
                <w:szCs w:val="24"/>
              </w:rPr>
              <w:t xml:space="preserve">Технические Т</w:t>
            </w:r>
            <w:r>
              <w:rPr>
                <w:i/>
                <w:iCs/>
                <w:sz w:val="24"/>
                <w:szCs w:val="24"/>
              </w:rPr>
              <w:t xml:space="preserve">ребования</w:t>
            </w:r>
            <w:r>
              <w:rPr>
                <w:bCs/>
                <w:iCs/>
                <w:sz w:val="24"/>
                <w:szCs w:val="24"/>
                <w:shd w:val="clear" w:color="auto" w:fill="ffff99"/>
              </w:rPr>
              <w:t xml:space="preserve"> </w:t>
            </w:r>
            <w:r>
              <w:rPr>
                <w:bCs/>
                <w:iCs/>
                <w:sz w:val="24"/>
                <w:szCs w:val="24"/>
                <w:shd w:val="clear" w:color="auto" w:fill="ffff99"/>
              </w:rPr>
            </w:r>
          </w:p>
        </w:tc>
      </w:tr>
      <w:tr>
        <w:trPr>
          <w:cantSplit/>
          <w:jc w:val="center"/>
        </w:trPr>
        <w:tc>
          <w:tcPr>
            <w:tcBorders/>
            <w:tcW w:w="1488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ТС</w:t>
            </w:r>
            <w:r>
              <w:rPr>
                <w:i/>
                <w:iCs/>
                <w:sz w:val="24"/>
                <w:szCs w:val="24"/>
              </w:rPr>
            </w:r>
          </w:p>
        </w:tc>
        <w:tc>
          <w:tcPr>
            <w:tcBorders/>
            <w:tcW w:w="7738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both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 xml:space="preserve">Транспортное средство</w:t>
            </w:r>
            <w:r>
              <w:rPr>
                <w:i/>
                <w:iCs/>
                <w:sz w:val="24"/>
                <w:szCs w:val="24"/>
              </w:rPr>
            </w:r>
          </w:p>
        </w:tc>
      </w:tr>
    </w:tbl>
    <w:p>
      <w:pPr>
        <w:pStyle w:val="795"/>
        <w:pBdr/>
        <w:spacing/>
        <w:ind w:right="565" w:hanging="6" w:left="567"/>
        <w:jc w:val="both"/>
        <w:rPr/>
      </w:pPr>
      <w:r/>
      <w:bookmarkStart w:id="9" w:name="_Toc46743506"/>
      <w:r/>
      <w:bookmarkStart w:id="10" w:name="_Toc75446568"/>
      <w:r/>
      <w:bookmarkStart w:id="11" w:name="_Toc124170618"/>
      <w:r/>
      <w:bookmarkStart w:id="12" w:name="_Toc146783991"/>
      <w:r>
        <w:t xml:space="preserve">Наименование закупаемой продукции</w:t>
      </w:r>
      <w:bookmarkEnd w:id="9"/>
      <w:r/>
      <w:bookmarkEnd w:id="10"/>
      <w:r>
        <w:rPr>
          <w:lang w:val="ru-RU"/>
        </w:rPr>
        <w:t xml:space="preserve">:</w:t>
      </w:r>
      <w:r>
        <w:t xml:space="preserve"> </w:t>
      </w:r>
      <w:bookmarkEnd w:id="11"/>
      <w:r>
        <w:rPr>
          <w:i/>
        </w:rPr>
        <w:t xml:space="preserve"> </w:t>
      </w:r>
      <w:bookmarkStart w:id="13" w:name="_Toc46743507"/>
      <w:r/>
      <w:bookmarkStart w:id="14" w:name="_Toc146783992"/>
      <w:r/>
      <w:bookmarkStart w:id="15" w:name="_Toc124170619"/>
      <w:r/>
      <w:bookmarkStart w:id="16" w:name="_Toc75446569"/>
      <w:r/>
      <w:bookmarkEnd w:id="12"/>
      <w:r>
        <w:rPr>
          <w:b w:val="0"/>
          <w:i/>
          <w:lang w:val="ru-RU"/>
        </w:rPr>
        <w:t xml:space="preserve">Поставка </w:t>
      </w:r>
      <w:r>
        <w:rPr>
          <w:b w:val="0"/>
          <w:i/>
          <w:lang w:val="ru-RU"/>
        </w:rPr>
        <w:t xml:space="preserve">снегоболотохода</w:t>
      </w:r>
      <w:r>
        <w:rPr>
          <w:b w:val="0"/>
          <w:i/>
          <w:lang w:val="ru-RU"/>
        </w:rPr>
        <w:t xml:space="preserve"> в г. Якутск для нужд АО «Сахаэнерго»</w:t>
      </w:r>
      <w:r>
        <w:rPr>
          <w:i/>
          <w:lang w:val="ru-RU"/>
        </w:rPr>
        <w:t xml:space="preserve">.</w:t>
      </w:r>
      <w:r/>
    </w:p>
    <w:p>
      <w:pPr>
        <w:pStyle w:val="795"/>
        <w:pBdr/>
        <w:spacing/>
        <w:ind w:right="565" w:firstLine="0" w:left="567"/>
        <w:jc w:val="both"/>
        <w:rPr>
          <w:b w:val="0"/>
          <w:i/>
          <w:lang w:val="ru-RU"/>
        </w:rPr>
      </w:pPr>
      <w:r>
        <w:t xml:space="preserve">Цель </w:t>
      </w:r>
      <w:bookmarkEnd w:id="13"/>
      <w:r>
        <w:t xml:space="preserve">использования закупаемой продукции</w:t>
      </w:r>
      <w:r>
        <w:rPr>
          <w:i/>
        </w:rPr>
        <w:t xml:space="preserve">: </w:t>
      </w:r>
      <w:r>
        <w:rPr>
          <w:b w:val="0"/>
          <w:i/>
          <w:lang w:val="ru-RU"/>
        </w:rPr>
        <w:t xml:space="preserve">Для доставки </w:t>
      </w:r>
      <w:r>
        <w:rPr>
          <w:b w:val="0"/>
          <w:i/>
          <w:lang w:val="ru-RU"/>
        </w:rPr>
        <w:t xml:space="preserve">оперативного персонала к месту проведения работ</w:t>
      </w:r>
      <w:r>
        <w:rPr>
          <w:b w:val="0"/>
          <w:i/>
          <w:lang w:val="ru-RU"/>
        </w:rPr>
        <w:t xml:space="preserve"> по</w:t>
      </w:r>
      <w:r>
        <w:rPr>
          <w:b w:val="0"/>
          <w:i/>
          <w:lang w:val="ru-RU"/>
        </w:rPr>
        <w:t xml:space="preserve"> </w:t>
      </w:r>
      <w:bookmarkEnd w:id="14"/>
      <w:r/>
      <w:bookmarkEnd w:id="15"/>
      <w:r>
        <w:rPr>
          <w:b w:val="0"/>
          <w:i/>
          <w:lang w:val="ru-RU"/>
        </w:rPr>
        <w:t xml:space="preserve">г. Якутску</w:t>
      </w:r>
      <w:r>
        <w:rPr>
          <w:b w:val="0"/>
          <w:i/>
          <w:lang w:val="ru-RU"/>
        </w:rPr>
        <w:t xml:space="preserve">, для нужд АО «Сахаэнерго».</w:t>
      </w:r>
      <w:r>
        <w:rPr>
          <w:b w:val="0"/>
          <w:i/>
          <w:lang w:val="ru-RU"/>
        </w:rPr>
      </w:r>
    </w:p>
    <w:p>
      <w:pPr>
        <w:pStyle w:val="795"/>
        <w:pBdr/>
        <w:spacing/>
        <w:ind w:firstLine="0" w:left="567"/>
        <w:rPr/>
      </w:pPr>
      <w:r>
        <w:rPr>
          <w:lang w:val="ru-RU"/>
        </w:rPr>
        <w:t xml:space="preserve">Иные </w:t>
      </w:r>
      <w:r>
        <w:t xml:space="preserve">требования и сведения общего характера</w:t>
      </w:r>
      <w:r>
        <w:rPr>
          <w:lang w:val="ru-RU"/>
        </w:rPr>
        <w:t xml:space="preserve"> </w:t>
      </w:r>
      <w:r/>
    </w:p>
    <w:p>
      <w:pPr>
        <w:widowControl w:val="false"/>
        <w:pBdr/>
        <w:tabs>
          <w:tab w:val="left" w:leader="none" w:pos="426"/>
        </w:tabs>
        <w:spacing w:after="120" w:before="120"/>
        <w:ind w:right="565" w:left="567"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1.</w:t>
      </w:r>
      <w:r>
        <w:rPr>
          <w:rFonts w:eastAsia="Calibri"/>
          <w:i/>
          <w:sz w:val="24"/>
          <w:szCs w:val="24"/>
        </w:rPr>
        <w:t xml:space="preserve">4.1.</w:t>
      </w:r>
      <w:r>
        <w:rPr>
          <w:rFonts w:eastAsia="Calibri"/>
          <w:i/>
          <w:sz w:val="24"/>
          <w:szCs w:val="24"/>
        </w:rPr>
        <w:tab/>
        <w:t xml:space="preserve">Указанные в настоящем ТТ ссылки на ТУ, марку (тип) продукции носят описательный, а не обязательный характер. В случае, если Участником предлагается эквивалентная продукция тр</w:t>
      </w:r>
      <w:r>
        <w:rPr>
          <w:rFonts w:eastAsia="Calibri"/>
          <w:i/>
          <w:sz w:val="24"/>
          <w:szCs w:val="24"/>
        </w:rPr>
        <w:t xml:space="preserve">ебуемой Заказчику продукции или ее составных частей, он должен в обязательном порядке в составе своего предложения предоставить подробное техническое описание предлагаемого к поставке эквивалента, в объеме не менее установленных в настоящем ТТ требований. </w:t>
      </w:r>
      <w:r>
        <w:rPr>
          <w:rFonts w:eastAsia="Calibri"/>
          <w:i/>
          <w:sz w:val="24"/>
          <w:szCs w:val="24"/>
        </w:rPr>
      </w:r>
    </w:p>
    <w:p>
      <w:pPr>
        <w:widowControl w:val="false"/>
        <w:pBdr/>
        <w:tabs>
          <w:tab w:val="left" w:leader="none" w:pos="426"/>
        </w:tabs>
        <w:spacing w:after="120" w:before="120"/>
        <w:ind w:right="565" w:left="567"/>
        <w:jc w:val="both"/>
        <w:rPr>
          <w:rFonts w:eastAsia="Calibri"/>
          <w:i/>
          <w:sz w:val="24"/>
          <w:szCs w:val="24"/>
        </w:rPr>
      </w:pPr>
      <w:r>
        <w:rPr>
          <w:rFonts w:eastAsia="Calibri"/>
          <w:i/>
          <w:sz w:val="24"/>
          <w:szCs w:val="24"/>
        </w:rPr>
        <w:t xml:space="preserve">1.4.</w:t>
      </w:r>
      <w:r>
        <w:rPr>
          <w:rFonts w:eastAsia="Calibri"/>
          <w:i/>
          <w:sz w:val="24"/>
          <w:szCs w:val="24"/>
        </w:rPr>
        <w:t xml:space="preserve">2</w:t>
      </w:r>
      <w:r>
        <w:rPr>
          <w:rFonts w:eastAsia="Calibri"/>
          <w:i/>
          <w:sz w:val="24"/>
          <w:szCs w:val="24"/>
        </w:rPr>
        <w:t xml:space="preserve">.</w:t>
      </w:r>
      <w:r>
        <w:rPr>
          <w:rFonts w:eastAsia="Calibri"/>
          <w:i/>
          <w:sz w:val="24"/>
          <w:szCs w:val="24"/>
        </w:rPr>
        <w:tab/>
        <w:t xml:space="preserve">Эквивалентная продукция – это продукция, которая по техническим и функциональным характеристикам не уступает характеристикам, заявленным в документации о закупке, в том числе, по гарантийным срокам и срокам эксплуатации.</w:t>
      </w:r>
      <w:r>
        <w:rPr>
          <w:rFonts w:eastAsia="Calibri"/>
          <w:i/>
          <w:sz w:val="24"/>
          <w:szCs w:val="24"/>
        </w:rPr>
      </w:r>
    </w:p>
    <w:p>
      <w:pPr>
        <w:keepNext w:val="true"/>
        <w:numPr>
          <w:ilvl w:val="0"/>
          <w:numId w:val="4"/>
        </w:numPr>
        <w:pBdr/>
        <w:spacing/>
        <w:ind w:left="4820"/>
        <w:outlineLvl w:val="0"/>
        <w:rPr>
          <w:rFonts w:eastAsia="Calibri"/>
          <w:b/>
          <w:caps/>
          <w:sz w:val="24"/>
          <w:szCs w:val="24"/>
        </w:rPr>
      </w:pPr>
      <w:r/>
      <w:bookmarkStart w:id="17" w:name="_Toc51339693"/>
      <w:r/>
      <w:bookmarkStart w:id="18" w:name="_Toc75446573"/>
      <w:r/>
      <w:bookmarkStart w:id="19" w:name="_Toc124170485"/>
      <w:r/>
      <w:bookmarkStart w:id="20" w:name="_Toc124170620"/>
      <w:r/>
      <w:bookmarkStart w:id="21" w:name="_Toc146783993"/>
      <w:r/>
      <w:bookmarkStart w:id="22" w:name="_Toc50125126"/>
      <w:r/>
      <w:bookmarkStart w:id="23" w:name="_Toc46743510"/>
      <w:r/>
      <w:bookmarkEnd w:id="16"/>
      <w:r>
        <w:rPr>
          <w:rFonts w:eastAsia="Calibri"/>
          <w:b/>
          <w:sz w:val="24"/>
          <w:szCs w:val="24"/>
        </w:rPr>
        <w:t xml:space="preserve">Требования к продукции</w:t>
      </w:r>
      <w:bookmarkEnd w:id="17"/>
      <w:r/>
      <w:bookmarkEnd w:id="18"/>
      <w:r/>
      <w:bookmarkEnd w:id="19"/>
      <w:r/>
      <w:bookmarkEnd w:id="20"/>
      <w:r/>
      <w:bookmarkEnd w:id="21"/>
      <w:r/>
      <w:r>
        <w:rPr>
          <w:rFonts w:eastAsia="Calibri"/>
          <w:b/>
          <w:caps/>
          <w:sz w:val="24"/>
          <w:szCs w:val="24"/>
        </w:rPr>
      </w:r>
    </w:p>
    <w:p>
      <w:pPr>
        <w:keepNext w:val="true"/>
        <w:numPr>
          <w:ilvl w:val="1"/>
          <w:numId w:val="4"/>
        </w:numPr>
        <w:pBdr/>
        <w:spacing/>
        <w:ind w:firstLine="0" w:left="567"/>
        <w:outlineLvl w:val="3"/>
        <w:rPr>
          <w:rFonts w:eastAsia="Calibri"/>
          <w:b/>
          <w:bCs/>
          <w:sz w:val="24"/>
          <w:szCs w:val="24"/>
        </w:rPr>
      </w:pPr>
      <w:r/>
      <w:bookmarkStart w:id="24" w:name="_Toc75446574"/>
      <w:r/>
      <w:bookmarkStart w:id="25" w:name="_Toc124170621"/>
      <w:r/>
      <w:bookmarkStart w:id="26" w:name="_Toc146783994"/>
      <w:r>
        <w:rPr>
          <w:rFonts w:eastAsia="Calibri"/>
          <w:b/>
          <w:bCs/>
          <w:sz w:val="24"/>
          <w:szCs w:val="24"/>
        </w:rPr>
        <w:t xml:space="preserve">Требования к объемам и срокам </w:t>
      </w:r>
      <w:r>
        <w:rPr>
          <w:rFonts w:eastAsia="Calibri"/>
          <w:b/>
          <w:bCs/>
          <w:sz w:val="24"/>
          <w:szCs w:val="24"/>
        </w:rPr>
        <w:t xml:space="preserve">поставки</w:t>
      </w:r>
      <w:bookmarkEnd w:id="24"/>
      <w:r/>
      <w:bookmarkEnd w:id="25"/>
      <w:r/>
      <w:bookmarkEnd w:id="26"/>
      <w:r/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numPr>
          <w:ilvl w:val="2"/>
          <w:numId w:val="4"/>
        </w:numPr>
        <w:pBdr/>
        <w:spacing/>
        <w:ind w:firstLine="0" w:left="567"/>
        <w:outlineLvl w:val="2"/>
        <w:rPr>
          <w:rFonts w:eastAsia="Calibri"/>
          <w:b/>
          <w:sz w:val="24"/>
          <w:szCs w:val="24"/>
        </w:rPr>
      </w:pPr>
      <w:r/>
      <w:bookmarkStart w:id="27" w:name="_Toc75446575"/>
      <w:r/>
      <w:bookmarkStart w:id="28" w:name="_Toc124170486"/>
      <w:r/>
      <w:bookmarkStart w:id="29" w:name="_Toc124170622"/>
      <w:r/>
      <w:bookmarkStart w:id="30" w:name="_Toc146783995"/>
      <w:r>
        <w:rPr>
          <w:rFonts w:eastAsia="Calibri"/>
          <w:b/>
          <w:sz w:val="24"/>
          <w:szCs w:val="24"/>
        </w:rPr>
        <w:t xml:space="preserve">Перечень и объем закупаемой продукции</w:t>
      </w:r>
      <w:bookmarkEnd w:id="27"/>
      <w:r/>
      <w:bookmarkEnd w:id="28"/>
      <w:r/>
      <w:bookmarkEnd w:id="29"/>
      <w:r/>
      <w:bookmarkEnd w:id="30"/>
      <w:r/>
      <w:r>
        <w:rPr>
          <w:rFonts w:eastAsia="Calibri"/>
          <w:b/>
          <w:sz w:val="24"/>
          <w:szCs w:val="24"/>
        </w:rPr>
      </w:r>
    </w:p>
    <w:p>
      <w:pPr>
        <w:keepNext w:val="true"/>
        <w:pBdr/>
        <w:spacing/>
        <w:ind w:left="567"/>
        <w:outlineLvl w:val="0"/>
        <w:rPr>
          <w:rFonts w:eastAsia="Calibri"/>
          <w:sz w:val="24"/>
          <w:szCs w:val="24"/>
        </w:rPr>
      </w:pPr>
      <w:r/>
      <w:bookmarkStart w:id="31" w:name="_Toc51339695"/>
      <w:r/>
      <w:bookmarkStart w:id="32" w:name="_Toc75446576"/>
      <w:r/>
      <w:bookmarkStart w:id="33" w:name="_Toc124170487"/>
      <w:r/>
      <w:bookmarkStart w:id="34" w:name="_Toc124170623"/>
      <w:r/>
      <w:bookmarkStart w:id="35" w:name="_Toc146783996"/>
      <w:r>
        <w:rPr>
          <w:rFonts w:eastAsia="Calibri"/>
          <w:sz w:val="24"/>
          <w:szCs w:val="24"/>
        </w:rPr>
        <w:t xml:space="preserve">Таблица 1.1 Перечень </w:t>
      </w:r>
      <w:bookmarkEnd w:id="31"/>
      <w:r>
        <w:rPr>
          <w:rFonts w:eastAsia="Calibri"/>
          <w:sz w:val="24"/>
          <w:szCs w:val="24"/>
        </w:rPr>
        <w:t xml:space="preserve">и объем закупаемой продукции</w:t>
      </w:r>
      <w:bookmarkEnd w:id="32"/>
      <w:r/>
      <w:bookmarkEnd w:id="33"/>
      <w:r/>
      <w:bookmarkEnd w:id="34"/>
      <w:r/>
      <w:bookmarkEnd w:id="35"/>
      <w:r/>
      <w:r>
        <w:rPr>
          <w:rFonts w:eastAsia="Calibri"/>
          <w:sz w:val="24"/>
          <w:szCs w:val="24"/>
        </w:rPr>
      </w:r>
    </w:p>
    <w:p>
      <w:pPr>
        <w:keepNext w:val="true"/>
        <w:pBdr/>
        <w:spacing/>
        <w:ind/>
        <w:outlineLvl w:val="0"/>
        <w:rPr>
          <w:rFonts w:eastAsia="Calibri"/>
          <w:b/>
          <w:sz w:val="24"/>
          <w:szCs w:val="24"/>
        </w:rPr>
      </w:pPr>
      <w:r>
        <w:rPr>
          <w:rFonts w:eastAsia="Calibri"/>
          <w:b/>
          <w:sz w:val="24"/>
          <w:szCs w:val="24"/>
        </w:rPr>
      </w:r>
      <w:r>
        <w:rPr>
          <w:rFonts w:eastAsia="Calibri"/>
          <w:b/>
          <w:sz w:val="24"/>
          <w:szCs w:val="24"/>
        </w:rPr>
      </w:r>
    </w:p>
    <w:tbl>
      <w:tblPr>
        <w:tblW w:w="10065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6946"/>
        <w:gridCol w:w="992"/>
        <w:gridCol w:w="1560"/>
      </w:tblGrid>
      <w:tr>
        <w:trPr/>
        <w:tc>
          <w:tcPr>
            <w:tcBorders/>
            <w:tcW w:w="567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</w:t>
            </w:r>
            <w:r>
              <w:rPr>
                <w:sz w:val="24"/>
                <w:szCs w:val="24"/>
              </w:rPr>
            </w:r>
          </w:p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п/п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6946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992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Единица измерения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1560" w:type="dxa"/>
            <w:vAlign w:val="center"/>
            <w:textDirection w:val="lrTb"/>
            <w:noWrap w:val="false"/>
          </w:tcPr>
          <w:p>
            <w:pPr>
              <w:keepNext w:val="true"/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Количество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6946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99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b/>
                <w:sz w:val="24"/>
                <w:szCs w:val="24"/>
              </w:rPr>
            </w:r>
          </w:p>
        </w:tc>
        <w:tc>
          <w:tcPr>
            <w:tcBorders/>
            <w:tcW w:w="156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b/>
                <w:sz w:val="24"/>
                <w:szCs w:val="24"/>
              </w:rPr>
            </w:r>
          </w:p>
        </w:tc>
      </w:tr>
      <w:tr>
        <w:trPr/>
        <w:tc>
          <w:tcPr>
            <w:tcBorders/>
            <w:tcW w:w="567" w:type="dxa"/>
            <w:textDirection w:val="lrTb"/>
            <w:noWrap w:val="false"/>
          </w:tcPr>
          <w:p>
            <w:pPr>
              <w:numPr>
                <w:ilvl w:val="0"/>
                <w:numId w:val="11"/>
              </w:numPr>
              <w:pBdr/>
              <w:spacing/>
              <w:ind/>
              <w:contextualSpacing w:val="tru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6946" w:type="dxa"/>
            <w:vAlign w:val="center"/>
            <w:textDirection w:val="lrTb"/>
            <w:noWrap w:val="false"/>
          </w:tcPr>
          <w:p>
            <w:pPr>
              <w:keepNext w:val="true"/>
              <w:keepLines w:val="true"/>
              <w:pBdr/>
              <w:spacing/>
              <w:ind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Снегоболотоход</w:t>
            </w:r>
            <w:r>
              <w:rPr>
                <w:color w:val="000000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99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шт.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5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1</w:t>
            </w:r>
            <w:r>
              <w:rPr>
                <w:color w:val="000000"/>
                <w:sz w:val="24"/>
                <w:szCs w:val="24"/>
              </w:rPr>
            </w:r>
          </w:p>
        </w:tc>
      </w:tr>
    </w:tbl>
    <w:p>
      <w:pPr>
        <w:keepNext w:val="true"/>
        <w:pBdr/>
        <w:spacing/>
        <w:ind w:hanging="426" w:left="426"/>
        <w:outlineLvl w:val="2"/>
        <w:rPr>
          <w:rFonts w:eastAsia="Calibri"/>
          <w:b/>
          <w:sz w:val="24"/>
          <w:szCs w:val="24"/>
        </w:rPr>
      </w:pPr>
      <w:r/>
      <w:bookmarkStart w:id="36" w:name="_Toc51339696"/>
      <w:r/>
      <w:bookmarkStart w:id="37" w:name="_Toc124170488"/>
      <w:r/>
      <w:bookmarkStart w:id="38" w:name="_Toc124170624"/>
      <w:r/>
      <w:bookmarkStart w:id="39" w:name="_Toc75446578"/>
      <w:r/>
      <w:r>
        <w:rPr>
          <w:rFonts w:eastAsia="Calibri"/>
          <w:b/>
          <w:sz w:val="24"/>
          <w:szCs w:val="24"/>
        </w:rPr>
      </w:r>
    </w:p>
    <w:p>
      <w:pPr>
        <w:keepNext w:val="true"/>
        <w:numPr>
          <w:ilvl w:val="2"/>
          <w:numId w:val="4"/>
        </w:numPr>
        <w:pBdr/>
        <w:spacing/>
        <w:ind w:firstLine="0" w:left="567"/>
        <w:outlineLvl w:val="2"/>
        <w:rPr>
          <w:rFonts w:eastAsia="Calibri"/>
          <w:b/>
          <w:sz w:val="24"/>
          <w:szCs w:val="24"/>
        </w:rPr>
      </w:pPr>
      <w:r/>
      <w:bookmarkStart w:id="40" w:name="_Toc146784007"/>
      <w:r>
        <w:rPr>
          <w:rFonts w:eastAsia="Calibri"/>
          <w:b/>
          <w:sz w:val="24"/>
          <w:szCs w:val="24"/>
        </w:rPr>
        <w:t xml:space="preserve">Требования </w:t>
      </w:r>
      <w:bookmarkEnd w:id="36"/>
      <w:r>
        <w:rPr>
          <w:rFonts w:eastAsia="Calibri"/>
          <w:b/>
          <w:sz w:val="24"/>
          <w:szCs w:val="24"/>
        </w:rPr>
        <w:t xml:space="preserve">к срокам поставки продукции</w:t>
      </w:r>
      <w:bookmarkEnd w:id="37"/>
      <w:r/>
      <w:bookmarkEnd w:id="38"/>
      <w:r/>
      <w:bookmarkEnd w:id="40"/>
      <w:r>
        <w:rPr>
          <w:rFonts w:eastAsia="Calibri"/>
          <w:b/>
          <w:sz w:val="24"/>
          <w:szCs w:val="24"/>
        </w:rPr>
        <w:t xml:space="preserve"> </w:t>
      </w:r>
      <w:bookmarkStart w:id="41" w:name="_Toc50125127"/>
      <w:r/>
      <w:bookmarkStart w:id="42" w:name="_Toc51339697"/>
      <w:r/>
      <w:bookmarkStart w:id="43" w:name="_Toc75446579"/>
      <w:r/>
      <w:bookmarkEnd w:id="22"/>
      <w:r/>
      <w:bookmarkEnd w:id="39"/>
      <w:r/>
      <w:r>
        <w:rPr>
          <w:rFonts w:eastAsia="Calibri"/>
          <w:b/>
          <w:sz w:val="24"/>
          <w:szCs w:val="24"/>
        </w:rPr>
      </w:r>
    </w:p>
    <w:p>
      <w:pPr>
        <w:keepNext w:val="true"/>
        <w:pBdr/>
        <w:spacing/>
        <w:ind w:left="567"/>
        <w:outlineLvl w:val="2"/>
        <w:rPr>
          <w:rFonts w:eastAsia="Calibri"/>
          <w:sz w:val="24"/>
          <w:szCs w:val="24"/>
        </w:rPr>
      </w:pPr>
      <w:r/>
      <w:bookmarkStart w:id="44" w:name="_Toc124170489"/>
      <w:r/>
      <w:bookmarkStart w:id="45" w:name="_Toc124170625"/>
      <w:r/>
      <w:bookmarkStart w:id="46" w:name="_Toc146784008"/>
      <w:r>
        <w:rPr>
          <w:rFonts w:eastAsia="Calibri"/>
          <w:sz w:val="24"/>
          <w:szCs w:val="24"/>
        </w:rPr>
        <w:t xml:space="preserve">Таблица 2.1 </w:t>
      </w:r>
      <w:bookmarkStart w:id="47" w:name="_Hlk50465284"/>
      <w:r>
        <w:rPr>
          <w:rFonts w:eastAsia="Calibri"/>
          <w:sz w:val="24"/>
          <w:szCs w:val="24"/>
        </w:rPr>
        <w:t xml:space="preserve">Требования по срокам </w:t>
      </w:r>
      <w:bookmarkEnd w:id="41"/>
      <w:r/>
      <w:bookmarkEnd w:id="42"/>
      <w:r/>
      <w:bookmarkEnd w:id="47"/>
      <w:r>
        <w:rPr>
          <w:rFonts w:eastAsia="Calibri"/>
          <w:sz w:val="24"/>
          <w:szCs w:val="24"/>
        </w:rPr>
        <w:t xml:space="preserve">поставки продукции</w:t>
      </w:r>
      <w:bookmarkEnd w:id="43"/>
      <w:r/>
      <w:bookmarkEnd w:id="44"/>
      <w:r/>
      <w:bookmarkEnd w:id="45"/>
      <w:r/>
      <w:bookmarkEnd w:id="46"/>
      <w:r>
        <w:rPr>
          <w:rFonts w:eastAsia="Calibri"/>
          <w:sz w:val="24"/>
          <w:szCs w:val="24"/>
        </w:rPr>
        <w:t xml:space="preserve"> </w:t>
      </w:r>
      <w:r>
        <w:rPr>
          <w:rFonts w:eastAsia="Calibri"/>
          <w:sz w:val="24"/>
          <w:szCs w:val="24"/>
        </w:rPr>
      </w:r>
    </w:p>
    <w:tbl>
      <w:tblPr>
        <w:tblW w:w="10207" w:type="dxa"/>
        <w:tblInd w:w="13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Look w:val="04A0" w:firstRow="1" w:lastRow="0" w:firstColumn="1" w:lastColumn="0" w:noHBand="0" w:noVBand="1"/>
      </w:tblPr>
      <w:tblGrid>
        <w:gridCol w:w="567"/>
        <w:gridCol w:w="4678"/>
        <w:gridCol w:w="2410"/>
        <w:gridCol w:w="2552"/>
      </w:tblGrid>
      <w:tr>
        <w:trPr/>
        <w:tc>
          <w:tcPr>
            <w:shd w:val="clear" w:color="auto" w:fill="auto"/>
            <w:tcBorders/>
            <w:tcW w:w="56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п/п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78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Наименование продукции / партии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началу срока поставки продукции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Требования к окончанию срока поставки продукции</w:t>
            </w:r>
            <w:r>
              <w:rPr>
                <w:sz w:val="24"/>
                <w:szCs w:val="24"/>
              </w:rPr>
            </w:r>
          </w:p>
        </w:tc>
      </w:tr>
      <w:tr>
        <w:trPr/>
        <w:tc>
          <w:tcPr>
            <w:shd w:val="clear" w:color="auto" w:fill="auto"/>
            <w:tcBorders/>
            <w:tcW w:w="56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</w:t>
            </w:r>
            <w:r>
              <w:rPr>
                <w:sz w:val="24"/>
                <w:szCs w:val="24"/>
              </w:rPr>
            </w:r>
          </w:p>
        </w:tc>
        <w:tc>
          <w:tcPr>
            <w:shd w:val="clear" w:color="auto" w:fill="auto"/>
            <w:tcBorders/>
            <w:tcW w:w="4678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textDirection w:val="lrTb"/>
            <w:noWrap w:val="false"/>
          </w:tcPr>
          <w:p>
            <w:pPr>
              <w:pBdr/>
              <w:spacing/>
              <w:ind w:right="57" w:lef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3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textDirection w:val="lrTb"/>
            <w:noWrap w:val="false"/>
          </w:tcPr>
          <w:p>
            <w:pPr>
              <w:pBdr/>
              <w:spacing/>
              <w:ind w:right="57" w:left="57"/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</w:t>
            </w:r>
            <w:r>
              <w:rPr>
                <w:sz w:val="24"/>
                <w:szCs w:val="24"/>
              </w:rPr>
            </w:r>
          </w:p>
        </w:tc>
      </w:tr>
      <w:tr>
        <w:trPr>
          <w:trHeight w:val="1380"/>
        </w:trPr>
        <w:tc>
          <w:tcPr>
            <w:shd w:val="clear" w:color="auto" w:fill="auto"/>
            <w:tcBorders/>
            <w:tcW w:w="567" w:type="dxa"/>
            <w:textDirection w:val="lrTb"/>
            <w:noWrap w:val="false"/>
          </w:tcPr>
          <w:p>
            <w:pPr>
              <w:numPr>
                <w:ilvl w:val="0"/>
                <w:numId w:val="13"/>
              </w:numPr>
              <w:pBdr/>
              <w:spacing/>
              <w:ind/>
              <w:contextualSpacing w:val="true"/>
              <w:rPr>
                <w:rFonts w:eastAsia="Calibri"/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</w:r>
            <w:r>
              <w:rPr>
                <w:rFonts w:eastAsia="Calibri"/>
                <w:sz w:val="24"/>
                <w:szCs w:val="24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tcW w:w="4678" w:type="dxa"/>
            <w:vAlign w:val="center"/>
            <w:textDirection w:val="lrTb"/>
            <w:noWrap w:val="false"/>
          </w:tcPr>
          <w:p>
            <w:pPr>
              <w:keepNext w:val="true"/>
              <w:keepLines w:val="true"/>
              <w:pBdr/>
              <w:spacing/>
              <w:ind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Поставка </w:t>
            </w:r>
            <w:r>
              <w:rPr>
                <w:sz w:val="24"/>
                <w:szCs w:val="24"/>
              </w:rPr>
              <w:t xml:space="preserve">снегоболотохода</w:t>
            </w:r>
            <w:r>
              <w:rPr>
                <w:sz w:val="24"/>
                <w:szCs w:val="24"/>
              </w:rPr>
              <w:t xml:space="preserve"> в г. Якутск для нужд АО «Сахаэнерго»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41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</w:t>
            </w:r>
            <w:r>
              <w:rPr>
                <w:sz w:val="24"/>
                <w:szCs w:val="24"/>
              </w:rPr>
              <w:t xml:space="preserve"> даты заключения договора</w:t>
            </w:r>
            <w:r>
              <w:rPr>
                <w:sz w:val="24"/>
                <w:szCs w:val="24"/>
              </w:rPr>
            </w:r>
          </w:p>
        </w:tc>
        <w:tc>
          <w:tcPr>
            <w:tcBorders/>
            <w:tcW w:w="255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</w:t>
            </w:r>
            <w:r>
              <w:rPr>
                <w:sz w:val="24"/>
                <w:szCs w:val="24"/>
              </w:rPr>
              <w:t xml:space="preserve"> течение 90 (девяносто) календарных дней с </w:t>
            </w:r>
            <w:r>
              <w:rPr>
                <w:sz w:val="24"/>
                <w:szCs w:val="24"/>
              </w:rPr>
              <w:t xml:space="preserve">даты</w:t>
            </w:r>
            <w:r>
              <w:rPr>
                <w:sz w:val="24"/>
                <w:szCs w:val="24"/>
              </w:rPr>
              <w:t xml:space="preserve"> заключения Договора</w:t>
            </w:r>
            <w:r>
              <w:rPr>
                <w:sz w:val="24"/>
                <w:szCs w:val="24"/>
              </w:rPr>
            </w:r>
          </w:p>
        </w:tc>
      </w:tr>
    </w:tbl>
    <w:p>
      <w:pPr>
        <w:keepNext w:val="true"/>
        <w:pBdr/>
        <w:spacing/>
        <w:ind w:left="432"/>
        <w:outlineLvl w:val="3"/>
        <w:rPr>
          <w:rFonts w:eastAsia="Calibri"/>
          <w:b/>
          <w:bCs/>
          <w:sz w:val="24"/>
          <w:szCs w:val="24"/>
        </w:rPr>
        <w:sectPr>
          <w:headerReference w:type="default" r:id="rId9"/>
          <w:footerReference w:type="first" r:id="rId13"/>
          <w:footnotePr/>
          <w:endnotePr/>
          <w:type w:val="nextPage"/>
          <w:pgSz w:h="16838" w:orient="portrait" w:w="11906"/>
          <w:pgMar w:top="567" w:right="851" w:bottom="992" w:left="851" w:header="680" w:footer="737" w:gutter="0"/>
          <w:cols w:num="1" w:sep="0" w:space="708" w:equalWidth="1"/>
          <w:titlePg/>
        </w:sectPr>
      </w:pPr>
      <w:r/>
      <w:bookmarkStart w:id="48" w:name="_Toc46743511"/>
      <w:r/>
      <w:bookmarkStart w:id="49" w:name="_Toc75446581"/>
      <w:r/>
      <w:bookmarkStart w:id="50" w:name="_Toc124170626"/>
      <w:r/>
      <w:bookmarkStart w:id="51" w:name="_Toc146784019"/>
      <w:r/>
      <w:bookmarkStart w:id="52" w:name="_Toc50125131"/>
      <w:r/>
      <w:bookmarkStart w:id="53" w:name="_Toc51339698"/>
      <w:r/>
      <w:bookmarkEnd w:id="23"/>
      <w:r>
        <w:rPr>
          <w:rFonts w:eastAsia="Calibri"/>
          <w:b/>
          <w:bCs/>
          <w:sz w:val="24"/>
          <w:szCs w:val="24"/>
        </w:rPr>
      </w:r>
      <w:r/>
    </w:p>
    <w:p>
      <w:pPr>
        <w:pBdr/>
        <w:spacing/>
        <w:ind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</w:r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numPr>
          <w:ilvl w:val="1"/>
          <w:numId w:val="4"/>
        </w:numPr>
        <w:pBdr/>
        <w:spacing/>
        <w:ind w:hanging="284" w:left="851"/>
        <w:outlineLvl w:val="3"/>
        <w:rPr>
          <w:rFonts w:eastAsia="Calibri"/>
          <w:b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Требования к </w:t>
      </w:r>
      <w:bookmarkEnd w:id="48"/>
      <w:r>
        <w:rPr>
          <w:rFonts w:eastAsia="Calibri"/>
          <w:b/>
          <w:bCs/>
          <w:sz w:val="24"/>
          <w:szCs w:val="24"/>
        </w:rPr>
        <w:t xml:space="preserve">качеству продукции</w:t>
      </w:r>
      <w:bookmarkEnd w:id="49"/>
      <w:r/>
      <w:bookmarkEnd w:id="50"/>
      <w:r/>
      <w:bookmarkEnd w:id="51"/>
      <w:r/>
      <w:r>
        <w:rPr>
          <w:rFonts w:eastAsia="Calibri"/>
          <w:b/>
          <w:bCs/>
          <w:sz w:val="24"/>
          <w:szCs w:val="24"/>
        </w:rPr>
      </w:r>
    </w:p>
    <w:p>
      <w:pPr>
        <w:keepNext w:val="true"/>
        <w:pBdr/>
        <w:spacing/>
        <w:ind w:left="567"/>
        <w:outlineLvl w:val="0"/>
        <w:rPr>
          <w:rFonts w:eastAsia="Calibri"/>
          <w:b/>
          <w:sz w:val="24"/>
          <w:szCs w:val="24"/>
        </w:rPr>
      </w:pPr>
      <w:r/>
      <w:bookmarkStart w:id="54" w:name="_Toc75446582"/>
      <w:r/>
      <w:bookmarkStart w:id="55" w:name="_Toc124170490"/>
      <w:r/>
      <w:bookmarkStart w:id="56" w:name="_Toc124170627"/>
      <w:r/>
      <w:bookmarkStart w:id="57" w:name="_Toc146784020"/>
      <w:r>
        <w:rPr>
          <w:rFonts w:eastAsia="Calibri"/>
          <w:b/>
          <w:sz w:val="24"/>
          <w:szCs w:val="24"/>
        </w:rPr>
        <w:t xml:space="preserve">Таблица </w:t>
      </w:r>
      <w:r>
        <w:rPr>
          <w:rFonts w:eastAsia="Calibri"/>
          <w:b/>
          <w:sz w:val="24"/>
          <w:szCs w:val="24"/>
        </w:rPr>
        <w:t xml:space="preserve">3</w:t>
      </w:r>
      <w:r>
        <w:rPr>
          <w:rFonts w:eastAsia="Calibri"/>
          <w:b/>
          <w:sz w:val="24"/>
          <w:szCs w:val="24"/>
        </w:rPr>
        <w:t xml:space="preserve">. Требования к </w:t>
      </w:r>
      <w:r>
        <w:rPr>
          <w:rFonts w:eastAsia="Calibri"/>
          <w:b/>
          <w:sz w:val="24"/>
          <w:szCs w:val="24"/>
        </w:rPr>
        <w:t xml:space="preserve">продукции</w:t>
      </w:r>
      <w:bookmarkEnd w:id="54"/>
      <w:r/>
      <w:bookmarkEnd w:id="55"/>
      <w:r/>
      <w:bookmarkEnd w:id="56"/>
      <w:r/>
      <w:bookmarkEnd w:id="57"/>
      <w:r>
        <w:rPr>
          <w:rFonts w:eastAsia="Calibri"/>
          <w:b/>
          <w:sz w:val="24"/>
          <w:szCs w:val="24"/>
        </w:rPr>
        <w:t xml:space="preserve"> </w:t>
      </w:r>
      <w:bookmarkEnd w:id="52"/>
      <w:r/>
      <w:bookmarkEnd w:id="53"/>
      <w:r/>
      <w:r>
        <w:rPr>
          <w:rFonts w:eastAsia="Calibri"/>
          <w:b/>
          <w:sz w:val="24"/>
          <w:szCs w:val="24"/>
        </w:rPr>
      </w:r>
    </w:p>
    <w:p>
      <w:pPr>
        <w:keepNext w:val="true"/>
        <w:keepLines w:val="true"/>
        <w:pBdr/>
        <w:spacing/>
        <w:ind w:left="567"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/>
          <w:bCs/>
          <w:sz w:val="24"/>
          <w:szCs w:val="24"/>
        </w:rPr>
        <w:t xml:space="preserve">Наименование продукции</w:t>
      </w:r>
      <w:r>
        <w:rPr>
          <w:rFonts w:eastAsia="Calibri"/>
          <w:b/>
          <w:bCs/>
          <w:sz w:val="24"/>
          <w:szCs w:val="24"/>
        </w:rPr>
        <w:t xml:space="preserve">:</w:t>
      </w:r>
      <w:r>
        <w:rPr>
          <w:rFonts w:eastAsia="Calibri"/>
          <w:bCs/>
          <w:i/>
          <w:sz w:val="24"/>
          <w:szCs w:val="24"/>
        </w:rPr>
        <w:t xml:space="preserve"> </w:t>
      </w:r>
      <w:r>
        <w:rPr>
          <w:rFonts w:eastAsia="Calibri"/>
          <w:bCs/>
          <w:i/>
          <w:sz w:val="24"/>
          <w:szCs w:val="24"/>
        </w:rPr>
        <w:t xml:space="preserve">Поставка </w:t>
      </w:r>
      <w:r>
        <w:rPr>
          <w:rFonts w:eastAsia="Calibri"/>
          <w:bCs/>
          <w:i/>
          <w:sz w:val="24"/>
          <w:szCs w:val="24"/>
        </w:rPr>
        <w:t xml:space="preserve">снегоболотохода</w:t>
      </w:r>
      <w:r>
        <w:rPr>
          <w:rFonts w:eastAsia="Calibri"/>
          <w:bCs/>
          <w:i/>
          <w:sz w:val="24"/>
          <w:szCs w:val="24"/>
        </w:rPr>
        <w:t xml:space="preserve"> </w:t>
      </w:r>
      <w:r>
        <w:rPr>
          <w:rFonts w:eastAsia="Calibri"/>
          <w:bCs/>
          <w:i/>
          <w:sz w:val="24"/>
          <w:szCs w:val="24"/>
        </w:rPr>
        <w:t xml:space="preserve">в г. Якутск для нужд АО «Сахаэнерго»</w:t>
      </w:r>
      <w:r>
        <w:rPr>
          <w:rFonts w:eastAsia="Calibri"/>
          <w:bCs/>
          <w:sz w:val="24"/>
          <w:szCs w:val="24"/>
        </w:rPr>
      </w:r>
    </w:p>
    <w:p>
      <w:pPr>
        <w:keepNext w:val="true"/>
        <w:keepLines w:val="true"/>
        <w:pBdr/>
        <w:spacing/>
        <w:ind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tbl>
      <w:tblPr>
        <w:tblStyle w:val="815"/>
        <w:tblW w:w="14314" w:type="dxa"/>
        <w:tblInd w:w="562" w:type="dxa"/>
        <w:tblBorders/>
        <w:tblLayout w:type="fixed"/>
        <w:tblLook w:val="04A0" w:firstRow="1" w:lastRow="0" w:firstColumn="1" w:lastColumn="0" w:noHBand="0" w:noVBand="1"/>
      </w:tblPr>
      <w:tblGrid>
        <w:gridCol w:w="1134"/>
        <w:gridCol w:w="2833"/>
        <w:gridCol w:w="3827"/>
        <w:gridCol w:w="1995"/>
        <w:gridCol w:w="2122"/>
        <w:gridCol w:w="2403"/>
      </w:tblGrid>
      <w:tr>
        <w:trPr/>
        <w:tc>
          <w:tcPr>
            <w:tcBorders/>
            <w:tcW w:w="1134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№ п/п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Наименование параметра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Требование заказчика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2"/>
            <w:tcBorders/>
            <w:tcW w:w="411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Способ подтверждения участником соответствия требованиям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vMerge w:val="restart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Предложение участника по характеристикам и параметрам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Согласие с требованием/ указание характеристик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Предоставление подтверждающего документа или иной способ подтверждения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vMerge w:val="continue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6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vAlign w:val="center"/>
            <w:textDirection w:val="lrTb"/>
            <w:noWrap w:val="false"/>
          </w:tcPr>
          <w:p>
            <w:pPr>
              <w:pBdr/>
              <w:spacing/>
              <w:ind w:left="360"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gridSpan w:val="2"/>
            <w:tcBorders/>
            <w:tcW w:w="6660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Требования к техническим и функциональным характеристикам (включая гарантируемые показатели)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-//-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Style w:val="858"/>
              <w:numPr>
                <w:ilvl w:val="0"/>
                <w:numId w:val="32"/>
              </w:numPr>
              <w:pBdr/>
              <w:spacing/>
              <w:ind/>
              <w:jc w:val="both"/>
              <w:rPr>
                <w:b/>
                <w:bCs/>
                <w:iCs/>
                <w:sz w:val="20"/>
                <w:szCs w:val="20"/>
              </w:rPr>
            </w:pPr>
            <w:r>
              <w:rPr>
                <w:b/>
                <w:bCs/>
                <w:iCs/>
                <w:sz w:val="20"/>
                <w:szCs w:val="20"/>
              </w:rPr>
            </w:r>
            <w:r>
              <w:rPr>
                <w:b/>
                <w:bCs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Снегоболотоход</w:t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Марка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Поставка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снегоболотохода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Область применения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доставка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оперативного персонала к месту проведения работ по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 .Якутску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Сроки изготовления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Продукция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должна быть новой, не ранее 2026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года изготовления, комплектующие и запасные части на поставляемую Продукцию д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олжны быть новыми, не ранее 2026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года изготовления (Продукцией, которая не были в употреблении, не прошли ремонт, в том числе восстановление, замену составных частей, восстановление потребительских свойств), ранее не была использованной).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1.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Иное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 всю продукцию должно быть установлено оборудование согласно ТТ непосредственно заводом изготовителем или в авторизованном сервисном центре, что должно быть подтверждено заказ-нарядом (предоставляет при поставке Продукции).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/>
                <w:iCs/>
                <w:sz w:val="20"/>
                <w:szCs w:val="20"/>
                <w:lang w:val="en-US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2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  <w:lang w:val="en-US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Технические характеристики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: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</w:tr>
      <w:tr>
        <w:trPr>
          <w:trHeight w:val="135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bookmarkStart w:id="58" w:name="_GoBack"/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2.1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Колесная формула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6 х 6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94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2.2</w:t>
            </w:r>
            <w:r/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Собственная масса, кг.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более 2 900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2.3</w:t>
            </w:r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Габаритная длинна/ширина/высота, мм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более 5920/2550/2940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Емкость топливного бака, л.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110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Кузов 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З-х </w:t>
            </w:r>
            <w:r>
              <w:rPr>
                <w:i/>
                <w:sz w:val="20"/>
                <w:szCs w:val="20"/>
              </w:rPr>
              <w:t xml:space="preserve">дверный</w:t>
            </w:r>
            <w:r>
              <w:rPr>
                <w:i/>
                <w:sz w:val="20"/>
                <w:szCs w:val="20"/>
              </w:rPr>
              <w:t xml:space="preserve">, алюминиевые сплавы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Количество мест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8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Шины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бескамерные, низкого давления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Диапазон рабочих давлений в шине, кПа (кг/см</w:t>
            </w:r>
            <w:r>
              <w:rPr>
                <w:i/>
                <w:sz w:val="20"/>
                <w:szCs w:val="20"/>
                <w:vertAlign w:val="superscript"/>
              </w:rPr>
              <w:t xml:space="preserve">2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от 10 до 60 (от 0,1 до 0,6)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Колея, мм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более 1 870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Дорожный просвет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490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Коробка передач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5-тиступенчатая, механическая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Раздаточная коробка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2-хступенчатая, межосевой дифференциал с принудительной блокировкой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Коробка привода заднего ведущего моста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механическая, без межосевого дифференциала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lang w:val="en-US"/>
              </w:rPr>
            </w:pPr>
            <w:r>
              <w:rPr>
                <w:lang w:val="en-US"/>
              </w:rPr>
            </w:r>
            <w:r>
              <w:rPr>
                <w:lang w:val="en-US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Рулевое управление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гидроусилитель интегрированного типа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yellow"/>
                <w:lang w:val="en-US"/>
              </w:rPr>
            </w:pPr>
            <w:r>
              <w:rPr>
                <w:highlight w:val="yellow"/>
                <w:lang w:val="en-US"/>
              </w:rPr>
            </w:r>
            <w:r>
              <w:rPr>
                <w:highlight w:val="yellow"/>
                <w:lang w:val="en-US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Грузоподъемность, кг.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600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требуется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Двигатель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дизельный с наддувом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  <w:vertAlign w:val="superscript"/>
              </w:rPr>
            </w:pPr>
            <w:r>
              <w:rPr>
                <w:i/>
                <w:sz w:val="20"/>
                <w:szCs w:val="20"/>
              </w:rPr>
              <w:t xml:space="preserve">Рабочий объем, см</w:t>
            </w:r>
            <w:r>
              <w:rPr>
                <w:i/>
                <w:sz w:val="20"/>
                <w:szCs w:val="20"/>
                <w:vertAlign w:val="superscript"/>
              </w:rPr>
              <w:t xml:space="preserve">3</w:t>
            </w:r>
            <w:r>
              <w:rPr>
                <w:i/>
                <w:sz w:val="20"/>
                <w:szCs w:val="20"/>
                <w:vertAlign w:val="superscript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2 400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highlight w:val="yellow"/>
              </w:rPr>
            </w:pPr>
            <w:r>
              <w:rPr>
                <w:highlight w:val="yellow"/>
              </w:rPr>
            </w:r>
            <w:r>
              <w:rPr>
                <w:highlight w:val="yellow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Максимальная мощность, кВт (</w:t>
            </w:r>
            <w:r>
              <w:rPr>
                <w:i/>
                <w:sz w:val="20"/>
                <w:szCs w:val="20"/>
              </w:rPr>
              <w:t xml:space="preserve">л.с</w:t>
            </w:r>
            <w:r>
              <w:rPr>
                <w:i/>
                <w:sz w:val="20"/>
                <w:szCs w:val="20"/>
              </w:rPr>
              <w:t xml:space="preserve">.)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менее 73 (99)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pP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  <w:r>
              <w:rPr>
                <w:rFonts w:eastAsia="Calibri"/>
                <w:bCs/>
                <w:iCs/>
                <w:sz w:val="20"/>
                <w:szCs w:val="20"/>
                <w:highlight w:val="yellow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Максимальный крутящий момент, </w:t>
            </w:r>
            <w:r>
              <w:rPr>
                <w:i/>
                <w:sz w:val="20"/>
                <w:szCs w:val="20"/>
              </w:rPr>
              <w:t xml:space="preserve">Н</w:t>
            </w:r>
            <w:r>
              <w:rPr>
                <w:i/>
                <w:sz w:val="20"/>
                <w:szCs w:val="20"/>
                <w:vertAlign w:val="superscript"/>
              </w:rPr>
              <w:t xml:space="preserve">.</w:t>
            </w:r>
            <w:r>
              <w:rPr>
                <w:i/>
                <w:sz w:val="20"/>
                <w:szCs w:val="20"/>
              </w:rPr>
              <w:t xml:space="preserve">м</w:t>
            </w:r>
            <w:r>
              <w:rPr>
                <w:i/>
                <w:sz w:val="20"/>
                <w:szCs w:val="20"/>
              </w:rPr>
              <w:t xml:space="preserve"> (</w:t>
            </w:r>
            <w:r>
              <w:rPr>
                <w:i/>
                <w:sz w:val="20"/>
                <w:szCs w:val="20"/>
              </w:rPr>
              <w:t xml:space="preserve">кгс</w:t>
            </w:r>
            <w:r>
              <w:rPr>
                <w:i/>
                <w:sz w:val="20"/>
                <w:szCs w:val="20"/>
                <w:vertAlign w:val="superscript"/>
              </w:rPr>
              <w:t xml:space="preserve">.</w:t>
            </w:r>
            <w:r>
              <w:rPr>
                <w:i/>
                <w:sz w:val="20"/>
                <w:szCs w:val="20"/>
              </w:rPr>
              <w:t xml:space="preserve">м</w:t>
            </w:r>
            <w:r>
              <w:rPr>
                <w:i/>
                <w:sz w:val="20"/>
                <w:szCs w:val="20"/>
              </w:rPr>
              <w:t xml:space="preserve">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более 225 (23)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>
              <w:right w:val="single" w:color="auto" w:sz="4" w:space="0"/>
            </w:tcBorders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Требуемая категория прав удостоверения тракториста-машиниста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fefef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  <w:lang w:val="en-US"/>
              </w:rPr>
            </w:pPr>
            <w:r>
              <w:rPr>
                <w:i/>
                <w:sz w:val="20"/>
                <w:szCs w:val="20"/>
              </w:rPr>
              <w:t xml:space="preserve">А</w:t>
            </w:r>
            <w:r>
              <w:rPr>
                <w:i/>
                <w:sz w:val="20"/>
                <w:szCs w:val="20"/>
                <w:lang w:val="en-US"/>
              </w:rPr>
              <w:t xml:space="preserve">II</w:t>
            </w:r>
            <w:r>
              <w:rPr>
                <w:i/>
                <w:sz w:val="20"/>
                <w:szCs w:val="20"/>
                <w:lang w:val="en-US"/>
              </w:rPr>
            </w:r>
          </w:p>
        </w:tc>
        <w:tc>
          <w:tcPr>
            <w:tcBorders>
              <w:left w:val="single" w:color="auto" w:sz="4" w:space="0"/>
            </w:tcBorders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bookmarkEnd w:id="58"/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3</w:t>
            </w:r>
            <w:r>
              <w:rPr>
                <w:b/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  <w:t xml:space="preserve">Комплектация</w:t>
            </w:r>
            <w:r>
              <w:rPr>
                <w:rFonts w:eastAsia="Calibri"/>
                <w:b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</w:tcBorders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Централизованная подкачка колес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/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/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Багажник на крышу с лестницей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Предпусковой подогреватель двигателя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Указание характеристик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Автономный 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топитель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салона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>
          <w:trHeight w:val="122"/>
        </w:trPr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/>
            </w:pPr>
            <w:r/>
            <w:r/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Стеклопакет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лобово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го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 стекл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а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Наличие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Не требуется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gridSpan w:val="5"/>
            <w:shd w:val="clear" w:color="auto" w:fill="auto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Требования к доставке,  маркировке, упаковке, транспортировке, перемещению, условиям хранения, приемке и испытаниям</w:t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Место поставки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Продукция должна быть доставлена Поставщиком по адресу: </w:t>
            </w:r>
            <w:r>
              <w:rPr>
                <w:i/>
                <w:iCs/>
                <w:sz w:val="20"/>
                <w:szCs w:val="20"/>
              </w:rPr>
              <w:t xml:space="preserve">РС (Я)</w:t>
            </w:r>
            <w:r>
              <w:rPr>
                <w:i/>
                <w:iCs/>
                <w:sz w:val="20"/>
                <w:szCs w:val="20"/>
              </w:rPr>
              <w:t xml:space="preserve">, г. Якутск, </w:t>
            </w:r>
            <w:r>
              <w:rPr>
                <w:i/>
                <w:iCs/>
                <w:sz w:val="20"/>
                <w:szCs w:val="20"/>
              </w:rPr>
              <w:t xml:space="preserve">ул. Беринга, зд. 42</w:t>
            </w:r>
            <w:r>
              <w:rPr>
                <w:i/>
                <w:iCs/>
                <w:sz w:val="20"/>
                <w:szCs w:val="20"/>
              </w:rPr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Style w:val="883"/>
              <w:keepNext w:val="false"/>
              <w:pBdr/>
              <w:spacing w:after="0" w:before="0"/>
              <w:ind/>
              <w:outlineLvl w:val="2"/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pPr>
            <w:r>
              <w:rPr>
                <w:b w:val="0"/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rFonts w:eastAsia="Times New Roman"/>
                <w:b w:val="0"/>
                <w:sz w:val="20"/>
                <w:szCs w:val="20"/>
                <w:lang w:val="ru-RU" w:eastAsia="ru-RU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Условия транспортирования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ГОСТ 15150-69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tabs>
                <w:tab w:val="num" w:leader="none" w:pos="432"/>
                <w:tab w:val="left" w:leader="none" w:pos="459"/>
              </w:tabs>
              <w:spacing/>
              <w:ind w:left="72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5(ОЖ4). Обоснование: транспортировка в район Крайнего Севера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Выполнение предпродажной подготовки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Проверка уровней масел, охлаждающей и эксплуатационных жидкостей в агрегатах, узлах и системах, проверка системы питания на герметичн</w:t>
            </w:r>
            <w:r>
              <w:rPr>
                <w:i/>
                <w:sz w:val="20"/>
                <w:szCs w:val="20"/>
              </w:rPr>
              <w:t xml:space="preserve">ость, контроль содержания вредных веществ в отработавших газах, проверка креплений оборудования и приборов системы питания, протяжка креплений всех узлов и механизмов, подтверждение выполнения работ по гарантийному и предпродажному обслуживанию поставляемо</w:t>
            </w:r>
            <w:r>
              <w:rPr>
                <w:i/>
                <w:sz w:val="20"/>
                <w:szCs w:val="20"/>
              </w:rPr>
              <w:t xml:space="preserve">й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Продукции</w:t>
            </w:r>
            <w:r>
              <w:rPr>
                <w:i/>
                <w:sz w:val="20"/>
                <w:szCs w:val="20"/>
              </w:rPr>
              <w:t xml:space="preserve"> на любом авторизованном техническом центре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gridSpan w:val="5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Требования к гарантиям, гарантийному и послегарантийному обслуживанию</w:t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Гарантийный срок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Гарантийный срок на </w:t>
            </w:r>
            <w:r>
              <w:rPr>
                <w:i/>
                <w:sz w:val="20"/>
                <w:szCs w:val="20"/>
              </w:rPr>
              <w:t xml:space="preserve">Продукцию составляет</w:t>
            </w:r>
            <w:r>
              <w:rPr>
                <w:i/>
                <w:sz w:val="20"/>
                <w:szCs w:val="20"/>
              </w:rPr>
              <w:t xml:space="preserve"> </w:t>
            </w:r>
            <w:r>
              <w:rPr>
                <w:i/>
                <w:sz w:val="20"/>
                <w:szCs w:val="20"/>
              </w:rPr>
              <w:t xml:space="preserve">не менее </w:t>
            </w:r>
            <w:r>
              <w:rPr>
                <w:i/>
                <w:sz w:val="20"/>
                <w:szCs w:val="20"/>
              </w:rPr>
              <w:t xml:space="preserve">12 месяцев и начинает течь с даты подписания Сторонами накладной ТОРГ-12(УПД) или 50 000 км пробега, в зависимости от того какое из условий наступит раньше</w:t>
            </w:r>
            <w:r>
              <w:rPr>
                <w:i/>
                <w:sz w:val="20"/>
                <w:szCs w:val="20"/>
              </w:rPr>
              <w:t xml:space="preserve">.</w:t>
            </w:r>
            <w:r>
              <w:rPr>
                <w:i/>
                <w:sz w:val="20"/>
                <w:szCs w:val="20"/>
              </w:rPr>
            </w:r>
          </w:p>
          <w:p>
            <w:pPr>
              <w:widowControl w:val="false"/>
              <w:pBdr/>
              <w:spacing/>
              <w:ind w:left="-4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Продлевается на период, когда Покупатель не мог пользоваться </w:t>
            </w:r>
            <w:r>
              <w:rPr>
                <w:i/>
                <w:sz w:val="20"/>
                <w:szCs w:val="20"/>
              </w:rPr>
              <w:t xml:space="preserve">Продукцией</w:t>
            </w:r>
            <w:r>
              <w:rPr>
                <w:i/>
                <w:sz w:val="20"/>
                <w:szCs w:val="20"/>
              </w:rPr>
              <w:t xml:space="preserve"> из-за обнаруженных в не</w:t>
            </w:r>
            <w:r>
              <w:rPr>
                <w:i/>
                <w:sz w:val="20"/>
                <w:szCs w:val="20"/>
              </w:rPr>
              <w:t xml:space="preserve">й</w:t>
            </w:r>
            <w:r>
              <w:rPr>
                <w:i/>
                <w:sz w:val="20"/>
                <w:szCs w:val="20"/>
              </w:rPr>
              <w:t xml:space="preserve"> недостатков, при условии, что </w:t>
            </w:r>
            <w:r>
              <w:rPr>
                <w:i/>
                <w:sz w:val="20"/>
                <w:szCs w:val="20"/>
              </w:rPr>
              <w:t xml:space="preserve">Поставщик был извещен Покупателем об обнаружении недостатков в письменной форме в срок, предусмотренный Договором.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.2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Гарантийные обязательства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Распространяются в полном объеме на поставляем</w:t>
            </w:r>
            <w:r>
              <w:rPr>
                <w:i/>
                <w:sz w:val="20"/>
                <w:szCs w:val="20"/>
              </w:rPr>
              <w:t xml:space="preserve">ую Продукцию</w:t>
            </w:r>
            <w:r>
              <w:rPr>
                <w:i/>
                <w:sz w:val="20"/>
                <w:szCs w:val="20"/>
              </w:rPr>
              <w:t xml:space="preserve">, на все составляющие </w:t>
            </w:r>
            <w:r>
              <w:rPr>
                <w:i/>
                <w:sz w:val="20"/>
                <w:szCs w:val="20"/>
              </w:rPr>
              <w:t xml:space="preserve">её</w:t>
            </w:r>
            <w:r>
              <w:rPr>
                <w:i/>
                <w:sz w:val="20"/>
                <w:szCs w:val="20"/>
              </w:rPr>
              <w:t xml:space="preserve"> части (комплектующие изделия), а также на запасные части 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4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.3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Гарантийные обязательства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3827" w:type="dxa"/>
            <w:textDirection w:val="lrTb"/>
            <w:noWrap w:val="false"/>
          </w:tcPr>
          <w:p>
            <w:pPr>
              <w:widowControl w:val="false"/>
              <w:pBdr/>
              <w:spacing/>
              <w:ind w:left="-42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Поставщик бесплатно осуществляет гарантийные обязательства в отношении </w:t>
            </w:r>
            <w:r>
              <w:rPr>
                <w:i/>
                <w:sz w:val="20"/>
                <w:szCs w:val="20"/>
              </w:rPr>
              <w:t xml:space="preserve">Продукции и</w:t>
            </w:r>
            <w:r>
              <w:rPr>
                <w:i/>
                <w:sz w:val="20"/>
                <w:szCs w:val="20"/>
              </w:rPr>
              <w:t xml:space="preserve"> комплектующих изделий в течение гарантийного срока, в том числе гарантийное обслуживание </w:t>
            </w:r>
            <w:r>
              <w:rPr>
                <w:i/>
                <w:sz w:val="20"/>
                <w:szCs w:val="20"/>
              </w:rPr>
              <w:t xml:space="preserve">Продукции</w:t>
            </w:r>
            <w:r>
              <w:rPr>
                <w:i/>
                <w:sz w:val="20"/>
                <w:szCs w:val="20"/>
              </w:rPr>
              <w:t xml:space="preserve">, ремонт, восстановление, замену, если не докажет, что дефекты возникли в результа</w:t>
            </w:r>
            <w:r>
              <w:rPr>
                <w:i/>
                <w:sz w:val="20"/>
                <w:szCs w:val="20"/>
              </w:rPr>
              <w:t xml:space="preserve">те нарушения Покупателем правил эксплуатации Продукции </w:t>
            </w:r>
            <w:r>
              <w:rPr>
                <w:i/>
                <w:sz w:val="20"/>
                <w:szCs w:val="20"/>
              </w:rPr>
              <w:t xml:space="preserve">или условий е</w:t>
            </w:r>
            <w:r>
              <w:rPr>
                <w:i/>
                <w:sz w:val="20"/>
                <w:szCs w:val="20"/>
              </w:rPr>
              <w:t xml:space="preserve">ё</w:t>
            </w:r>
            <w:r>
              <w:rPr>
                <w:i/>
                <w:sz w:val="20"/>
                <w:szCs w:val="20"/>
              </w:rPr>
              <w:t xml:space="preserve"> хранения. Исполнение гарантийных обязательств осуществляется как по местонахождению </w:t>
            </w:r>
            <w:r>
              <w:rPr>
                <w:i/>
                <w:sz w:val="20"/>
                <w:szCs w:val="20"/>
              </w:rPr>
              <w:t xml:space="preserve">Покупателя </w:t>
            </w:r>
            <w:r>
              <w:rPr>
                <w:i/>
                <w:sz w:val="20"/>
                <w:szCs w:val="20"/>
              </w:rPr>
              <w:t xml:space="preserve">(Получателя), так и по месту нахождения Участника закупки (Победитель закупки). В случаях, когда гарантийные обязательства осуществляются по местонахождению Поставщика,</w:t>
            </w:r>
            <w:r>
              <w:rPr>
                <w:i/>
                <w:sz w:val="20"/>
                <w:szCs w:val="20"/>
              </w:rPr>
              <w:t xml:space="preserve"> доставка Продукции </w:t>
            </w:r>
            <w:r>
              <w:rPr>
                <w:i/>
                <w:sz w:val="20"/>
                <w:szCs w:val="20"/>
              </w:rPr>
              <w:t xml:space="preserve">и комплектующих изделий к месту гарантийного обслуживания, ремонта, замены и обратно осуществляется за счет Поставщика</w:t>
            </w:r>
            <w:r>
              <w:rPr>
                <w:i/>
                <w:sz w:val="20"/>
                <w:szCs w:val="20"/>
              </w:rPr>
              <w:t xml:space="preserve">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widowControl w:val="false"/>
              <w:pBdr/>
              <w:tabs>
                <w:tab w:val="left" w:leader="none" w:pos="426"/>
              </w:tabs>
              <w:spacing w:before="40"/>
              <w:ind/>
              <w:jc w:val="center"/>
              <w:rPr>
                <w:sz w:val="20"/>
                <w:szCs w:val="20"/>
              </w:rPr>
            </w:pPr>
            <w:r>
              <w:rPr>
                <w:bCs/>
                <w:i/>
                <w:sz w:val="20"/>
                <w:szCs w:val="20"/>
              </w:rPr>
              <w:t xml:space="preserve">Не требуется</w:t>
            </w:r>
            <w:r>
              <w:rPr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rFonts w:eastAsia="Calibri"/>
                <w:b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5</w:t>
            </w:r>
            <w:r>
              <w:rPr>
                <w:rFonts w:eastAsia="Calibri"/>
                <w:b/>
                <w:bCs/>
                <w:iCs/>
                <w:sz w:val="20"/>
                <w:szCs w:val="20"/>
              </w:rPr>
            </w:r>
          </w:p>
        </w:tc>
        <w:tc>
          <w:tcPr>
            <w:gridSpan w:val="5"/>
            <w:tcBorders/>
            <w:tcW w:w="13180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/>
                <w:bCs/>
                <w:iCs/>
                <w:sz w:val="20"/>
                <w:szCs w:val="20"/>
              </w:rPr>
              <w:t xml:space="preserve">Требования к комплектации и документам, поставляемым вместе с продукцией</w:t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  <w:tr>
        <w:trPr/>
        <w:tc>
          <w:tcPr>
            <w:tcBorders/>
            <w:tcW w:w="1134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/>
                <w:iCs/>
                <w:sz w:val="20"/>
                <w:szCs w:val="20"/>
              </w:rPr>
            </w:pP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5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  <w:t xml:space="preserve">.1</w:t>
            </w:r>
            <w:r>
              <w:rPr>
                <w:rFonts w:eastAsia="Calibri"/>
                <w:bCs/>
                <w:i/>
                <w:iCs/>
                <w:sz w:val="20"/>
                <w:szCs w:val="20"/>
              </w:rPr>
            </w:r>
          </w:p>
        </w:tc>
        <w:tc>
          <w:tcPr>
            <w:tcBorders/>
            <w:tcW w:w="2833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Документы, передаваемые вместе с продукцией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3827" w:type="dxa"/>
            <w:vAlign w:val="center"/>
            <w:textDirection w:val="lrTb"/>
            <w:noWrap w:val="false"/>
          </w:tcPr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Поставщик обязан передать Покупателю оригиналы следующих документов: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паспорт транспортного средства с отметкой об утилизационном сборе;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технический паспорт (паспорт производителя) на каждую единицу </w:t>
            </w:r>
            <w:r>
              <w:rPr>
                <w:i/>
                <w:iCs/>
                <w:sz w:val="20"/>
                <w:szCs w:val="20"/>
              </w:rPr>
              <w:t xml:space="preserve">Продукции</w:t>
            </w:r>
            <w:r>
              <w:rPr>
                <w:i/>
                <w:iCs/>
                <w:sz w:val="20"/>
                <w:szCs w:val="20"/>
              </w:rPr>
              <w:t xml:space="preserve"> (при наличии у производителя </w:t>
            </w:r>
            <w:r>
              <w:rPr>
                <w:i/>
                <w:iCs/>
                <w:sz w:val="20"/>
                <w:szCs w:val="20"/>
              </w:rPr>
              <w:t xml:space="preserve">Продукции</w:t>
            </w:r>
            <w:r>
              <w:rPr>
                <w:i/>
                <w:iCs/>
                <w:sz w:val="20"/>
                <w:szCs w:val="20"/>
              </w:rPr>
              <w:t xml:space="preserve">);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сертификат соответствия или декларация о соответствии в соответствии с действующим законодательством Российской Федерации;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паспорта и сертификаты на дополнительное оборудование;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одобрение на соответствие Техническому регламенту ТР/ТС 08/2011 о безопасности колесных ТС; 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одобрение типа транспортного средства на соответствие допустимым осевым нагрузкам при допустимой полной массе ТС в зависимости от категории дорог (Постановление Правительства РФ № 12 от 09.01.2014);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инструкция пользователя на русском языке, сервисная книжка на русском языке (при наличии у производителя </w:t>
            </w:r>
            <w:r>
              <w:rPr>
                <w:i/>
                <w:iCs/>
                <w:sz w:val="20"/>
                <w:szCs w:val="20"/>
              </w:rPr>
              <w:t xml:space="preserve">Продукции</w:t>
            </w:r>
            <w:r>
              <w:rPr>
                <w:i/>
                <w:iCs/>
                <w:sz w:val="20"/>
                <w:szCs w:val="20"/>
              </w:rPr>
              <w:t xml:space="preserve">);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руководство по эксплуатации на русском языке;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договор купли-продажи, для постановки на учет в ГИБДД в 3 (трех) экземплярах;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товарно-транспортная накладная формы № 1-Т (для учета товарно-материальных ценностей и расчетов за их перевозки) или транспортная железнодорожная накладная (форма № ГУ-27);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счет;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счет-фактуру (при наличии);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pBdr/>
              <w:spacing/>
              <w:ind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товарная накладная (УПД) в 2 (двух) экз.;</w:t>
            </w:r>
            <w:r>
              <w:rPr>
                <w:i/>
                <w:iCs/>
                <w:sz w:val="20"/>
                <w:szCs w:val="20"/>
              </w:rPr>
            </w:r>
          </w:p>
          <w:p>
            <w:pPr>
              <w:widowControl w:val="false"/>
              <w:numPr>
                <w:ilvl w:val="0"/>
                <w:numId w:val="16"/>
              </w:numPr>
              <w:pBdr/>
              <w:tabs>
                <w:tab w:val="left" w:leader="none" w:pos="46"/>
                <w:tab w:val="clear" w:leader="none" w:pos="1778"/>
              </w:tabs>
              <w:spacing/>
              <w:ind w:hanging="96" w:left="0"/>
              <w:jc w:val="both"/>
              <w:rPr>
                <w:i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- акт-приема передачи ТС в 2 (двух) экз.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tcBorders/>
            <w:tcW w:w="1995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Согласие с требованием</w:t>
            </w:r>
            <w:r>
              <w:rPr>
                <w:sz w:val="20"/>
                <w:szCs w:val="20"/>
              </w:rPr>
            </w:r>
          </w:p>
        </w:tc>
        <w:tc>
          <w:tcPr>
            <w:tcBorders/>
            <w:tcW w:w="2122" w:type="dxa"/>
            <w:textDirection w:val="lrTb"/>
            <w:noWrap w:val="false"/>
          </w:tcPr>
          <w:p>
            <w:pPr>
              <w:pBdr/>
              <w:spacing/>
              <w:ind/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 xml:space="preserve">Не требуется</w:t>
            </w:r>
            <w:r>
              <w:rPr>
                <w:i/>
                <w:sz w:val="20"/>
                <w:szCs w:val="20"/>
              </w:rPr>
            </w:r>
          </w:p>
        </w:tc>
        <w:tc>
          <w:tcPr>
            <w:shd w:val="clear" w:color="auto" w:fill="auto"/>
            <w:tcBorders/>
            <w:tcW w:w="2403" w:type="dxa"/>
            <w:textDirection w:val="lrTb"/>
            <w:noWrap w:val="false"/>
          </w:tcPr>
          <w:p>
            <w:pPr>
              <w:pBdr/>
              <w:spacing/>
              <w:ind/>
              <w:jc w:val="both"/>
              <w:rPr>
                <w:rFonts w:eastAsia="Calibri"/>
                <w:bCs/>
                <w:iCs/>
                <w:sz w:val="20"/>
                <w:szCs w:val="20"/>
              </w:rPr>
            </w:pPr>
            <w:r>
              <w:rPr>
                <w:rFonts w:eastAsia="Calibri"/>
                <w:bCs/>
                <w:iCs/>
                <w:sz w:val="20"/>
                <w:szCs w:val="20"/>
              </w:rPr>
            </w:r>
            <w:r>
              <w:rPr>
                <w:rFonts w:eastAsia="Calibri"/>
                <w:bCs/>
                <w:iCs/>
                <w:sz w:val="20"/>
                <w:szCs w:val="20"/>
              </w:rPr>
            </w:r>
          </w:p>
        </w:tc>
      </w:tr>
    </w:tbl>
    <w:p>
      <w:pPr>
        <w:keepNext w:val="true"/>
        <w:keepLines w:val="true"/>
        <w:pBdr/>
        <w:spacing/>
        <w:ind/>
        <w:jc w:val="both"/>
        <w:rPr>
          <w:rFonts w:eastAsia="Calibri"/>
          <w:bCs/>
          <w:sz w:val="24"/>
          <w:szCs w:val="24"/>
        </w:rPr>
      </w:pPr>
      <w:r>
        <w:rPr>
          <w:rFonts w:eastAsia="Calibri"/>
          <w:bCs/>
          <w:sz w:val="24"/>
          <w:szCs w:val="24"/>
        </w:rPr>
      </w:r>
      <w:r>
        <w:rPr>
          <w:rFonts w:eastAsia="Calibri"/>
          <w:bCs/>
          <w:sz w:val="24"/>
          <w:szCs w:val="24"/>
        </w:rPr>
      </w:r>
    </w:p>
    <w:p>
      <w:pPr>
        <w:keepNext w:val="true"/>
        <w:keepLines w:val="true"/>
        <w:numPr>
          <w:ilvl w:val="0"/>
          <w:numId w:val="4"/>
        </w:numPr>
        <w:pBdr/>
        <w:spacing/>
        <w:ind w:firstLine="567" w:left="0"/>
        <w:jc w:val="center"/>
        <w:rPr>
          <w:b/>
          <w:bCs/>
          <w:iCs/>
          <w:sz w:val="24"/>
          <w:szCs w:val="24"/>
        </w:rPr>
      </w:pPr>
      <w:r/>
      <w:bookmarkStart w:id="59" w:name="_Toc146537484"/>
      <w:r/>
      <w:bookmarkStart w:id="60" w:name="_Toc146549459"/>
      <w:r>
        <w:rPr>
          <w:b/>
          <w:bCs/>
          <w:iCs/>
          <w:sz w:val="24"/>
          <w:szCs w:val="24"/>
        </w:rPr>
        <w:t xml:space="preserve">Требования к документации по ценообразованию на этапе закупки.</w:t>
      </w:r>
      <w:bookmarkEnd w:id="59"/>
      <w:r/>
      <w:bookmarkEnd w:id="60"/>
      <w:r/>
      <w:r>
        <w:rPr>
          <w:b/>
          <w:bCs/>
          <w:iCs/>
          <w:sz w:val="24"/>
          <w:szCs w:val="24"/>
        </w:rPr>
      </w:r>
    </w:p>
    <w:p>
      <w:pPr>
        <w:keepNext w:val="true"/>
        <w:keepLines w:val="true"/>
        <w:pBdr/>
        <w:spacing/>
        <w:ind w:firstLine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  <w:r>
        <w:rPr>
          <w:bCs/>
          <w:iCs/>
          <w:sz w:val="24"/>
          <w:szCs w:val="24"/>
        </w:rPr>
      </w:r>
    </w:p>
    <w:p>
      <w:pPr>
        <w:keepNext w:val="true"/>
        <w:keepLines w:val="true"/>
        <w:pBdr/>
        <w:spacing/>
        <w:ind w:right="537" w:left="567"/>
        <w:jc w:val="both"/>
        <w:rPr>
          <w:bCs/>
          <w:iCs/>
          <w:sz w:val="24"/>
          <w:szCs w:val="24"/>
        </w:rPr>
      </w:pPr>
      <w:r/>
      <w:bookmarkStart w:id="61" w:name="_Toc53393312"/>
      <w:r/>
      <w:bookmarkStart w:id="62" w:name="_Toc46743519"/>
      <w:r/>
      <w:bookmarkStart w:id="63" w:name="_Toc51339699"/>
      <w:r/>
      <w:bookmarkEnd w:id="61"/>
      <w:r/>
      <w:bookmarkEnd w:id="62"/>
      <w:r/>
      <w:bookmarkEnd w:id="63"/>
      <w:r>
        <w:rPr>
          <w:bCs/>
          <w:iCs/>
          <w:sz w:val="24"/>
          <w:szCs w:val="24"/>
        </w:rPr>
        <w:t xml:space="preserve">Цена на поставляемую Продукцию должна быть указана с учетом затрат на страхование, транспортировку до места поставки указанного в ТТ, с учетом скидки с максимальной цены перепродажи и расшифровкой стоимости дополнительного</w:t>
      </w:r>
      <w:r>
        <w:rPr>
          <w:bCs/>
          <w:iCs/>
          <w:sz w:val="24"/>
          <w:szCs w:val="24"/>
        </w:rPr>
        <w:t xml:space="preserve"> оборудования предлагаемой комплектации, уплату налогов, таможенных пошлин, сборов и других обязательных платежей, при этом сумма НДС (в случае его уплаты) выделяется отдельно и не входит в итоговую стоимость заявки Участника, являющегося плательщиком НДС.</w:t>
      </w:r>
      <w:r>
        <w:rPr>
          <w:bCs/>
          <w:iCs/>
          <w:sz w:val="24"/>
          <w:szCs w:val="24"/>
        </w:rPr>
      </w:r>
    </w:p>
    <w:p>
      <w:pPr>
        <w:keepNext w:val="true"/>
        <w:keepLines w:val="true"/>
        <w:pBdr/>
        <w:spacing/>
        <w:ind w:right="537" w:left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</w:r>
      <w:r>
        <w:rPr>
          <w:bCs/>
          <w:iCs/>
          <w:sz w:val="24"/>
          <w:szCs w:val="24"/>
        </w:rPr>
      </w:r>
    </w:p>
    <w:p>
      <w:pPr>
        <w:keepNext w:val="true"/>
        <w:keepLines w:val="true"/>
        <w:pBdr/>
        <w:spacing/>
        <w:ind w:right="537" w:left="567"/>
        <w:jc w:val="both"/>
        <w:rPr>
          <w:bCs/>
          <w:iCs/>
          <w:sz w:val="24"/>
          <w:szCs w:val="24"/>
        </w:rPr>
      </w:pPr>
      <w:r>
        <w:rPr>
          <w:bCs/>
          <w:iCs/>
          <w:sz w:val="24"/>
          <w:szCs w:val="24"/>
        </w:rPr>
        <w:t xml:space="preserve">Соответствие установленному требованию подтверждается путем представления участником закупки в составе своей заявки сведений по фо</w:t>
      </w:r>
      <w:r>
        <w:rPr>
          <w:bCs/>
          <w:iCs/>
          <w:sz w:val="24"/>
          <w:szCs w:val="24"/>
        </w:rPr>
        <w:t xml:space="preserve">рме 3 Коммерческое предложение</w:t>
      </w:r>
      <w:r>
        <w:rPr>
          <w:bCs/>
          <w:iCs/>
          <w:sz w:val="24"/>
          <w:szCs w:val="24"/>
        </w:rPr>
      </w:r>
      <w:r>
        <w:rPr>
          <w:bCs/>
          <w:iCs/>
          <w:sz w:val="24"/>
          <w:szCs w:val="24"/>
        </w:rPr>
      </w:r>
    </w:p>
    <w:sectPr>
      <w:headerReference w:type="default" r:id="rId10"/>
      <w:headerReference w:type="even" r:id="rId11"/>
      <w:headerReference w:type="first" r:id="rId12"/>
      <w:footnotePr/>
      <w:endnotePr/>
      <w:type w:val="nextPage"/>
      <w:pgSz w:h="11906" w:orient="landscape" w:w="16838"/>
      <w:pgMar w:top="1134" w:right="1134" w:bottom="851" w:left="992" w:header="680" w:footer="737" w:gutter="0"/>
      <w:cols w:num="1" w:sep="0" w:space="708" w:equalWidth="1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pBdr/>
        <w:spacing/>
        <w:ind/>
        <w:rPr/>
      </w:pPr>
      <w:r>
        <w:separator/>
      </w:r>
      <w:r/>
    </w:p>
  </w:endnote>
  <w:endnote w:type="continuationSeparator" w:id="0">
    <w:p>
      <w:pPr>
        <w:pBdr/>
        <w:spacing/>
        <w:ind/>
        <w:rPr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10000000000000000"/>
  </w:font>
  <w:font w:name="Courier New">
    <w:panose1 w:val="02070309020205020404"/>
  </w:font>
  <w:font w:name="Symbol">
    <w:panose1 w:val="05010000000000000000"/>
  </w:font>
  <w:font w:name="Times New Roman">
    <w:panose1 w:val="02020603050405020304"/>
  </w:font>
  <w:font w:name="Garamond">
    <w:panose1 w:val="02020603050405020304"/>
  </w:font>
  <w:font w:name="Tahoma">
    <w:panose1 w:val="020B0604030504040204"/>
  </w:font>
  <w:font w:name="Verdana">
    <w:panose1 w:val="020B0604030504040204"/>
  </w:font>
  <w:font w:name="Calibri Light (Заголовки)">
    <w:panose1 w:val="020F0502020204030204"/>
  </w:font>
  <w:font w:name="Cambria">
    <w:panose1 w:val="02040803050406030204"/>
  </w:font>
  <w:font w:name="Calibri">
    <w:panose1 w:val="020F0502020204030204"/>
  </w:font>
  <w:font w:name="Arial Unicode MS">
    <w:panose1 w:val="020B0604020202020204"/>
  </w:font>
  <w:font w:name="Arial">
    <w:panose1 w:val="020B060402020202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6"/>
      <w:pBdr/>
      <w:spacing/>
      <w:ind/>
      <w:rPr/>
    </w:pPr>
    <w:r/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pBdr/>
        <w:spacing/>
        <w:ind/>
        <w:rPr/>
      </w:pPr>
      <w:r>
        <w:separator/>
      </w:r>
      <w:r/>
    </w:p>
  </w:footnote>
  <w:footnote w:type="continuationSeparator" w:id="0">
    <w:p>
      <w:pPr>
        <w:pBdr/>
        <w:spacing/>
        <w:ind/>
        <w:rPr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sdt>
    <w:sdtPr>
      <w15:appearance w15:val="boundingBox"/>
      <w:id w:val="1067689657"/>
      <w:docPartObj>
        <w:docPartGallery w:val="Page Numbers (Top of Page)"/>
        <w:docPartUnique w:val="true"/>
      </w:docPartObj>
      <w:rPr/>
    </w:sdtPr>
    <w:sdtContent>
      <w:p>
        <w:pPr>
          <w:pStyle w:val="813"/>
          <w:pBdr/>
          <w:spacing/>
          <w:ind/>
          <w:jc w:val="center"/>
          <w:rPr/>
        </w:pPr>
        <w:r/>
        <w:r/>
      </w:p>
      <w:p>
        <w:pPr>
          <w:pStyle w:val="813"/>
          <w:pBdr/>
          <w:spacing/>
          <w:ind/>
          <w:jc w:val="center"/>
          <w:rPr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t xml:space="preserve">3</w:t>
        </w:r>
        <w:r>
          <w:fldChar w:fldCharType="end"/>
        </w:r>
        <w:r/>
      </w:p>
    </w:sdtContent>
  </w:sdt>
  <w:p>
    <w:pPr>
      <w:pStyle w:val="813"/>
      <w:pBdr/>
      <w:spacing/>
      <w:ind/>
      <w:rPr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pBdr/>
      <w:spacing/>
      <w:ind/>
      <w:rPr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framePr w:hAnchor="margin" w:vAnchor="text" w:wrap="around" w:xAlign="center" w:y="1"/>
      <w:pBdr/>
      <w:spacing/>
      <w:ind/>
      <w:rPr>
        <w:rStyle w:val="881"/>
      </w:rPr>
    </w:pPr>
    <w:r>
      <w:rPr>
        <w:rStyle w:val="881"/>
      </w:rPr>
      <w:fldChar w:fldCharType="begin"/>
    </w:r>
    <w:r>
      <w:rPr>
        <w:rStyle w:val="881"/>
      </w:rPr>
      <w:instrText xml:space="preserve">PAGE  </w:instrText>
    </w:r>
    <w:r>
      <w:rPr>
        <w:rStyle w:val="881"/>
      </w:rPr>
      <w:fldChar w:fldCharType="end"/>
    </w:r>
    <w:r>
      <w:rPr>
        <w:rStyle w:val="881"/>
      </w:rPr>
    </w:r>
  </w:p>
  <w:p>
    <w:pPr>
      <w:pStyle w:val="813"/>
      <w:pBdr/>
      <w:spacing/>
      <w:ind/>
      <w:rPr/>
    </w:pPr>
    <w:r/>
    <w:r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13"/>
      <w:pBdr/>
      <w:spacing/>
      <w:ind/>
      <w:jc w:val="center"/>
      <w:rPr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">
    <w:lvl w:ilvl="0">
      <w:isLgl w:val="false"/>
      <w:lvlJc w:val="left"/>
      <w:lvlText w:val=""/>
      <w:numFmt w:val="bullet"/>
      <w:pPr>
        <w:pBdr/>
        <w:tabs>
          <w:tab w:val="num" w:leader="none" w:pos="1353"/>
        </w:tabs>
        <w:spacing/>
        <w:ind w:hanging="360" w:left="1353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1440"/>
        </w:tabs>
        <w:spacing/>
        <w:ind w:hanging="360" w:left="1440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2160"/>
        </w:tabs>
        <w:spacing/>
        <w:ind w:hanging="360" w:left="2160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2880"/>
        </w:tabs>
        <w:spacing/>
        <w:ind w:hanging="360" w:left="2880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3600"/>
        </w:tabs>
        <w:spacing/>
        <w:ind w:hanging="360" w:left="3600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4320"/>
        </w:tabs>
        <w:spacing/>
        <w:ind w:hanging="360" w:left="4320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5040"/>
        </w:tabs>
        <w:spacing/>
        <w:ind w:hanging="360" w:left="5040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5760"/>
        </w:tabs>
        <w:spacing/>
        <w:ind w:hanging="360" w:left="5760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6480"/>
        </w:tabs>
        <w:spacing/>
        <w:ind w:hanging="360" w:left="6480"/>
      </w:pPr>
      <w:rPr>
        <w:rFonts w:hint="default" w:ascii="Wingdings" w:hAnsi="Wingdings"/>
      </w:rPr>
      <w:start w:val="1"/>
      <w:suff w:val="tab"/>
    </w:lvl>
  </w:abstractNum>
  <w:abstractNum w:abstractNumId="3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4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5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6">
    <w:lvl w:ilvl="0">
      <w:isLgl w:val="false"/>
      <w:lvlJc w:val="left"/>
      <w:lvlText w:val="%1."/>
      <w:numFmt w:val="decimal"/>
      <w:pPr>
        <w:pBdr/>
        <w:spacing/>
        <w:ind w:hanging="360" w:left="360"/>
      </w:pPr>
      <w:rPr>
        <w:b/>
        <w:bCs w:val="0"/>
        <w:sz w:val="24"/>
        <w:szCs w:val="24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000"/>
      </w:pPr>
      <w:rPr>
        <w:b w:val="0"/>
        <w:b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sz w:val="24"/>
        <w:szCs w:val="24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7">
    <w:lvl w:ilvl="0">
      <w:isLgl w:val="false"/>
      <w:lvlJc w:val="left"/>
      <w:lvlText w:val="%1."/>
      <w:numFmt w:val="decimal"/>
      <w:pPr>
        <w:pBdr/>
        <w:spacing/>
        <w:ind w:hanging="360" w:left="720"/>
      </w:pPr>
      <w:rPr/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8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9">
    <w:lvl w:ilvl="0">
      <w:isLgl w:val="false"/>
      <w:lvlJc w:val="left"/>
      <w:lvlText w:val="%1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1134" w:left="1134"/>
      </w:pPr>
      <w:rPr>
        <w:rFonts w:hint="default"/>
      </w:rPr>
      <w:start w:val="1"/>
      <w:suff w:val="tab"/>
    </w:lvl>
    <w:lvl w:ilvl="3">
      <w:isLgl w:val="false"/>
      <w:lvlJc w:val="left"/>
      <w:lvlText w:val="(%4)"/>
      <w:numFmt w:val="russianLower"/>
      <w:pPr>
        <w:pBdr/>
        <w:spacing/>
        <w:ind w:hanging="567" w:left="1985"/>
      </w:pPr>
      <w:pStyle w:val="892"/>
      <w:rPr>
        <w:rFonts w:hint="default"/>
      </w:rPr>
      <w:start w:val="1"/>
      <w:suff w:val="tab"/>
    </w:lvl>
    <w:lvl w:ilvl="4">
      <w:isLgl w:val="false"/>
      <w:lvlJc w:val="left"/>
      <w:lvlText w:val="–"/>
      <w:numFmt w:val="bullet"/>
      <w:pPr>
        <w:pBdr/>
        <w:spacing/>
        <w:ind w:hanging="567" w:left="2268"/>
      </w:pPr>
      <w:pStyle w:val="893"/>
      <w:rPr>
        <w:rFonts w:hint="default" w:ascii="Times New Roman" w:hAnsi="Times New Roman" w:cs="Times New Roman"/>
      </w:rPr>
      <w:start w:val="1"/>
      <w:suff w:val="tab"/>
    </w:lvl>
    <w:lvl w:ilvl="5">
      <w:isLgl w:val="false"/>
      <w:lvlJc w:val="left"/>
      <w:lvlRestart w:val="3"/>
      <w:lvlText/>
      <w:numFmt w:val="none"/>
      <w:pPr>
        <w:pBdr/>
        <w:spacing/>
        <w:ind w:firstLine="0" w:left="1134"/>
      </w:pPr>
      <w:pStyle w:val="896"/>
      <w:rPr>
        <w:rFonts w:hint="default"/>
      </w:rPr>
      <w:start w:val="1"/>
      <w:suff w:val="nothing"/>
    </w:lvl>
    <w:lvl w:ilvl="6">
      <w:isLgl w:val="false"/>
      <w:lvlJc w:val="left"/>
      <w:lvlRestart w:val="4"/>
      <w:lvlText/>
      <w:numFmt w:val="none"/>
      <w:pPr>
        <w:pBdr/>
        <w:spacing/>
        <w:ind w:firstLine="0" w:left="1701"/>
      </w:pPr>
      <w:pStyle w:val="894"/>
      <w:rPr>
        <w:rFonts w:hint="default"/>
      </w:rPr>
      <w:start w:val="1"/>
      <w:suff w:val="nothing"/>
    </w:lvl>
    <w:lvl w:ilvl="7">
      <w:isLgl w:val="false"/>
      <w:lvlJc w:val="left"/>
      <w:lvlRestart w:val="3"/>
      <w:lvlText/>
      <w:numFmt w:val="none"/>
      <w:pPr>
        <w:pBdr/>
        <w:spacing/>
        <w:ind w:firstLine="0" w:left="0"/>
      </w:pPr>
      <w:pStyle w:val="895"/>
      <w:rPr>
        <w:rFonts w:hint="default"/>
      </w:rPr>
      <w:start w:val="1"/>
      <w:suff w:val="nothing"/>
    </w:lvl>
    <w:lvl w:ilvl="8">
      <w:isLgl w:val="false"/>
      <w:lvlJc w:val="left"/>
      <w:lvlRestart w:val="3"/>
      <w:lvlText/>
      <w:numFmt w:val="none"/>
      <w:pPr>
        <w:pBdr/>
        <w:spacing/>
        <w:ind w:firstLine="0" w:left="1134"/>
      </w:pPr>
      <w:rPr>
        <w:rFonts w:hint="default"/>
      </w:rPr>
      <w:start w:val="1"/>
      <w:suff w:val="nothing"/>
    </w:lvl>
  </w:abstractNum>
  <w:abstractNum w:abstractNumId="10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1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2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13">
    <w:lvl w:ilvl="0">
      <w:isLgl w:val="false"/>
      <w:lvlJc w:val="left"/>
      <w:lvlText w:val="%1"/>
      <w:numFmt w:val="decimal"/>
      <w:pPr>
        <w:pBdr/>
        <w:spacing/>
        <w:ind w:hanging="360" w:left="720"/>
      </w:pPr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1440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160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2880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3600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4320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040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5760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6480"/>
      </w:pPr>
      <w:rPr/>
      <w:start w:val="1"/>
      <w:suff w:val="tab"/>
    </w:lvl>
  </w:abstractNum>
  <w:abstractNum w:abstractNumId="14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15">
    <w:lvl w:ilvl="0">
      <w:isLgl w:val="false"/>
      <w:lvlJc w:val="left"/>
      <w:lvlText w:val="%1."/>
      <w:numFmt w:val="decimal"/>
      <w:pPr>
        <w:pBdr/>
        <w:tabs>
          <w:tab w:val="num" w:leader="none" w:pos="360"/>
        </w:tabs>
        <w:spacing/>
        <w:ind w:hanging="360" w:left="360"/>
      </w:pPr>
      <w:pStyle w:val="805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tabs>
          <w:tab w:val="num" w:leader="none" w:pos="357"/>
        </w:tabs>
        <w:spacing/>
        <w:ind w:firstLine="0" w:left="0"/>
      </w:pPr>
      <w:pStyle w:val="806"/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tabs>
          <w:tab w:val="num" w:leader="none" w:pos="2520"/>
        </w:tabs>
        <w:spacing/>
        <w:ind w:firstLine="0" w:left="0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tabs>
          <w:tab w:val="num" w:leader="none" w:pos="357"/>
        </w:tabs>
        <w:spacing/>
        <w:ind w:firstLine="0" w:left="0"/>
      </w:pPr>
      <w:rPr>
        <w:rFonts w:hint="default"/>
      </w:rPr>
      <w:start w:val="1"/>
      <w:suff w:val="tab"/>
    </w:lvl>
  </w:abstractNum>
  <w:abstractNum w:abstractNumId="16">
    <w:lvl w:ilvl="0">
      <w:isLgl w:val="false"/>
      <w:lvlJc w:val="left"/>
      <w:lvlText w:val=""/>
      <w:numFmt w:val="bullet"/>
      <w:pPr>
        <w:pBdr/>
        <w:tabs>
          <w:tab w:val="num" w:leader="none" w:pos="1778"/>
        </w:tabs>
        <w:spacing/>
        <w:ind w:hanging="360" w:left="1778"/>
      </w:pPr>
      <w:rPr>
        <w:rFonts w:hint="default" w:ascii="Symbol" w:hAnsi="Symbol"/>
      </w:rPr>
      <w:start w:val="1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2498"/>
        </w:tabs>
        <w:spacing/>
        <w:ind w:hanging="360" w:left="2498"/>
      </w:pPr>
      <w:rPr>
        <w:rFonts w:hint="default" w:ascii="Courier New" w:hAnsi="Courier New" w:cs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3218"/>
        </w:tabs>
        <w:spacing/>
        <w:ind w:hanging="360" w:left="3218"/>
      </w:pPr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3938"/>
        </w:tabs>
        <w:spacing/>
        <w:ind w:hanging="360" w:left="3938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4658"/>
        </w:tabs>
        <w:spacing/>
        <w:ind w:hanging="360" w:left="4658"/>
      </w:pPr>
      <w:rPr>
        <w:rFonts w:hint="default" w:ascii="Courier New" w:hAnsi="Courier New" w:cs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5378"/>
        </w:tabs>
        <w:spacing/>
        <w:ind w:hanging="360" w:left="5378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6098"/>
        </w:tabs>
        <w:spacing/>
        <w:ind w:hanging="360" w:left="6098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6818"/>
        </w:tabs>
        <w:spacing/>
        <w:ind w:hanging="360" w:left="6818"/>
      </w:pPr>
      <w:rPr>
        <w:rFonts w:hint="default" w:ascii="Courier New" w:hAnsi="Courier New" w:cs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7538"/>
        </w:tabs>
        <w:spacing/>
        <w:ind w:hanging="360" w:left="7538"/>
      </w:pPr>
      <w:rPr>
        <w:rFonts w:hint="default" w:ascii="Wingdings" w:hAnsi="Wingdings"/>
      </w:rPr>
      <w:start w:val="1"/>
      <w:suff w:val="tab"/>
    </w:lvl>
  </w:abstractNum>
  <w:abstractNum w:abstractNumId="17">
    <w:lvl w:ilvl="0">
      <w:isLgl w:val="false"/>
      <w:lvlJc w:val="left"/>
      <w:lvlText w:val="%1."/>
      <w:numFmt w:val="decimal"/>
      <w:pPr>
        <w:pBdr/>
        <w:spacing/>
        <w:ind w:hanging="360" w:left="5038"/>
      </w:pPr>
      <w:pStyle w:val="792"/>
      <w:rPr>
        <w:rFonts w:hint="default" w:ascii="Times New Roman" w:hAnsi="Times New Roman" w:cs="Times New Roman"/>
        <w:b/>
        <w:bCs w:val="0"/>
        <w:i w:val="0"/>
        <w:iCs w:val="0"/>
        <w:caps w:val="0"/>
        <w:smallCaps w:val="0"/>
        <w:strike w:val="0"/>
        <w:vanish w:val="0"/>
        <w:color w:val="000000"/>
        <w:spacing w:val="0"/>
        <w:position w:val="0"/>
        <w:sz w:val="28"/>
        <w:szCs w:val="28"/>
        <w:u w:val="none"/>
        <w:vertAlign w:val="baseline"/>
        <w14:textOutline w14:w="0" w14:cap="rnd" w14:cmpd="sng" w14:algn="ctr">
          <w14:noFill/>
          <w14:prstDash w14:val="solid"/>
          <w14:bevel/>
        </w14:textOutline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432"/>
      </w:pPr>
      <w:pStyle w:val="795"/>
      <w:rPr>
        <w:rFonts w:hint="default"/>
        <w:b/>
        <w:bCs/>
        <w:i w:val="0"/>
        <w:iCs/>
        <w:sz w:val="24"/>
        <w:szCs w:val="24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pStyle w:val="794"/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abstractNum w:abstractNumId="18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19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0">
    <w:styleLink w:val="886"/>
    <w:lvl w:ilvl="0">
      <w:isLgl w:val="false"/>
      <w:lvlJc w:val="left"/>
      <w:lvlText w:val="%1."/>
      <w:numFmt w:val="decimal"/>
      <w:pPr>
        <w:pBdr/>
        <w:spacing/>
        <w:ind w:hanging="360" w:left="720"/>
      </w:pPr>
      <w:pStyle w:val="886"/>
      <w:rPr>
        <w:rFonts w:hint="default"/>
      </w:rPr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1152"/>
      </w:pPr>
      <w:rPr>
        <w:rFonts w:hint="default" w:ascii="Times New Roman" w:hAnsi="Times New Roman"/>
        <w:sz w:val="28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58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208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59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309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60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410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680"/>
      </w:pPr>
      <w:rPr>
        <w:rFonts w:hint="default"/>
      </w:rPr>
      <w:start w:val="1"/>
      <w:suff w:val="tab"/>
    </w:lvl>
  </w:abstractNum>
  <w:abstractNum w:abstractNumId="21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2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3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4">
    <w:lvl w:ilvl="0">
      <w:isLgl w:val="false"/>
      <w:lvlJc w:val="left"/>
      <w:lvlText w:val="1.%1"/>
      <w:numFmt w:val="decimal"/>
      <w:pPr>
        <w:pBdr/>
        <w:spacing/>
        <w:ind w:hanging="360" w:left="1429"/>
      </w:pPr>
      <w:pStyle w:val="904"/>
      <w:rPr>
        <w:rFonts w:hint="default"/>
      </w:rPr>
      <w:start w:val="1"/>
      <w:suff w:val="tab"/>
    </w:lvl>
    <w:lvl w:ilvl="1">
      <w:isLgl w:val="false"/>
      <w:lvlJc w:val="left"/>
      <w:lvlText w:val="%2."/>
      <w:numFmt w:val="lowerLetter"/>
      <w:pPr>
        <w:pBdr/>
        <w:spacing/>
        <w:ind w:hanging="360" w:left="2149"/>
      </w:pPr>
      <w:rPr/>
      <w:start w:val="1"/>
      <w:suff w:val="tab"/>
    </w:lvl>
    <w:lvl w:ilvl="2">
      <w:isLgl w:val="false"/>
      <w:lvlJc w:val="right"/>
      <w:lvlText w:val="%3."/>
      <w:numFmt w:val="lowerRoman"/>
      <w:pPr>
        <w:pBdr/>
        <w:spacing/>
        <w:ind w:hanging="180" w:left="2869"/>
      </w:pPr>
      <w:rPr/>
      <w:start w:val="1"/>
      <w:suff w:val="tab"/>
    </w:lvl>
    <w:lvl w:ilvl="3">
      <w:isLgl w:val="false"/>
      <w:lvlJc w:val="left"/>
      <w:lvlText w:val="%4."/>
      <w:numFmt w:val="decimal"/>
      <w:pPr>
        <w:pBdr/>
        <w:spacing/>
        <w:ind w:hanging="360" w:left="3589"/>
      </w:pPr>
      <w:rPr/>
      <w:start w:val="1"/>
      <w:suff w:val="tab"/>
    </w:lvl>
    <w:lvl w:ilvl="4">
      <w:isLgl w:val="false"/>
      <w:lvlJc w:val="left"/>
      <w:lvlText w:val="%5."/>
      <w:numFmt w:val="lowerLetter"/>
      <w:pPr>
        <w:pBdr/>
        <w:spacing/>
        <w:ind w:hanging="360" w:left="4309"/>
      </w:pPr>
      <w:rPr/>
      <w:start w:val="1"/>
      <w:suff w:val="tab"/>
    </w:lvl>
    <w:lvl w:ilvl="5">
      <w:isLgl w:val="false"/>
      <w:lvlJc w:val="right"/>
      <w:lvlText w:val="%6."/>
      <w:numFmt w:val="lowerRoman"/>
      <w:pPr>
        <w:pBdr/>
        <w:spacing/>
        <w:ind w:hanging="180" w:left="5029"/>
      </w:pPr>
      <w:rPr/>
      <w:start w:val="1"/>
      <w:suff w:val="tab"/>
    </w:lvl>
    <w:lvl w:ilvl="6">
      <w:isLgl w:val="false"/>
      <w:lvlJc w:val="left"/>
      <w:lvlText w:val="%7."/>
      <w:numFmt w:val="decimal"/>
      <w:pPr>
        <w:pBdr/>
        <w:spacing/>
        <w:ind w:hanging="360" w:left="5749"/>
      </w:pPr>
      <w:rPr/>
      <w:start w:val="1"/>
      <w:suff w:val="tab"/>
    </w:lvl>
    <w:lvl w:ilvl="7">
      <w:isLgl w:val="false"/>
      <w:lvlJc w:val="left"/>
      <w:lvlText w:val="%8."/>
      <w:numFmt w:val="lowerLetter"/>
      <w:pPr>
        <w:pBdr/>
        <w:spacing/>
        <w:ind w:hanging="360" w:left="6469"/>
      </w:pPr>
      <w:rPr/>
      <w:start w:val="1"/>
      <w:suff w:val="tab"/>
    </w:lvl>
    <w:lvl w:ilvl="8">
      <w:isLgl w:val="false"/>
      <w:lvlJc w:val="right"/>
      <w:lvlText w:val="%9."/>
      <w:numFmt w:val="lowerRoman"/>
      <w:pPr>
        <w:pBdr/>
        <w:spacing/>
        <w:ind w:hanging="180" w:left="7189"/>
      </w:pPr>
      <w:rPr/>
      <w:start w:val="1"/>
      <w:suff w:val="tab"/>
    </w:lvl>
  </w:abstractNum>
  <w:abstractNum w:abstractNumId="25">
    <w:lvl w:ilvl="0">
      <w:isLgl w:val="false"/>
      <w:lvlJc w:val="left"/>
      <w:lvlText w:val="%1."/>
      <w:numFmt w:val="decimal"/>
      <w:pPr>
        <w:pBdr/>
        <w:spacing/>
        <w:ind/>
      </w:pPr>
      <w:rPr>
        <w:rFonts w:ascii="Times New Roman" w:hAnsi="Times New Roman" w:eastAsia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position w:val="0"/>
        <w:sz w:val="22"/>
        <w:szCs w:val="22"/>
        <w:u w:val="none"/>
        <w:lang w:val="ru-RU" w:eastAsia="ru-RU" w:bidi="ru-RU"/>
      </w:rPr>
      <w:start w:val="1"/>
      <w:suff w:val="tab"/>
    </w:lvl>
    <w:lvl w:ilvl="1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2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3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4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5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6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7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  <w:lvl w:ilvl="8">
      <w:isLgl w:val="false"/>
      <w:lvlJc w:val="left"/>
      <w:lvlText/>
      <w:numFmt w:val="decimal"/>
      <w:pPr>
        <w:pBdr/>
        <w:spacing/>
        <w:ind/>
      </w:pPr>
      <w:rPr/>
      <w:start w:val="0"/>
      <w:suff w:val="tab"/>
    </w:lvl>
  </w:abstractNum>
  <w:abstractNum w:abstractNumId="26">
    <w:lvl w:ilvl="0">
      <w:isLgl w:val="false"/>
      <w:lvlJc w:val="left"/>
      <w:lvlText w:val="-"/>
      <w:numFmt w:val="bullet"/>
      <w:pPr>
        <w:pBdr/>
        <w:tabs>
          <w:tab w:val="num" w:leader="none" w:pos="-207"/>
        </w:tabs>
        <w:spacing/>
        <w:ind w:hanging="360" w:left="-207"/>
      </w:pPr>
      <w:pStyle w:val="873"/>
      <w:rPr>
        <w:rFonts w:hint="default" w:ascii="Times New Roman" w:hAnsi="Times New Roman" w:eastAsia="Times New Roman" w:cs="Times New Roman"/>
      </w:rPr>
      <w:start w:val="4"/>
      <w:suff w:val="tab"/>
    </w:lvl>
    <w:lvl w:ilvl="1">
      <w:isLgl w:val="false"/>
      <w:lvlJc w:val="left"/>
      <w:lvlText w:val="o"/>
      <w:numFmt w:val="bullet"/>
      <w:pPr>
        <w:pBdr/>
        <w:tabs>
          <w:tab w:val="num" w:leader="none" w:pos="513"/>
        </w:tabs>
        <w:spacing/>
        <w:ind w:hanging="360" w:left="513"/>
      </w:pPr>
      <w:pStyle w:val="874"/>
      <w:rPr>
        <w:rFonts w:hint="default" w:ascii="Courier New" w:hAnsi="Courier New"/>
      </w:rPr>
      <w:start w:val="1"/>
      <w:suff w:val="tab"/>
    </w:lvl>
    <w:lvl w:ilvl="2">
      <w:isLgl w:val="false"/>
      <w:lvlJc w:val="left"/>
      <w:lvlText w:val=""/>
      <w:numFmt w:val="bullet"/>
      <w:pPr>
        <w:pBdr/>
        <w:tabs>
          <w:tab w:val="num" w:leader="none" w:pos="1233"/>
        </w:tabs>
        <w:spacing/>
        <w:ind w:hanging="360" w:left="1233"/>
      </w:pPr>
      <w:pStyle w:val="872"/>
      <w:rPr>
        <w:rFonts w:hint="default" w:ascii="Wingdings" w:hAnsi="Wingdings"/>
      </w:rPr>
      <w:start w:val="1"/>
      <w:suff w:val="tab"/>
    </w:lvl>
    <w:lvl w:ilvl="3">
      <w:isLgl w:val="false"/>
      <w:lvlJc w:val="left"/>
      <w:lvlText w:val=""/>
      <w:numFmt w:val="bullet"/>
      <w:pPr>
        <w:pBdr/>
        <w:tabs>
          <w:tab w:val="num" w:leader="none" w:pos="1953"/>
        </w:tabs>
        <w:spacing/>
        <w:ind w:hanging="360" w:left="1953"/>
      </w:pPr>
      <w:rPr>
        <w:rFonts w:hint="default" w:ascii="Symbol" w:hAnsi="Symbol"/>
      </w:rPr>
      <w:start w:val="1"/>
      <w:suff w:val="tab"/>
    </w:lvl>
    <w:lvl w:ilvl="4">
      <w:isLgl w:val="false"/>
      <w:lvlJc w:val="left"/>
      <w:lvlText w:val="o"/>
      <w:numFmt w:val="bullet"/>
      <w:pPr>
        <w:pBdr/>
        <w:tabs>
          <w:tab w:val="num" w:leader="none" w:pos="2673"/>
        </w:tabs>
        <w:spacing/>
        <w:ind w:hanging="360" w:left="2673"/>
      </w:pPr>
      <w:rPr>
        <w:rFonts w:hint="default" w:ascii="Courier New" w:hAnsi="Courier New"/>
      </w:rPr>
      <w:start w:val="1"/>
      <w:suff w:val="tab"/>
    </w:lvl>
    <w:lvl w:ilvl="5">
      <w:isLgl w:val="false"/>
      <w:lvlJc w:val="left"/>
      <w:lvlText w:val=""/>
      <w:numFmt w:val="bullet"/>
      <w:pPr>
        <w:pBdr/>
        <w:tabs>
          <w:tab w:val="num" w:leader="none" w:pos="3393"/>
        </w:tabs>
        <w:spacing/>
        <w:ind w:hanging="360" w:left="3393"/>
      </w:pPr>
      <w:rPr>
        <w:rFonts w:hint="default" w:ascii="Wingdings" w:hAnsi="Wingdings"/>
      </w:rPr>
      <w:start w:val="1"/>
      <w:suff w:val="tab"/>
    </w:lvl>
    <w:lvl w:ilvl="6">
      <w:isLgl w:val="false"/>
      <w:lvlJc w:val="left"/>
      <w:lvlText w:val=""/>
      <w:numFmt w:val="bullet"/>
      <w:pPr>
        <w:pBdr/>
        <w:tabs>
          <w:tab w:val="num" w:leader="none" w:pos="4113"/>
        </w:tabs>
        <w:spacing/>
        <w:ind w:hanging="360" w:left="4113"/>
      </w:pPr>
      <w:rPr>
        <w:rFonts w:hint="default" w:ascii="Symbol" w:hAnsi="Symbol"/>
      </w:rPr>
      <w:start w:val="1"/>
      <w:suff w:val="tab"/>
    </w:lvl>
    <w:lvl w:ilvl="7">
      <w:isLgl w:val="false"/>
      <w:lvlJc w:val="left"/>
      <w:lvlText w:val="o"/>
      <w:numFmt w:val="bullet"/>
      <w:pPr>
        <w:pBdr/>
        <w:tabs>
          <w:tab w:val="num" w:leader="none" w:pos="4833"/>
        </w:tabs>
        <w:spacing/>
        <w:ind w:hanging="360" w:left="4833"/>
      </w:pPr>
      <w:rPr>
        <w:rFonts w:hint="default" w:ascii="Courier New" w:hAnsi="Courier New"/>
      </w:rPr>
      <w:start w:val="1"/>
      <w:suff w:val="tab"/>
    </w:lvl>
    <w:lvl w:ilvl="8">
      <w:isLgl w:val="false"/>
      <w:lvlJc w:val="left"/>
      <w:lvlText w:val=""/>
      <w:numFmt w:val="bullet"/>
      <w:pPr>
        <w:pBdr/>
        <w:tabs>
          <w:tab w:val="num" w:leader="none" w:pos="5553"/>
        </w:tabs>
        <w:spacing/>
        <w:ind w:hanging="360" w:left="5553"/>
      </w:pPr>
      <w:rPr>
        <w:rFonts w:hint="default" w:ascii="Wingdings" w:hAnsi="Wingdings"/>
      </w:rPr>
      <w:start w:val="1"/>
      <w:suff w:val="tab"/>
    </w:lvl>
  </w:abstractNum>
  <w:abstractNum w:abstractNumId="27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28">
    <w:lvl w:ilvl="0">
      <w:isLgl w:val="false"/>
      <w:lvlJc w:val="left"/>
      <w:lvlText w:val="%1."/>
      <w:numFmt w:val="decimal"/>
      <w:pPr>
        <w:pBdr/>
        <w:spacing/>
        <w:ind w:hanging="360" w:left="360"/>
      </w:pPr>
      <w:rPr/>
      <w:start w:val="1"/>
      <w:suff w:val="tab"/>
    </w:lvl>
    <w:lvl w:ilvl="1">
      <w:isLgl w:val="false"/>
      <w:lvlJc w:val="left"/>
      <w:lvlText w:val="%1.%2."/>
      <w:numFmt w:val="decimal"/>
      <w:pPr>
        <w:pBdr/>
        <w:spacing/>
        <w:ind w:hanging="432" w:left="792"/>
      </w:pPr>
      <w:rPr/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/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/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/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/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/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/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/>
      <w:start w:val="1"/>
      <w:suff w:val="tab"/>
    </w:lvl>
  </w:abstractNum>
  <w:abstractNum w:abstractNumId="29">
    <w:styleLink w:val="882"/>
    <w:lvl w:ilvl="0">
      <w:isLgl w:val="false"/>
      <w:lvlJc w:val="left"/>
      <w:lvlText w:val="%1."/>
      <w:numFmt w:val="decimal"/>
      <w:pPr>
        <w:pBdr/>
        <w:spacing/>
        <w:ind w:hanging="360" w:left="360"/>
      </w:pPr>
      <w:pStyle w:val="882"/>
      <w:rPr>
        <w:rFonts w:hint="default"/>
      </w:rPr>
      <w:start w:val="3"/>
      <w:suff w:val="tab"/>
    </w:lvl>
    <w:lvl w:ilvl="1">
      <w:isLgl w:val="false"/>
      <w:lvlJc w:val="left"/>
      <w:lvlText w:val="3.%2."/>
      <w:numFmt w:val="decimal"/>
      <w:pPr>
        <w:pBdr/>
        <w:spacing/>
        <w:ind w:hanging="432" w:left="792"/>
      </w:pPr>
      <w:rPr>
        <w:rFonts w:hint="default"/>
      </w:rPr>
      <w:start w:val="1"/>
      <w:suff w:val="tab"/>
    </w:lvl>
    <w:lvl w:ilvl="2">
      <w:isLgl w:val="false"/>
      <w:lvlJc w:val="left"/>
      <w:lvlText w:val="%1.%2.%3."/>
      <w:numFmt w:val="decimal"/>
      <w:pPr>
        <w:pBdr/>
        <w:spacing/>
        <w:ind w:hanging="504" w:left="1224"/>
      </w:pPr>
      <w:rPr>
        <w:rFonts w:hint="default"/>
      </w:rPr>
      <w:start w:val="1"/>
      <w:suff w:val="tab"/>
    </w:lvl>
    <w:lvl w:ilvl="3">
      <w:isLgl w:val="false"/>
      <w:lvlJc w:val="left"/>
      <w:lvlText w:val="%1.%2.%3.%4."/>
      <w:numFmt w:val="decimal"/>
      <w:pPr>
        <w:pBdr/>
        <w:spacing/>
        <w:ind w:hanging="648" w:left="1728"/>
      </w:pPr>
      <w:rPr>
        <w:rFonts w:hint="default"/>
      </w:rPr>
      <w:start w:val="1"/>
      <w:suff w:val="tab"/>
    </w:lvl>
    <w:lvl w:ilvl="4">
      <w:isLgl w:val="false"/>
      <w:lvlJc w:val="left"/>
      <w:lvlText w:val="%1.%2.%3.%4.%5."/>
      <w:numFmt w:val="decimal"/>
      <w:pPr>
        <w:pBdr/>
        <w:spacing/>
        <w:ind w:hanging="792" w:left="2232"/>
      </w:pPr>
      <w:rPr>
        <w:rFonts w:hint="default"/>
      </w:rPr>
      <w:start w:val="1"/>
      <w:suff w:val="tab"/>
    </w:lvl>
    <w:lvl w:ilvl="5">
      <w:isLgl w:val="false"/>
      <w:lvlJc w:val="left"/>
      <w:lvlText w:val="%1.%2.%3.%4.%5.%6."/>
      <w:numFmt w:val="decimal"/>
      <w:pPr>
        <w:pBdr/>
        <w:spacing/>
        <w:ind w:hanging="936" w:left="2736"/>
      </w:pPr>
      <w:rPr>
        <w:rFonts w:hint="default"/>
      </w:rPr>
      <w:start w:val="1"/>
      <w:suff w:val="tab"/>
    </w:lvl>
    <w:lvl w:ilvl="6">
      <w:isLgl w:val="false"/>
      <w:lvlJc w:val="left"/>
      <w:lvlText w:val="%1.%2.%3.%4.%5.%6.%7."/>
      <w:numFmt w:val="decimal"/>
      <w:pPr>
        <w:pBdr/>
        <w:spacing/>
        <w:ind w:hanging="1080" w:left="3240"/>
      </w:pPr>
      <w:rPr>
        <w:rFonts w:hint="default"/>
      </w:rPr>
      <w:start w:val="1"/>
      <w:suff w:val="tab"/>
    </w:lvl>
    <w:lvl w:ilvl="7">
      <w:isLgl w:val="false"/>
      <w:lvlJc w:val="left"/>
      <w:lvlText w:val="%1.%2.%3.%4.%5.%6.%7.%8."/>
      <w:numFmt w:val="decimal"/>
      <w:pPr>
        <w:pBdr/>
        <w:spacing/>
        <w:ind w:hanging="1224" w:left="3744"/>
      </w:pPr>
      <w:rPr>
        <w:rFonts w:hint="default"/>
      </w:rPr>
      <w:start w:val="1"/>
      <w:suff w:val="tab"/>
    </w:lvl>
    <w:lvl w:ilvl="8">
      <w:isLgl w:val="false"/>
      <w:lvlJc w:val="left"/>
      <w:lvlText w:val="%1.%2.%3.%4.%5.%6.%7.%8.%9."/>
      <w:numFmt w:val="decimal"/>
      <w:pPr>
        <w:pBdr/>
        <w:spacing/>
        <w:ind w:hanging="1440" w:left="4320"/>
      </w:pPr>
      <w:rPr>
        <w:rFonts w:hint="default"/>
      </w:rPr>
      <w:start w:val="1"/>
      <w:suff w:val="tab"/>
    </w:lvl>
  </w:abstractNum>
  <w:num w:numId="1">
    <w:abstractNumId w:val="15"/>
  </w:num>
  <w:num w:numId="2">
    <w:abstractNumId w:val="26"/>
  </w:num>
  <w:num w:numId="3">
    <w:abstractNumId w:val="29"/>
  </w:num>
  <w:num w:numId="4">
    <w:abstractNumId w:val="17"/>
  </w:num>
  <w:num w:numId="5">
    <w:abstractNumId w:val="20"/>
  </w:num>
  <w:num w:numId="6">
    <w:abstractNumId w:val="9"/>
  </w:num>
  <w:num w:numId="7">
    <w:abstractNumId w:val="24"/>
  </w:num>
  <w:num w:numId="8">
    <w:abstractNumId w:val="6"/>
  </w:num>
  <w:num w:numId="9">
    <w:abstractNumId w:val="3"/>
  </w:num>
  <w:num w:numId="10">
    <w:abstractNumId w:val="11"/>
  </w:num>
  <w:num w:numId="11">
    <w:abstractNumId w:val="10"/>
  </w:num>
  <w:num w:numId="12">
    <w:abstractNumId w:val="27"/>
  </w:num>
  <w:num w:numId="13">
    <w:abstractNumId w:val="12"/>
  </w:num>
  <w:num w:numId="14">
    <w:abstractNumId w:val="28"/>
  </w:num>
  <w:num w:numId="15">
    <w:abstractNumId w:val="2"/>
  </w:num>
  <w:num w:numId="16">
    <w:abstractNumId w:val="16"/>
  </w:num>
  <w:num w:numId="17">
    <w:abstractNumId w:val="17"/>
  </w:num>
  <w:num w:numId="18">
    <w:abstractNumId w:val="5"/>
  </w:num>
  <w:num w:numId="19">
    <w:abstractNumId w:val="19"/>
  </w:num>
  <w:num w:numId="20">
    <w:abstractNumId w:val="23"/>
  </w:num>
  <w:num w:numId="21">
    <w:abstractNumId w:val="22"/>
  </w:num>
  <w:num w:numId="22">
    <w:abstractNumId w:val="8"/>
  </w:num>
  <w:num w:numId="23">
    <w:abstractNumId w:val="18"/>
  </w:num>
  <w:num w:numId="24">
    <w:abstractNumId w:val="25"/>
  </w:num>
  <w:num w:numId="25">
    <w:abstractNumId w:val="14"/>
  </w:num>
  <w:num w:numId="26">
    <w:abstractNumId w:val="1"/>
  </w:num>
  <w:num w:numId="27">
    <w:abstractNumId w:val="21"/>
  </w:num>
  <w:num w:numId="28">
    <w:abstractNumId w:val="4"/>
  </w:num>
  <w:num w:numId="29">
    <w:abstractNumId w:val="7"/>
  </w:num>
  <w:num w:numId="30">
    <w:abstractNumId w:val="0"/>
  </w:num>
  <w:num w:numId="31">
    <w:abstractNumId w:val="1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>
        <w:pBdr/>
        <w:spacing/>
        <w:ind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table" w:styleId="12">
    <w:name w:val="Table Grid Light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">
    <w:name w:val="Plain Table 1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4">
    <w:name w:val="Plain Table 2"/>
    <w:basedOn w:val="802"/>
    <w:uiPriority w:val="59"/>
    <w:pPr>
      <w:pBdr/>
      <w:spacing w:after="0" w:line="240" w:lineRule="auto"/>
      <w:ind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5">
    <w:name w:val="Plain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aps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6">
    <w:name w:val="Plain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7">
    <w:name w:val="Plain Table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8">
    <w:name w:val="Grid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9">
    <w:name w:val="Grid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0">
    <w:name w:val="Grid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1">
    <w:name w:val="Grid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2">
    <w:name w:val="Grid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3">
    <w:name w:val="Grid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4">
    <w:name w:val="Grid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5">
    <w:name w:val="Grid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6">
    <w:name w:val="Grid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7">
    <w:name w:val="Grid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8">
    <w:name w:val="Grid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29">
    <w:name w:val="Grid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0">
    <w:name w:val="Grid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1">
    <w:name w:val="Grid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2">
    <w:name w:val="Grid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3">
    <w:name w:val="Grid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4">
    <w:name w:val="Grid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5">
    <w:name w:val="Grid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6">
    <w:name w:val="Grid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7">
    <w:name w:val="Grid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8">
    <w:name w:val="Grid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i/>
        <w:color w:val="404040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pPr>
        <w:pBdr/>
        <w:spacing/>
        <w:ind/>
      </w:pPr>
      <w:tblPr>
        <w:tblBorders/>
      </w:tbl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39">
    <w:name w:val="Grid Table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0">
    <w:name w:val="Grid Table 4 - Accent 1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2" w:fill="dae3f3" w:themeFill="accent1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E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1">
    <w:name w:val="Grid Table 4 - Accent 2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2">
    <w:name w:val="Grid Table 4 - Accent 3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FE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3">
    <w:name w:val="Grid Table 4 - Accent 4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4">
    <w:name w:val="Grid Table 4 - Accent 5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5">
    <w:name w:val="Grid Table 4 - Accent 6"/>
    <w:basedOn w:val="802"/>
    <w:uiPriority w:val="5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6">
    <w:name w:val="Grid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75" w:fill="8a8a8a" w:themeFill="tex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7">
    <w:name w:val="Grid Table 5 Dark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3" w:themeFill="accent1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75" w:fill="a9bee4" w:themeFill="accent1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8">
    <w:name w:val="Grid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6d7" w:themeFill="accent2" w:themeFillTint="32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75" w:fill="f7c3a0" w:themeFill="accent2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49">
    <w:name w:val="Grid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75" w:fill="d6d6d6" w:themeFill="accent3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0">
    <w:name w:val="Grid Table 5 Dark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ff2cb" w:themeFill="accent4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75" w:fill="ffe28a" w:themeFill="accent4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1">
    <w:name w:val="Grid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eebf6" w:themeFill="accent5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75" w:fill="b4d1ec" w:themeFill="accent5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2">
    <w:name w:val="Grid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9" w:themeFill="accent6" w:themeFillTint="34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75" w:fill="bddba8" w:themeFill="accent6" w:themeFillTint="75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53">
    <w:name w:val="Grid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34" w:fill="cbcbcb" w:themeFill="text1" w:themeFillTint="34"/>
        <w:tcBorders/>
      </w:tcPr>
    </w:tblStylePr>
    <w:tblStylePr w:type="band2Horz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a4a4a" w:themeColor="tex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4">
    <w:name w:val="Grid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3760ab" w:themeColor="accent1" w:themeTint="80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5">
    <w:name w:val="Grid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6">
    <w:name w:val="Grid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606060" w:themeColor="accent3" w:themeTint="FE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7">
    <w:name w:val="Grid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8">
    <w:name w:val="Grid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59">
    <w:name w:val="Grid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cPr>
      <w:tcBorders/>
    </w:tcPr>
    <w:tblStylePr w:type="band1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45b8d" w:themeColor="accent5" w:themeShade="95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04040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60">
    <w:name w:val="Grid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1">
    <w:name w:val="Grid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cPr>
      <w:tcBorders/>
    </w:tcPr>
    <w:tblStylePr w:type="band1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34" w:fill="d9e2f3" w:themeFill="accent1" w:themeFillTint="34"/>
        <w:tcBorders/>
      </w:tcPr>
    </w:tblStylePr>
    <w:tblStylePr w:type="band2Horz">
      <w:rPr>
        <w:rFonts w:ascii="Arial" w:hAnsi="Arial"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760ab" w:themeColor="accen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2">
    <w:name w:val="Grid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3">
    <w:name w:val="Grid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cPr>
      <w:tcBorders/>
    </w:tcPr>
    <w:tblStylePr w:type="band1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4">
    <w:name w:val="Grid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5">
    <w:name w:val="Grid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Horz">
      <w:rPr>
        <w:rFonts w:ascii="Arial" w:hAnsi="Arial"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45b8d" w:themeColor="accent5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6">
    <w:name w:val="Grid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Horz">
      <w:rPr>
        <w:rFonts w:ascii="Arial" w:hAnsi="Arial"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16529" w:themeColor="accent6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7">
    <w:name w:val="List Table 1 Light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8">
    <w:name w:val="List Table 1 Light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69">
    <w:name w:val="List Table 1 Light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0">
    <w:name w:val="List Table 1 Light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1">
    <w:name w:val="List Table 1 Light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2">
    <w:name w:val="List Table 1 Light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3">
    <w:name w:val="List Table 1 Light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4">
    <w:name w:val="List Table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5">
    <w:name w:val="List Table 2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6">
    <w:name w:val="List Table 2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7">
    <w:name w:val="List Table 2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8">
    <w:name w:val="List Table 2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79">
    <w:name w:val="List Table 2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0">
    <w:name w:val="List Table 2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rFonts w:ascii="Arial" w:hAnsi="Arial"/>
        <w:b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1">
    <w:name w:val="List Table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2">
    <w:name w:val="List Table 3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3">
    <w:name w:val="List Table 3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4">
    <w:name w:val="List Table 3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5">
    <w:name w:val="List Table 3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6">
    <w:name w:val="List Table 3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7">
    <w:name w:val="List Table 3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8">
    <w:name w:val="List Table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text1" w:fill="000000" w:themeFill="tex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89">
    <w:name w:val="List Table 4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0">
    <w:name w:val="List Table 4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2" w:fill="ed7d31" w:themeFill="accent2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1">
    <w:name w:val="List Table 4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3" w:fill="a5a5a5" w:themeFill="accent3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2">
    <w:name w:val="List Table 4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4" w:fill="ffc000" w:themeFill="accent4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3">
    <w:name w:val="List Table 4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4">
    <w:name w:val="List Table 4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b/>
        <w:color w:val="ffffff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404040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95">
    <w:name w:val="List Table 5 Dark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6">
    <w:name w:val="List Table 5 Dark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7">
    <w:name w:val="List Table 5 Dark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285" w:themeFill="accent2" w:themeFillTint="97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8">
    <w:name w:val="List Table 5 Dark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99">
    <w:name w:val="List Table 5 Dark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965" w:themeFill="accent4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0">
    <w:name w:val="List Table 5 Dark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3e6" w:themeFill="accent5" w:themeFillTint="9A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9A" w:fill="9cc3e6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1">
    <w:name w:val="List Table 5 Dark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9d18f" w:themeFill="accent6" w:themeFillTint="98"/>
    </w:tblPr>
    <w:tcPr>
      <w:tcBorders/>
    </w:tcPr>
    <w:tblStylePr w:type="band1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98" w:fill="a9d1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pPr>
        <w:pBdr/>
        <w:spacing/>
        <w:ind/>
      </w:pPr>
      <w:tblPr>
        <w:tblBorders/>
      </w:tblPr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ffffff" w:themeColor="light1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02">
    <w:name w:val="List Table 6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04040" w:themeColor="text1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000000" w:themeColor="text1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3">
    <w:name w:val="List Table 6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404040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54275" w:themeColor="accent1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1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4">
    <w:name w:val="List Table 6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ca5d12" w:themeColor="accent2" w:themeTint="97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5">
    <w:name w:val="List Table 6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757575" w:themeColor="accent3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6">
    <w:name w:val="List Table 6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d09d00" w:themeColor="accent4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7">
    <w:name w:val="List Table 6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2d74b4" w:themeColor="accent5" w:themeTint="9A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8">
    <w:name w:val="List Table 6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/>
      </w:tcPr>
    </w:tblStylePr>
    <w:tblStylePr w:type="lastRow">
      <w:rPr>
        <w:b/>
        <w:color w:val="5e923c" w:themeColor="accent6" w:themeTint="98" w:themeShade="95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4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09">
    <w:name w:val="List Table 7 Colorful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cPr>
      <w:tcBorders/>
    </w:tcPr>
    <w:tblStylePr w:type="band1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text1" w:themeTint="40" w:fill="bfbfbf" w:themeFill="text1" w:themeFillTint="40"/>
        <w:tcBorders/>
      </w:tcPr>
    </w:tblStylePr>
    <w:tblStylePr w:type="band2Horz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4a4a4a" w:themeColor="text1" w:themeTint="80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0">
    <w:name w:val="List Table 7 Colorful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cPr>
      <w:tcBorders/>
    </w:tcPr>
    <w:tblStylePr w:type="band1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1" w:themeTint="40" w:fill="d0dcf0" w:themeFill="accent1" w:themeFillTint="40"/>
        <w:tcBorders/>
      </w:tcPr>
    </w:tblStylePr>
    <w:tblStylePr w:type="band2Horz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54275" w:themeColor="accent1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1">
    <w:name w:val="List Table 7 Colorful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cPr>
      <w:tcBorders/>
    </w:tcPr>
    <w:tblStylePr w:type="band1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2" w:themeTint="40" w:fill="fadecb" w:themeFill="accent2" w:themeFillTint="40"/>
        <w:tcBorders/>
      </w:tcPr>
    </w:tblStylePr>
    <w:tblStylePr w:type="band2Horz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ca5d12" w:themeColor="accent2" w:themeTint="97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2">
    <w:name w:val="List Table 7 Colorful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cPr>
      <w:tcBorders/>
    </w:tcPr>
    <w:tblStylePr w:type="band1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3" w:themeTint="40" w:fill="e8e8e8" w:themeFill="accent3" w:themeFillTint="40"/>
        <w:tcBorders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3">
    <w:name w:val="List Table 7 Colorful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cPr>
      <w:tcBorders/>
    </w:tcPr>
    <w:tblStylePr w:type="band1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4" w:themeTint="40" w:fill="ffefbf" w:themeFill="accent4" w:themeFillTint="40"/>
        <w:tcBorders/>
      </w:tcPr>
    </w:tblStylePr>
    <w:tblStylePr w:type="band2Horz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d09d00" w:themeColor="accent4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4">
    <w:name w:val="List Table 7 Colorful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cPr>
      <w:tcBorders/>
    </w:tcPr>
    <w:tblStylePr w:type="band1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5" w:themeTint="40" w:fill="d6e6f4" w:themeFill="accent5" w:themeFillTint="40"/>
        <w:tcBorders/>
      </w:tcPr>
    </w:tblStylePr>
    <w:tblStylePr w:type="band2Horz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2d74b4" w:themeColor="accent5" w:themeTint="9A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5">
    <w:name w:val="List Table 7 Colorful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cPr>
      <w:tcBorders/>
    </w:tcPr>
    <w:tblStylePr w:type="band1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1Vert">
      <w:pPr>
        <w:pBdr/>
        <w:spacing/>
        <w:ind/>
      </w:pPr>
      <w:tblPr>
        <w:tblBorders/>
      </w:tblPr>
      <w:tcPr>
        <w:shd w:val="clear" w:color="ffffff" w:themeColor="accent6" w:themeTint="40" w:fill="dbecd0" w:themeFill="accent6" w:themeFillTint="40"/>
        <w:tcBorders/>
      </w:tcPr>
    </w:tblStylePr>
    <w:tblStylePr w:type="band2Horz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  <w:jc w:val="right"/>
      </w:pPr>
      <w:tblPr>
        <w:tblBorders/>
      </w:tbl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rPr>
        <w:rFonts w:ascii="Arial" w:hAnsi="Arial"/>
        <w:color w:val="5e923c" w:themeColor="accent6" w:themeTint="98" w:themeShade="95"/>
        <w:sz w:val="22"/>
      </w:rPr>
      <w:pPr>
        <w:pBdr/>
        <w:spacing/>
        <w:ind/>
      </w:pPr>
      <w:tblPr>
        <w:tblBorders/>
      </w:tblPr>
      <w:tcPr>
        <w:tcBorders/>
      </w:tcPr>
    </w:tblStylePr>
  </w:style>
  <w:style w:type="table" w:styleId="116">
    <w:name w:val="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7">
    <w:name w:val="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8">
    <w:name w:val="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19">
    <w:name w:val="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0">
    <w:name w:val="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1">
    <w:name w:val="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2">
    <w:name w:val="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/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3">
    <w:name w:val="Bordered &amp; Lined - Accent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0D" w:fill="f2f2f2" w:themeFill="text1" w:themeFillTint="0D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text1" w:themeTint="80" w:fill="7f7f7f" w:themeFill="text1" w:themeFillTint="80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4">
    <w:name w:val="Bordered &amp; Lined - Accent 1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50" w:fill="c4d3ec" w:themeFill="accent1" w:themeFillTint="50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1" w:themeTint="EA" w:fill="537ec9" w:themeFill="accent1" w:themeFillTint="E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5">
    <w:name w:val="Bordered &amp; Lined - Accent 2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32" w:fill="fbe6d7" w:themeFill="accent2" w:themeFillTint="32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2" w:themeTint="97" w:fill="f4b285" w:themeFill="accent2" w:themeFillTint="97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6">
    <w:name w:val="Bordered &amp; Lined - Accent 3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34" w:fill="ededed" w:themeFill="accent3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3" w:themeTint="FE" w:fill="a5a5a5" w:themeFill="accent3" w:themeFillTint="FE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7">
    <w:name w:val="Bordered &amp; Lined - Accent 4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34" w:fill="fff2cb" w:themeFill="accent4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4" w:themeTint="9A" w:fill="ffd965" w:themeFill="accent4" w:themeFillTint="9A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8">
    <w:name w:val="Bordered &amp; Lined - Accent 5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5" w:themeTint="34" w:fill="deebf6" w:themeFill="accent5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5" w:fill="5b9bd5" w:themeFill="accent5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29">
    <w:name w:val="Bordered &amp; Lined - Accent 6"/>
    <w:basedOn w:val="802"/>
    <w:uiPriority w:val="99"/>
    <w:pPr>
      <w:pBdr/>
      <w:spacing w:after="0" w:line="240" w:lineRule="auto"/>
      <w:ind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1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band2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band2Vert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shd w:val="clear" w:color="ffffff" w:themeColor="accent6" w:themeTint="34" w:fill="e2efd9" w:themeFill="accent6" w:themeFillTint="34"/>
        <w:tcBorders/>
      </w:tcPr>
    </w:tblStylePr>
    <w:tblStylePr w:type="fir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fir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Col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lastRow">
      <w:rPr>
        <w:rFonts w:ascii="Arial" w:hAnsi="Arial"/>
        <w:color w:val="f2f2f2"/>
        <w:sz w:val="22"/>
      </w:rPr>
      <w:pPr>
        <w:pBdr/>
        <w:spacing/>
        <w:ind/>
      </w:pPr>
      <w:tblPr>
        <w:tblBorders/>
      </w:tblPr>
      <w:tcPr>
        <w:shd w:val="clear" w:color="ffffff" w:themeColor="accent6" w:fill="70ad47" w:themeFill="accent6"/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0">
    <w:name w:val="Bordered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text1" w:themeTint="80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1">
    <w:name w:val="Bordered - Accent 1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1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2">
    <w:name w:val="Bordered - Accent 2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2" w:themeTint="97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3">
    <w:name w:val="Bordered - Accent 3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3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4">
    <w:name w:val="Bordered - Accent 4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4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5">
    <w:name w:val="Bordered - Accent 5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5" w:themeTint="9A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table" w:styleId="136">
    <w:name w:val="Bordered - Accent 6"/>
    <w:basedOn w:val="802"/>
    <w:uiPriority w:val="99"/>
    <w:pPr>
      <w:pBdr/>
      <w:spacing w:after="0" w:line="240" w:lineRule="auto"/>
      <w:ind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cPr>
      <w:tcBorders/>
    </w:tcPr>
    <w:tblStylePr w:type="band1Horz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/>
      </w:tcPr>
    </w:tblStylePr>
    <w:tblStylePr w:type="fir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pPr>
        <w:pBdr/>
        <w:spacing/>
        <w:ind/>
      </w:pPr>
      <w:tblPr>
        <w:tblBorders/>
      </w:tblPr>
      <w:tcPr>
        <w:tcBorders>
          <w:top w:val="single" w:color="000000" w:themeColor="accent6" w:themeTint="98" w:sz="12" w:space="0"/>
        </w:tcBorders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149">
    <w:name w:val="Heading 1 Char"/>
    <w:basedOn w:val="801"/>
    <w:link w:val="792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40"/>
      <w:szCs w:val="40"/>
    </w:rPr>
  </w:style>
  <w:style w:type="character" w:styleId="150">
    <w:name w:val="Heading 2 Char"/>
    <w:basedOn w:val="801"/>
    <w:link w:val="793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32"/>
      <w:szCs w:val="32"/>
    </w:rPr>
  </w:style>
  <w:style w:type="character" w:styleId="151">
    <w:name w:val="Heading 3 Char"/>
    <w:basedOn w:val="801"/>
    <w:link w:val="794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  <w:sz w:val="28"/>
      <w:szCs w:val="28"/>
    </w:rPr>
  </w:style>
  <w:style w:type="character" w:styleId="152">
    <w:name w:val="Heading 4 Char"/>
    <w:basedOn w:val="801"/>
    <w:link w:val="795"/>
    <w:uiPriority w:val="9"/>
    <w:pPr>
      <w:pBdr/>
      <w:spacing/>
      <w:ind/>
    </w:pPr>
    <w:rPr>
      <w:rFonts w:ascii="Arial" w:hAnsi="Arial" w:eastAsia="Arial" w:cs="Arial"/>
      <w:i/>
      <w:iCs/>
      <w:color w:val="0f4761" w:themeColor="accent1" w:themeShade="BF"/>
    </w:rPr>
  </w:style>
  <w:style w:type="character" w:styleId="153">
    <w:name w:val="Heading 5 Char"/>
    <w:basedOn w:val="801"/>
    <w:link w:val="796"/>
    <w:uiPriority w:val="9"/>
    <w:pPr>
      <w:pBdr/>
      <w:spacing/>
      <w:ind/>
    </w:pPr>
    <w:rPr>
      <w:rFonts w:ascii="Arial" w:hAnsi="Arial" w:eastAsia="Arial" w:cs="Arial"/>
      <w:color w:val="0f4761" w:themeColor="accent1" w:themeShade="BF"/>
    </w:rPr>
  </w:style>
  <w:style w:type="character" w:styleId="154">
    <w:name w:val="Heading 6 Char"/>
    <w:basedOn w:val="801"/>
    <w:link w:val="797"/>
    <w:uiPriority w:val="9"/>
    <w:pPr>
      <w:pBdr/>
      <w:spacing/>
      <w:ind/>
    </w:pPr>
    <w:rPr>
      <w:rFonts w:ascii="Arial" w:hAnsi="Arial" w:eastAsia="Arial" w:cs="Arial"/>
      <w:i/>
      <w:iCs/>
      <w:color w:val="595959" w:themeColor="text1" w:themeTint="A6"/>
    </w:rPr>
  </w:style>
  <w:style w:type="character" w:styleId="155">
    <w:name w:val="Heading 7 Char"/>
    <w:basedOn w:val="801"/>
    <w:link w:val="798"/>
    <w:uiPriority w:val="9"/>
    <w:pPr>
      <w:pBdr/>
      <w:spacing/>
      <w:ind/>
    </w:pPr>
    <w:rPr>
      <w:rFonts w:ascii="Arial" w:hAnsi="Arial" w:eastAsia="Arial" w:cs="Arial"/>
      <w:color w:val="595959" w:themeColor="text1" w:themeTint="A6"/>
    </w:rPr>
  </w:style>
  <w:style w:type="character" w:styleId="156">
    <w:name w:val="Heading 8 Char"/>
    <w:basedOn w:val="801"/>
    <w:link w:val="799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character" w:styleId="157">
    <w:name w:val="Heading 9 Char"/>
    <w:basedOn w:val="801"/>
    <w:link w:val="800"/>
    <w:uiPriority w:val="9"/>
    <w:pPr>
      <w:pBdr/>
      <w:spacing/>
      <w:ind/>
    </w:pPr>
    <w:rPr>
      <w:rFonts w:ascii="Arial" w:hAnsi="Arial" w:eastAsia="Arial" w:cs="Arial"/>
      <w:i/>
      <w:iCs/>
      <w:color w:val="272727" w:themeColor="text1" w:themeTint="D8"/>
    </w:rPr>
  </w:style>
  <w:style w:type="paragraph" w:styleId="158">
    <w:name w:val="Title"/>
    <w:basedOn w:val="791"/>
    <w:next w:val="791"/>
    <w:link w:val="159"/>
    <w:uiPriority w:val="10"/>
    <w:qFormat/>
    <w:pPr>
      <w:pBdr/>
      <w:spacing w:after="80" w:line="240" w:lineRule="auto"/>
      <w:ind/>
      <w:contextualSpacing w:val="true"/>
    </w:pPr>
    <w:rPr>
      <w:rFonts w:ascii="Arial" w:hAnsi="Arial" w:eastAsia="Arial" w:cs="Arial"/>
      <w:spacing w:val="-10"/>
      <w:sz w:val="56"/>
      <w:szCs w:val="56"/>
    </w:rPr>
  </w:style>
  <w:style w:type="character" w:styleId="159">
    <w:name w:val="Title Char"/>
    <w:basedOn w:val="801"/>
    <w:link w:val="158"/>
    <w:uiPriority w:val="10"/>
    <w:pPr>
      <w:pBdr/>
      <w:spacing/>
      <w:ind/>
    </w:pPr>
    <w:rPr>
      <w:rFonts w:ascii="Arial" w:hAnsi="Arial" w:eastAsia="Arial" w:cs="Arial"/>
      <w:spacing w:val="-10"/>
      <w:sz w:val="56"/>
      <w:szCs w:val="56"/>
    </w:rPr>
  </w:style>
  <w:style w:type="character" w:styleId="161">
    <w:name w:val="Subtitle Char"/>
    <w:basedOn w:val="801"/>
    <w:link w:val="855"/>
    <w:uiPriority w:val="11"/>
    <w:pPr>
      <w:pBdr/>
      <w:spacing/>
      <w:ind/>
    </w:pPr>
    <w:rPr>
      <w:color w:val="595959" w:themeColor="text1" w:themeTint="A6"/>
      <w:spacing w:val="15"/>
      <w:sz w:val="28"/>
      <w:szCs w:val="28"/>
    </w:rPr>
  </w:style>
  <w:style w:type="character" w:styleId="163">
    <w:name w:val="Quote Char"/>
    <w:basedOn w:val="801"/>
    <w:link w:val="859"/>
    <w:uiPriority w:val="29"/>
    <w:pPr>
      <w:pBdr/>
      <w:spacing/>
      <w:ind/>
    </w:pPr>
    <w:rPr>
      <w:i/>
      <w:iCs/>
      <w:color w:val="404040" w:themeColor="text1" w:themeTint="BF"/>
    </w:rPr>
  </w:style>
  <w:style w:type="character" w:styleId="167">
    <w:name w:val="Intense Quote Char"/>
    <w:basedOn w:val="801"/>
    <w:link w:val="861"/>
    <w:uiPriority w:val="30"/>
    <w:pPr>
      <w:pBdr/>
      <w:spacing/>
      <w:ind/>
    </w:pPr>
    <w:rPr>
      <w:i/>
      <w:iCs/>
      <w:color w:val="0f4761" w:themeColor="accent1" w:themeShade="BF"/>
    </w:rPr>
  </w:style>
  <w:style w:type="character" w:styleId="176">
    <w:name w:val="Header Char"/>
    <w:basedOn w:val="801"/>
    <w:link w:val="813"/>
    <w:uiPriority w:val="99"/>
    <w:pPr>
      <w:pBdr/>
      <w:spacing/>
      <w:ind/>
    </w:pPr>
  </w:style>
  <w:style w:type="character" w:styleId="178">
    <w:name w:val="Footer Char"/>
    <w:basedOn w:val="801"/>
    <w:link w:val="816"/>
    <w:uiPriority w:val="99"/>
    <w:pPr>
      <w:pBdr/>
      <w:spacing/>
      <w:ind/>
    </w:pPr>
  </w:style>
  <w:style w:type="character" w:styleId="181">
    <w:name w:val="Footnote Text Char"/>
    <w:basedOn w:val="801"/>
    <w:link w:val="807"/>
    <w:uiPriority w:val="99"/>
    <w:semiHidden/>
    <w:pPr>
      <w:pBdr/>
      <w:spacing/>
      <w:ind/>
    </w:pPr>
    <w:rPr>
      <w:sz w:val="20"/>
      <w:szCs w:val="20"/>
    </w:rPr>
  </w:style>
  <w:style w:type="character" w:styleId="184">
    <w:name w:val="Endnote Text Char"/>
    <w:basedOn w:val="801"/>
    <w:link w:val="901"/>
    <w:uiPriority w:val="99"/>
    <w:semiHidden/>
    <w:pPr>
      <w:pBdr/>
      <w:spacing/>
      <w:ind/>
    </w:pPr>
    <w:rPr>
      <w:sz w:val="20"/>
      <w:szCs w:val="20"/>
    </w:rPr>
  </w:style>
  <w:style w:type="character" w:styleId="187">
    <w:name w:val="FollowedHyperlink"/>
    <w:basedOn w:val="801"/>
    <w:uiPriority w:val="99"/>
    <w:semiHidden/>
    <w:unhideWhenUsed/>
    <w:pPr>
      <w:pBdr/>
      <w:spacing/>
      <w:ind/>
    </w:pPr>
    <w:rPr>
      <w:color w:val="954f72" w:themeColor="followedHyperlink"/>
      <w:u w:val="single"/>
    </w:rPr>
  </w:style>
  <w:style w:type="paragraph" w:styleId="198">
    <w:name w:val="table of figures"/>
    <w:basedOn w:val="791"/>
    <w:next w:val="791"/>
    <w:uiPriority w:val="99"/>
    <w:unhideWhenUsed/>
    <w:pPr>
      <w:pBdr/>
      <w:spacing w:after="0" w:afterAutospacing="0"/>
      <w:ind/>
    </w:pPr>
  </w:style>
  <w:style w:type="paragraph" w:styleId="791" w:default="1">
    <w:name w:val="Normal"/>
    <w:qFormat/>
    <w:pPr>
      <w:pBdr/>
      <w:spacing/>
      <w:ind/>
    </w:pPr>
    <w:rPr>
      <w:sz w:val="28"/>
      <w:szCs w:val="28"/>
    </w:rPr>
  </w:style>
  <w:style w:type="paragraph" w:styleId="792">
    <w:name w:val="Heading 1"/>
    <w:basedOn w:val="794"/>
    <w:next w:val="791"/>
    <w:link w:val="845"/>
    <w:qFormat/>
    <w:pPr>
      <w:numPr>
        <w:ilvl w:val="0"/>
      </w:numPr>
      <w:pBdr/>
      <w:spacing/>
      <w:ind/>
      <w:outlineLvl w:val="0"/>
    </w:pPr>
    <w:rPr>
      <w:sz w:val="28"/>
      <w:szCs w:val="28"/>
    </w:rPr>
  </w:style>
  <w:style w:type="paragraph" w:styleId="793">
    <w:name w:val="Heading 2"/>
    <w:basedOn w:val="795"/>
    <w:next w:val="791"/>
    <w:link w:val="847"/>
    <w:qFormat/>
    <w:pPr>
      <w:pBdr/>
      <w:spacing/>
      <w:ind/>
      <w:outlineLvl w:val="1"/>
    </w:pPr>
  </w:style>
  <w:style w:type="paragraph" w:styleId="794">
    <w:name w:val="Heading 3"/>
    <w:basedOn w:val="791"/>
    <w:next w:val="791"/>
    <w:link w:val="848"/>
    <w:qFormat/>
    <w:pPr>
      <w:keepNext w:val="true"/>
      <w:numPr>
        <w:ilvl w:val="2"/>
        <w:numId w:val="4"/>
      </w:numPr>
      <w:pBdr/>
      <w:spacing w:after="60" w:before="120"/>
      <w:ind/>
      <w:outlineLvl w:val="2"/>
    </w:pPr>
    <w:rPr>
      <w:rFonts w:eastAsia="Calibri"/>
      <w:b/>
      <w:sz w:val="24"/>
      <w:szCs w:val="24"/>
    </w:rPr>
  </w:style>
  <w:style w:type="paragraph" w:styleId="795">
    <w:name w:val="Heading 4"/>
    <w:basedOn w:val="794"/>
    <w:next w:val="791"/>
    <w:link w:val="849"/>
    <w:qFormat/>
    <w:pPr>
      <w:numPr>
        <w:ilvl w:val="1"/>
      </w:numPr>
      <w:pBdr/>
      <w:spacing/>
      <w:ind/>
      <w:outlineLvl w:val="3"/>
    </w:pPr>
    <w:rPr>
      <w:bCs/>
    </w:rPr>
  </w:style>
  <w:style w:type="paragraph" w:styleId="796">
    <w:name w:val="Heading 5"/>
    <w:basedOn w:val="791"/>
    <w:next w:val="791"/>
    <w:link w:val="850"/>
    <w:uiPriority w:val="9"/>
    <w:qFormat/>
    <w:pPr>
      <w:pBdr/>
      <w:spacing w:after="60" w:before="240"/>
      <w:ind/>
      <w:outlineLvl w:val="4"/>
    </w:pPr>
    <w:rPr>
      <w:b/>
      <w:bCs/>
      <w:i/>
      <w:iCs/>
      <w:sz w:val="26"/>
      <w:szCs w:val="26"/>
    </w:rPr>
  </w:style>
  <w:style w:type="paragraph" w:styleId="797">
    <w:name w:val="Heading 6"/>
    <w:basedOn w:val="791"/>
    <w:next w:val="791"/>
    <w:link w:val="842"/>
    <w:uiPriority w:val="9"/>
    <w:qFormat/>
    <w:pPr>
      <w:keepNext w:val="true"/>
      <w:keepLines w:val="true"/>
      <w:pBdr/>
      <w:spacing w:before="200"/>
      <w:ind/>
      <w:outlineLvl w:val="5"/>
    </w:pPr>
    <w:rPr>
      <w:rFonts w:ascii="Cambria" w:hAnsi="Cambria"/>
      <w:i/>
      <w:iCs/>
      <w:color w:val="243f60"/>
      <w:sz w:val="20"/>
      <w:szCs w:val="20"/>
    </w:rPr>
  </w:style>
  <w:style w:type="paragraph" w:styleId="798">
    <w:name w:val="Heading 7"/>
    <w:basedOn w:val="791"/>
    <w:next w:val="791"/>
    <w:link w:val="843"/>
    <w:uiPriority w:val="9"/>
    <w:qFormat/>
    <w:pPr>
      <w:keepNext w:val="true"/>
      <w:keepLines w:val="true"/>
      <w:pBdr/>
      <w:spacing w:before="200"/>
      <w:ind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799">
    <w:name w:val="Heading 8"/>
    <w:basedOn w:val="791"/>
    <w:next w:val="791"/>
    <w:link w:val="844"/>
    <w:uiPriority w:val="9"/>
    <w:qFormat/>
    <w:pPr>
      <w:keepNext w:val="true"/>
      <w:keepLines w:val="true"/>
      <w:pBdr/>
      <w:spacing w:before="200"/>
      <w:ind/>
      <w:outlineLvl w:val="7"/>
    </w:pPr>
    <w:rPr>
      <w:rFonts w:ascii="Cambria" w:hAnsi="Cambria"/>
      <w:color w:val="4f81bd"/>
      <w:sz w:val="20"/>
      <w:szCs w:val="20"/>
    </w:rPr>
  </w:style>
  <w:style w:type="paragraph" w:styleId="800">
    <w:name w:val="Heading 9"/>
    <w:basedOn w:val="791"/>
    <w:next w:val="791"/>
    <w:link w:val="851"/>
    <w:uiPriority w:val="9"/>
    <w:qFormat/>
    <w:pPr>
      <w:pBdr/>
      <w:spacing w:after="60" w:before="240"/>
      <w:ind/>
      <w:outlineLvl w:val="8"/>
    </w:pPr>
    <w:rPr>
      <w:rFonts w:ascii="Arial" w:hAnsi="Arial"/>
      <w:sz w:val="22"/>
      <w:szCs w:val="22"/>
    </w:rPr>
  </w:style>
  <w:style w:type="character" w:styleId="801" w:default="1">
    <w:name w:val="Default Paragraph Font"/>
    <w:uiPriority w:val="1"/>
    <w:semiHidden/>
    <w:unhideWhenUsed/>
    <w:pPr>
      <w:pBdr/>
      <w:spacing/>
      <w:ind/>
    </w:pPr>
  </w:style>
  <w:style w:type="table" w:styleId="802" w:default="1">
    <w:name w:val="Normal Table"/>
    <w:uiPriority w:val="99"/>
    <w:semiHidden/>
    <w:unhideWhenUsed/>
    <w:pPr>
      <w:pBdr/>
      <w:spacing/>
      <w:ind/>
    </w:pPr>
    <w:tblPr>
      <w:tblInd w:w="0" w:type="dxa"/>
      <w:tblBorders/>
      <w:tblCellMar>
        <w:left w:w="108" w:type="dxa"/>
        <w:top w:w="0" w:type="dxa"/>
        <w:right w:w="108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numbering" w:styleId="803" w:default="1">
    <w:name w:val="No List"/>
    <w:uiPriority w:val="99"/>
    <w:semiHidden/>
    <w:unhideWhenUsed/>
    <w:pPr>
      <w:pBdr/>
      <w:spacing/>
      <w:ind/>
    </w:pPr>
  </w:style>
  <w:style w:type="paragraph" w:styleId="804" w:customStyle="1">
    <w:name w:val="Название раздела инструкции"/>
    <w:basedOn w:val="791"/>
    <w:pPr>
      <w:pBdr/>
      <w:spacing/>
      <w:ind/>
      <w:jc w:val="center"/>
    </w:pPr>
    <w:rPr>
      <w:b/>
    </w:rPr>
  </w:style>
  <w:style w:type="paragraph" w:styleId="805" w:customStyle="1">
    <w:name w:val="Раздел положения"/>
    <w:basedOn w:val="791"/>
    <w:pPr>
      <w:numPr>
        <w:numId w:val="1"/>
      </w:numPr>
      <w:pBdr/>
      <w:spacing w:after="80" w:before="80"/>
      <w:ind/>
      <w:jc w:val="center"/>
    </w:pPr>
    <w:rPr>
      <w:b/>
      <w:sz w:val="32"/>
      <w:szCs w:val="32"/>
    </w:rPr>
  </w:style>
  <w:style w:type="paragraph" w:styleId="806" w:customStyle="1">
    <w:name w:val="Подраздел раздела положения"/>
    <w:basedOn w:val="791"/>
    <w:pPr>
      <w:numPr>
        <w:ilvl w:val="1"/>
        <w:numId w:val="1"/>
      </w:numPr>
      <w:pBdr/>
      <w:spacing w:after="80" w:before="80"/>
      <w:ind/>
      <w:jc w:val="both"/>
    </w:pPr>
  </w:style>
  <w:style w:type="paragraph" w:styleId="807">
    <w:name w:val="footnote text"/>
    <w:basedOn w:val="791"/>
    <w:link w:val="881"/>
    <w:uiPriority w:val="99"/>
    <w:pPr>
      <w:pBdr/>
      <w:spacing/>
      <w:ind/>
    </w:pPr>
    <w:rPr>
      <w:sz w:val="20"/>
      <w:szCs w:val="20"/>
    </w:rPr>
  </w:style>
  <w:style w:type="character" w:styleId="808">
    <w:name w:val="footnote reference"/>
    <w:pPr>
      <w:pBdr/>
      <w:spacing/>
      <w:ind/>
    </w:pPr>
    <w:rPr>
      <w:vertAlign w:val="superscript"/>
    </w:rPr>
  </w:style>
  <w:style w:type="paragraph" w:styleId="809" w:customStyle="1">
    <w:name w:val="Шапка 1"/>
    <w:basedOn w:val="791"/>
    <w:pPr>
      <w:pBdr>
        <w:bottom w:val="single" w:color="000000" w:sz="24" w:space="1"/>
      </w:pBdr>
      <w:spacing w:after="240"/>
      <w:ind/>
      <w:jc w:val="center"/>
    </w:pPr>
    <w:rPr>
      <w:sz w:val="22"/>
      <w:szCs w:val="22"/>
    </w:rPr>
  </w:style>
  <w:style w:type="paragraph" w:styleId="810" w:customStyle="1">
    <w:name w:val="Шапка 2"/>
    <w:basedOn w:val="791"/>
    <w:pPr>
      <w:pBdr>
        <w:bottom w:val="single" w:color="000000" w:sz="24" w:space="1"/>
      </w:pBdr>
      <w:spacing w:after="120"/>
      <w:ind/>
      <w:jc w:val="center"/>
    </w:pPr>
    <w:rPr>
      <w:b/>
      <w:sz w:val="22"/>
      <w:szCs w:val="22"/>
    </w:rPr>
  </w:style>
  <w:style w:type="paragraph" w:styleId="811" w:customStyle="1">
    <w:name w:val="Шапка 3"/>
    <w:basedOn w:val="791"/>
    <w:pPr>
      <w:pBdr>
        <w:bottom w:val="single" w:color="000000" w:sz="24" w:space="1"/>
      </w:pBdr>
      <w:spacing w:after="360" w:before="240"/>
      <w:ind/>
      <w:jc w:val="center"/>
    </w:pPr>
    <w:rPr>
      <w:b/>
      <w:sz w:val="24"/>
      <w:szCs w:val="24"/>
    </w:rPr>
  </w:style>
  <w:style w:type="paragraph" w:styleId="812" w:customStyle="1">
    <w:name w:val="Название1"/>
    <w:basedOn w:val="791"/>
    <w:link w:val="854"/>
    <w:uiPriority w:val="10"/>
    <w:qFormat/>
    <w:pPr>
      <w:pBdr/>
      <w:spacing/>
      <w:ind/>
      <w:jc w:val="center"/>
    </w:pPr>
    <w:rPr>
      <w:szCs w:val="20"/>
    </w:rPr>
  </w:style>
  <w:style w:type="paragraph" w:styleId="813">
    <w:name w:val="Header"/>
    <w:basedOn w:val="791"/>
    <w:link w:val="898"/>
    <w:uiPriority w:val="99"/>
    <w:pPr>
      <w:pBdr/>
      <w:tabs>
        <w:tab w:val="center" w:leader="none" w:pos="4677"/>
        <w:tab w:val="right" w:leader="none" w:pos="9355"/>
      </w:tabs>
      <w:spacing/>
      <w:ind/>
    </w:pPr>
    <w:rPr>
      <w:sz w:val="24"/>
      <w:szCs w:val="24"/>
    </w:rPr>
  </w:style>
  <w:style w:type="paragraph" w:styleId="814">
    <w:name w:val="Body Text Indent"/>
    <w:basedOn w:val="791"/>
    <w:pPr>
      <w:pBdr/>
      <w:spacing/>
      <w:ind w:left="360"/>
    </w:pPr>
    <w:rPr>
      <w:sz w:val="24"/>
      <w:szCs w:val="24"/>
    </w:rPr>
  </w:style>
  <w:style w:type="table" w:styleId="815">
    <w:name w:val="Table Grid"/>
    <w:basedOn w:val="802"/>
    <w:uiPriority w:val="39"/>
    <w:pPr>
      <w:pBdr/>
      <w:spacing/>
      <w:ind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816">
    <w:name w:val="Footer"/>
    <w:basedOn w:val="791"/>
    <w:pPr>
      <w:pBdr/>
      <w:tabs>
        <w:tab w:val="center" w:leader="none" w:pos="4677"/>
        <w:tab w:val="right" w:leader="none" w:pos="9355"/>
      </w:tabs>
      <w:spacing/>
      <w:ind/>
    </w:pPr>
  </w:style>
  <w:style w:type="paragraph" w:styleId="817">
    <w:name w:val="Body Text"/>
    <w:basedOn w:val="791"/>
    <w:link w:val="884"/>
    <w:pPr>
      <w:pBdr/>
      <w:spacing w:after="120"/>
      <w:ind/>
    </w:pPr>
  </w:style>
  <w:style w:type="paragraph" w:styleId="818">
    <w:name w:val="Body Text Indent 2"/>
    <w:basedOn w:val="791"/>
    <w:pPr>
      <w:pBdr/>
      <w:spacing w:after="120" w:line="480" w:lineRule="auto"/>
      <w:ind w:left="283"/>
    </w:pPr>
  </w:style>
  <w:style w:type="paragraph" w:styleId="819">
    <w:name w:val="Body Text 3"/>
    <w:basedOn w:val="791"/>
    <w:pPr>
      <w:pBdr/>
      <w:spacing w:after="120"/>
      <w:ind/>
    </w:pPr>
    <w:rPr>
      <w:sz w:val="16"/>
      <w:szCs w:val="16"/>
    </w:rPr>
  </w:style>
  <w:style w:type="paragraph" w:styleId="820">
    <w:name w:val="Body Text Indent 3"/>
    <w:basedOn w:val="791"/>
    <w:link w:val="915"/>
    <w:pPr>
      <w:pBdr/>
      <w:spacing w:after="120"/>
      <w:ind w:left="283"/>
    </w:pPr>
    <w:rPr>
      <w:sz w:val="16"/>
      <w:szCs w:val="16"/>
    </w:rPr>
  </w:style>
  <w:style w:type="paragraph" w:styleId="821">
    <w:name w:val="Body Text 2"/>
    <w:basedOn w:val="791"/>
    <w:pPr>
      <w:pBdr/>
      <w:spacing w:after="120" w:line="480" w:lineRule="auto"/>
      <w:ind/>
    </w:pPr>
  </w:style>
  <w:style w:type="paragraph" w:styleId="822">
    <w:name w:val="Block Text"/>
    <w:basedOn w:val="791"/>
    <w:pPr>
      <w:pBdr/>
      <w:spacing/>
      <w:ind w:right="-766" w:left="-567"/>
      <w:jc w:val="center"/>
    </w:pPr>
    <w:rPr>
      <w:b/>
      <w:bCs/>
      <w:sz w:val="24"/>
      <w:szCs w:val="20"/>
    </w:rPr>
  </w:style>
  <w:style w:type="paragraph" w:styleId="823" w:customStyle="1">
    <w:name w:val="Подпункт"/>
    <w:basedOn w:val="791"/>
    <w:link w:val="879"/>
    <w:pPr>
      <w:pBdr/>
      <w:tabs>
        <w:tab w:val="num" w:leader="none" w:pos="1134"/>
      </w:tabs>
      <w:spacing w:line="360" w:lineRule="auto"/>
      <w:ind w:hanging="1134" w:left="1134"/>
      <w:jc w:val="both"/>
    </w:pPr>
    <w:rPr>
      <w:szCs w:val="20"/>
    </w:rPr>
  </w:style>
  <w:style w:type="paragraph" w:styleId="824" w:customStyle="1">
    <w:name w:val="Пункт2"/>
    <w:basedOn w:val="791"/>
    <w:link w:val="905"/>
    <w:pPr>
      <w:keepNext w:val="true"/>
      <w:pBdr/>
      <w:tabs>
        <w:tab w:val="num" w:leader="none" w:pos="1134"/>
      </w:tabs>
      <w:spacing w:after="120" w:before="240"/>
      <w:ind w:hanging="1134" w:left="1134"/>
      <w:outlineLvl w:val="2"/>
    </w:pPr>
    <w:rPr>
      <w:b/>
      <w:szCs w:val="20"/>
    </w:rPr>
  </w:style>
  <w:style w:type="character" w:styleId="825">
    <w:name w:val="page number"/>
    <w:basedOn w:val="801"/>
    <w:pPr>
      <w:pBdr/>
      <w:spacing/>
      <w:ind/>
    </w:pPr>
  </w:style>
  <w:style w:type="paragraph" w:styleId="826">
    <w:name w:val="toc 1"/>
    <w:basedOn w:val="791"/>
    <w:next w:val="791"/>
    <w:uiPriority w:val="39"/>
    <w:pPr>
      <w:pBdr/>
      <w:spacing w:before="120"/>
      <w:ind/>
    </w:pPr>
    <w:rPr>
      <w:rFonts w:cs="Calibri Light (Заголовки)"/>
      <w:b/>
      <w:bCs/>
      <w:sz w:val="24"/>
      <w:szCs w:val="24"/>
    </w:rPr>
  </w:style>
  <w:style w:type="paragraph" w:styleId="827">
    <w:name w:val="toc 3"/>
    <w:basedOn w:val="791"/>
    <w:next w:val="791"/>
    <w:uiPriority w:val="39"/>
    <w:pPr>
      <w:pBdr/>
      <w:tabs>
        <w:tab w:val="left" w:leader="none" w:pos="1120"/>
        <w:tab w:val="right" w:leader="dot" w:pos="10194"/>
      </w:tabs>
      <w:spacing/>
      <w:ind w:left="567"/>
    </w:pPr>
    <w:rPr>
      <w:rFonts w:eastAsia="Calibri" w:cstheme="minorHAnsi"/>
      <w:b/>
      <w:sz w:val="20"/>
      <w:szCs w:val="20"/>
    </w:rPr>
  </w:style>
  <w:style w:type="character" w:styleId="828">
    <w:name w:val="Hyperlink"/>
    <w:uiPriority w:val="99"/>
    <w:pPr>
      <w:pBdr/>
      <w:spacing/>
      <w:ind/>
    </w:pPr>
    <w:rPr>
      <w:color w:val="0000ff"/>
      <w:u w:val="single"/>
    </w:rPr>
  </w:style>
  <w:style w:type="paragraph" w:styleId="829" w:customStyle="1">
    <w:name w:val="Раздел регламента"/>
    <w:basedOn w:val="791"/>
    <w:pPr>
      <w:pBdr/>
      <w:spacing/>
      <w:ind/>
    </w:pPr>
  </w:style>
  <w:style w:type="paragraph" w:styleId="830" w:customStyle="1">
    <w:name w:val="Приложение к регламенту"/>
    <w:basedOn w:val="791"/>
    <w:pPr>
      <w:pBdr/>
      <w:spacing/>
      <w:ind/>
      <w:jc w:val="right"/>
    </w:pPr>
  </w:style>
  <w:style w:type="paragraph" w:styleId="831">
    <w:name w:val="toc 2"/>
    <w:basedOn w:val="791"/>
    <w:next w:val="791"/>
    <w:uiPriority w:val="39"/>
    <w:pPr>
      <w:pBdr/>
      <w:spacing w:before="240"/>
      <w:ind/>
    </w:pPr>
    <w:rPr>
      <w:rFonts w:cstheme="minorHAnsi"/>
      <w:b/>
      <w:bCs/>
      <w:sz w:val="20"/>
      <w:szCs w:val="20"/>
    </w:rPr>
  </w:style>
  <w:style w:type="paragraph" w:styleId="832">
    <w:name w:val="Balloon Text"/>
    <w:basedOn w:val="791"/>
    <w:semiHidden/>
    <w:pPr>
      <w:pBdr/>
      <w:spacing/>
      <w:ind/>
    </w:pPr>
    <w:rPr>
      <w:rFonts w:ascii="Tahoma" w:hAnsi="Tahoma" w:cs="Tahoma"/>
      <w:sz w:val="16"/>
      <w:szCs w:val="16"/>
    </w:rPr>
  </w:style>
  <w:style w:type="character" w:styleId="833">
    <w:name w:val="annotation reference"/>
    <w:uiPriority w:val="99"/>
    <w:semiHidden/>
    <w:pPr>
      <w:pBdr/>
      <w:spacing/>
      <w:ind/>
    </w:pPr>
    <w:rPr>
      <w:sz w:val="16"/>
      <w:szCs w:val="16"/>
    </w:rPr>
  </w:style>
  <w:style w:type="paragraph" w:styleId="834">
    <w:name w:val="annotation text"/>
    <w:basedOn w:val="791"/>
    <w:link w:val="899"/>
    <w:semiHidden/>
    <w:pPr>
      <w:pBdr/>
      <w:spacing/>
      <w:ind/>
    </w:pPr>
    <w:rPr>
      <w:sz w:val="20"/>
      <w:szCs w:val="20"/>
    </w:rPr>
  </w:style>
  <w:style w:type="paragraph" w:styleId="835">
    <w:name w:val="annotation subject"/>
    <w:basedOn w:val="834"/>
    <w:next w:val="834"/>
    <w:semiHidden/>
    <w:pPr>
      <w:pBdr/>
      <w:spacing/>
      <w:ind/>
    </w:pPr>
    <w:rPr>
      <w:b/>
      <w:bCs/>
    </w:rPr>
  </w:style>
  <w:style w:type="paragraph" w:styleId="836" w:customStyle="1">
    <w:name w:val="Обычный (веб)1"/>
    <w:basedOn w:val="791"/>
    <w:uiPriority w:val="99"/>
    <w:pPr>
      <w:pBdr/>
      <w:spacing w:after="100" w:afterAutospacing="1" w:before="100" w:beforeAutospacing="1"/>
      <w:ind/>
    </w:pPr>
    <w:rPr>
      <w:rFonts w:hint="eastAsia" w:ascii="Arial Unicode MS" w:hAnsi="Arial Unicode MS" w:eastAsia="Arial Unicode MS" w:cs="Arial Unicode MS"/>
      <w:sz w:val="24"/>
      <w:szCs w:val="24"/>
    </w:rPr>
  </w:style>
  <w:style w:type="paragraph" w:styleId="837">
    <w:name w:val="toc 9"/>
    <w:basedOn w:val="791"/>
    <w:next w:val="791"/>
    <w:semiHidden/>
    <w:pPr>
      <w:pBdr/>
      <w:spacing/>
      <w:ind w:left="1960"/>
    </w:pPr>
    <w:rPr>
      <w:rFonts w:asciiTheme="minorHAnsi" w:hAnsiTheme="minorHAnsi" w:cstheme="minorHAnsi"/>
      <w:sz w:val="20"/>
      <w:szCs w:val="20"/>
    </w:rPr>
  </w:style>
  <w:style w:type="paragraph" w:styleId="838">
    <w:name w:val="toc 5"/>
    <w:basedOn w:val="791"/>
    <w:next w:val="791"/>
    <w:semiHidden/>
    <w:pPr>
      <w:pBdr/>
      <w:spacing/>
      <w:ind w:left="840"/>
    </w:pPr>
    <w:rPr>
      <w:rFonts w:asciiTheme="minorHAnsi" w:hAnsiTheme="minorHAnsi" w:cstheme="minorHAnsi"/>
      <w:sz w:val="20"/>
      <w:szCs w:val="20"/>
    </w:rPr>
  </w:style>
  <w:style w:type="paragraph" w:styleId="839">
    <w:name w:val="toc 4"/>
    <w:basedOn w:val="791"/>
    <w:next w:val="791"/>
    <w:uiPriority w:val="39"/>
    <w:pPr>
      <w:pBdr/>
      <w:tabs>
        <w:tab w:val="left" w:leader="none" w:pos="1120"/>
        <w:tab w:val="right" w:leader="dot" w:pos="10194"/>
      </w:tabs>
      <w:spacing/>
      <w:ind w:left="567"/>
    </w:pPr>
    <w:rPr>
      <w:rFonts w:cstheme="minorHAnsi"/>
      <w:sz w:val="20"/>
      <w:szCs w:val="20"/>
    </w:rPr>
  </w:style>
  <w:style w:type="paragraph" w:styleId="840" w:customStyle="1">
    <w:name w:val="Раздел положения 2"/>
    <w:basedOn w:val="791"/>
    <w:pPr>
      <w:pageBreakBefore w:val="true"/>
      <w:pBdr/>
      <w:spacing/>
      <w:ind/>
      <w:jc w:val="both"/>
      <w:outlineLvl w:val="0"/>
    </w:pPr>
    <w:rPr>
      <w:b/>
    </w:rPr>
  </w:style>
  <w:style w:type="character" w:styleId="841">
    <w:name w:val="Strong"/>
    <w:qFormat/>
    <w:pPr>
      <w:pBdr/>
      <w:spacing/>
      <w:ind/>
    </w:pPr>
    <w:rPr>
      <w:b/>
      <w:bCs/>
    </w:rPr>
  </w:style>
  <w:style w:type="character" w:styleId="842" w:customStyle="1">
    <w:name w:val="Заголовок 6 Знак"/>
    <w:link w:val="797"/>
    <w:uiPriority w:val="9"/>
    <w:pPr>
      <w:pBdr/>
      <w:spacing/>
      <w:ind/>
    </w:pPr>
    <w:rPr>
      <w:rFonts w:ascii="Cambria" w:hAnsi="Cambria"/>
      <w:i/>
      <w:iCs/>
      <w:color w:val="243f60"/>
    </w:rPr>
  </w:style>
  <w:style w:type="character" w:styleId="843" w:customStyle="1">
    <w:name w:val="Заголовок 7 Знак"/>
    <w:link w:val="798"/>
    <w:uiPriority w:val="9"/>
    <w:pPr>
      <w:pBdr/>
      <w:spacing/>
      <w:ind/>
    </w:pPr>
    <w:rPr>
      <w:rFonts w:ascii="Cambria" w:hAnsi="Cambria"/>
      <w:i/>
      <w:iCs/>
      <w:color w:val="404040"/>
    </w:rPr>
  </w:style>
  <w:style w:type="character" w:styleId="844" w:customStyle="1">
    <w:name w:val="Заголовок 8 Знак"/>
    <w:link w:val="799"/>
    <w:uiPriority w:val="9"/>
    <w:pPr>
      <w:pBdr/>
      <w:spacing/>
      <w:ind/>
    </w:pPr>
    <w:rPr>
      <w:rFonts w:ascii="Cambria" w:hAnsi="Cambria"/>
      <w:color w:val="4f81bd"/>
    </w:rPr>
  </w:style>
  <w:style w:type="character" w:styleId="845" w:customStyle="1">
    <w:name w:val="Заголовок 1 Знак"/>
    <w:link w:val="792"/>
    <w:pPr>
      <w:pBdr/>
      <w:spacing/>
      <w:ind/>
    </w:pPr>
    <w:rPr>
      <w:rFonts w:eastAsia="Calibri"/>
      <w:b/>
      <w:sz w:val="28"/>
      <w:szCs w:val="28"/>
    </w:rPr>
  </w:style>
  <w:style w:type="paragraph" w:styleId="846" w:customStyle="1">
    <w:name w:val="Знак Знак Знак Знак Знак Знак Знак Знак Знак"/>
    <w:basedOn w:val="791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character" w:styleId="847" w:customStyle="1">
    <w:name w:val="Заголовок 2 Знак"/>
    <w:link w:val="793"/>
    <w:pPr>
      <w:pBdr/>
      <w:spacing/>
      <w:ind/>
    </w:pPr>
    <w:rPr>
      <w:rFonts w:eastAsia="Calibri"/>
      <w:b/>
      <w:bCs/>
      <w:sz w:val="24"/>
      <w:szCs w:val="24"/>
    </w:rPr>
  </w:style>
  <w:style w:type="character" w:styleId="848" w:customStyle="1">
    <w:name w:val="Заголовок 3 Знак"/>
    <w:link w:val="794"/>
    <w:pPr>
      <w:pBdr/>
      <w:spacing/>
      <w:ind/>
    </w:pPr>
    <w:rPr>
      <w:rFonts w:eastAsia="Calibri"/>
      <w:b/>
      <w:sz w:val="24"/>
      <w:szCs w:val="24"/>
    </w:rPr>
  </w:style>
  <w:style w:type="character" w:styleId="849" w:customStyle="1">
    <w:name w:val="Заголовок 4 Знак"/>
    <w:link w:val="795"/>
    <w:pPr>
      <w:pBdr/>
      <w:spacing/>
      <w:ind/>
    </w:pPr>
    <w:rPr>
      <w:rFonts w:eastAsia="Calibri"/>
      <w:b/>
      <w:bCs/>
      <w:sz w:val="24"/>
      <w:szCs w:val="24"/>
    </w:rPr>
  </w:style>
  <w:style w:type="character" w:styleId="850" w:customStyle="1">
    <w:name w:val="Заголовок 5 Знак"/>
    <w:link w:val="796"/>
    <w:uiPriority w:val="9"/>
    <w:pPr>
      <w:pBdr/>
      <w:spacing/>
      <w:ind/>
    </w:pPr>
    <w:rPr>
      <w:b/>
      <w:bCs/>
      <w:i/>
      <w:iCs/>
      <w:sz w:val="26"/>
      <w:szCs w:val="26"/>
    </w:rPr>
  </w:style>
  <w:style w:type="character" w:styleId="851" w:customStyle="1">
    <w:name w:val="Заголовок 9 Знак"/>
    <w:link w:val="800"/>
    <w:uiPriority w:val="9"/>
    <w:pPr>
      <w:pBdr/>
      <w:spacing/>
      <w:ind/>
    </w:pPr>
    <w:rPr>
      <w:rFonts w:ascii="Arial" w:hAnsi="Arial" w:cs="Arial"/>
      <w:sz w:val="22"/>
      <w:szCs w:val="22"/>
    </w:rPr>
  </w:style>
  <w:style w:type="paragraph" w:styleId="852">
    <w:name w:val="No Spacing"/>
    <w:basedOn w:val="791"/>
    <w:uiPriority w:val="1"/>
    <w:qFormat/>
    <w:pPr>
      <w:pBdr/>
      <w:spacing w:line="360" w:lineRule="auto"/>
      <w:ind/>
    </w:pPr>
    <w:rPr>
      <w:rFonts w:eastAsia="Calibri"/>
      <w:sz w:val="24"/>
      <w:szCs w:val="24"/>
    </w:rPr>
  </w:style>
  <w:style w:type="paragraph" w:styleId="853">
    <w:name w:val="Caption"/>
    <w:basedOn w:val="791"/>
    <w:next w:val="791"/>
    <w:uiPriority w:val="35"/>
    <w:qFormat/>
    <w:pPr>
      <w:pBdr/>
      <w:spacing/>
      <w:ind/>
    </w:pPr>
    <w:rPr>
      <w:rFonts w:eastAsia="Calibri"/>
      <w:b/>
      <w:bCs/>
      <w:color w:val="4f81bd"/>
      <w:sz w:val="18"/>
      <w:szCs w:val="18"/>
    </w:rPr>
  </w:style>
  <w:style w:type="character" w:styleId="854" w:customStyle="1">
    <w:name w:val="Название Знак"/>
    <w:link w:val="812"/>
    <w:uiPriority w:val="10"/>
    <w:pPr>
      <w:pBdr/>
      <w:spacing/>
      <w:ind/>
    </w:pPr>
    <w:rPr>
      <w:sz w:val="28"/>
    </w:rPr>
  </w:style>
  <w:style w:type="paragraph" w:styleId="855">
    <w:name w:val="Subtitle"/>
    <w:basedOn w:val="791"/>
    <w:next w:val="791"/>
    <w:link w:val="856"/>
    <w:uiPriority w:val="11"/>
    <w:qFormat/>
    <w:pPr>
      <w:numPr>
        <w:ilvl w:val="1"/>
      </w:numPr>
      <w:pBdr/>
      <w:spacing/>
      <w:ind w:firstLine="709" w:left="1066"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56" w:customStyle="1">
    <w:name w:val="Подзаголовок Знак"/>
    <w:link w:val="855"/>
    <w:uiPriority w:val="11"/>
    <w:pPr>
      <w:pBdr/>
      <w:spacing/>
      <w:ind/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styleId="857">
    <w:name w:val="Emphasis"/>
    <w:uiPriority w:val="20"/>
    <w:qFormat/>
    <w:pPr>
      <w:pBdr/>
      <w:spacing/>
      <w:ind/>
    </w:pPr>
    <w:rPr>
      <w:i/>
      <w:iCs/>
    </w:rPr>
  </w:style>
  <w:style w:type="paragraph" w:styleId="858">
    <w:name w:val="List Paragraph"/>
    <w:basedOn w:val="791"/>
    <w:link w:val="888"/>
    <w:uiPriority w:val="34"/>
    <w:qFormat/>
    <w:pPr>
      <w:pBdr/>
      <w:spacing/>
      <w:ind w:left="720"/>
      <w:contextualSpacing w:val="true"/>
    </w:pPr>
    <w:rPr>
      <w:rFonts w:eastAsia="Calibri"/>
      <w:sz w:val="24"/>
      <w:szCs w:val="24"/>
    </w:rPr>
  </w:style>
  <w:style w:type="paragraph" w:styleId="859">
    <w:name w:val="Quote"/>
    <w:basedOn w:val="791"/>
    <w:next w:val="791"/>
    <w:link w:val="860"/>
    <w:uiPriority w:val="29"/>
    <w:qFormat/>
    <w:pPr>
      <w:pBdr/>
      <w:spacing/>
      <w:ind/>
    </w:pPr>
    <w:rPr>
      <w:rFonts w:ascii="Calibri" w:hAnsi="Calibri" w:eastAsia="Calibri"/>
      <w:i/>
      <w:iCs/>
      <w:color w:val="000000"/>
      <w:sz w:val="20"/>
      <w:szCs w:val="20"/>
    </w:rPr>
  </w:style>
  <w:style w:type="character" w:styleId="860" w:customStyle="1">
    <w:name w:val="Цитата 2 Знак"/>
    <w:link w:val="859"/>
    <w:uiPriority w:val="29"/>
    <w:pPr>
      <w:pBdr/>
      <w:spacing/>
      <w:ind/>
    </w:pPr>
    <w:rPr>
      <w:rFonts w:ascii="Calibri" w:hAnsi="Calibri" w:eastAsia="Calibri"/>
      <w:i/>
      <w:iCs/>
      <w:color w:val="000000"/>
    </w:rPr>
  </w:style>
  <w:style w:type="paragraph" w:styleId="861">
    <w:name w:val="Intense Quote"/>
    <w:basedOn w:val="791"/>
    <w:next w:val="791"/>
    <w:link w:val="862"/>
    <w:uiPriority w:val="30"/>
    <w:qFormat/>
    <w:pPr>
      <w:pBdr>
        <w:bottom w:val="single" w:color="4f81bd" w:sz="4" w:space="4"/>
      </w:pBdr>
      <w:spacing w:after="280" w:before="200"/>
      <w:ind w:right="936" w:left="936"/>
    </w:pPr>
    <w:rPr>
      <w:rFonts w:ascii="Calibri" w:hAnsi="Calibri" w:eastAsia="Calibri"/>
      <w:b/>
      <w:bCs/>
      <w:i/>
      <w:iCs/>
      <w:color w:val="4f81bd"/>
      <w:sz w:val="20"/>
      <w:szCs w:val="20"/>
    </w:rPr>
  </w:style>
  <w:style w:type="character" w:styleId="862" w:customStyle="1">
    <w:name w:val="Выделенная цитата Знак"/>
    <w:link w:val="861"/>
    <w:uiPriority w:val="30"/>
    <w:pPr>
      <w:pBdr/>
      <w:spacing/>
      <w:ind/>
    </w:pPr>
    <w:rPr>
      <w:rFonts w:ascii="Calibri" w:hAnsi="Calibri" w:eastAsia="Calibri"/>
      <w:b/>
      <w:bCs/>
      <w:i/>
      <w:iCs/>
      <w:color w:val="4f81bd"/>
    </w:rPr>
  </w:style>
  <w:style w:type="character" w:styleId="863">
    <w:name w:val="Subtle Emphasis"/>
    <w:uiPriority w:val="19"/>
    <w:qFormat/>
    <w:pPr>
      <w:pBdr/>
      <w:spacing/>
      <w:ind/>
    </w:pPr>
    <w:rPr>
      <w:i/>
      <w:iCs/>
      <w:color w:val="808080"/>
    </w:rPr>
  </w:style>
  <w:style w:type="character" w:styleId="864">
    <w:name w:val="Intense Emphasis"/>
    <w:uiPriority w:val="21"/>
    <w:qFormat/>
    <w:pPr>
      <w:pBdr/>
      <w:spacing/>
      <w:ind/>
    </w:pPr>
    <w:rPr>
      <w:b/>
      <w:bCs/>
      <w:i/>
      <w:iCs/>
      <w:color w:val="4f81bd"/>
    </w:rPr>
  </w:style>
  <w:style w:type="character" w:styleId="865">
    <w:name w:val="Subtle Reference"/>
    <w:uiPriority w:val="31"/>
    <w:qFormat/>
    <w:pPr>
      <w:pBdr/>
      <w:spacing/>
      <w:ind/>
    </w:pPr>
    <w:rPr>
      <w:smallCaps/>
      <w:color w:val="c0504d"/>
      <w:u w:val="single"/>
    </w:rPr>
  </w:style>
  <w:style w:type="character" w:styleId="866">
    <w:name w:val="Intense Reference"/>
    <w:uiPriority w:val="32"/>
    <w:qFormat/>
    <w:pPr>
      <w:pBdr/>
      <w:spacing/>
      <w:ind/>
    </w:pPr>
    <w:rPr>
      <w:b/>
      <w:bCs/>
      <w:smallCaps/>
      <w:color w:val="c0504d"/>
      <w:spacing w:val="5"/>
      <w:u w:val="single"/>
    </w:rPr>
  </w:style>
  <w:style w:type="character" w:styleId="867">
    <w:name w:val="Book Title"/>
    <w:uiPriority w:val="33"/>
    <w:qFormat/>
    <w:pPr>
      <w:pBdr/>
      <w:spacing/>
      <w:ind/>
    </w:pPr>
    <w:rPr>
      <w:b/>
      <w:bCs/>
      <w:smallCaps/>
      <w:spacing w:val="5"/>
    </w:rPr>
  </w:style>
  <w:style w:type="paragraph" w:styleId="868">
    <w:name w:val="TOC Heading"/>
    <w:basedOn w:val="792"/>
    <w:next w:val="791"/>
    <w:uiPriority w:val="39"/>
    <w:qFormat/>
    <w:pPr>
      <w:keepLines w:val="true"/>
      <w:pBdr/>
      <w:spacing w:before="480"/>
      <w:ind/>
      <w:outlineLvl w:val="9"/>
    </w:pPr>
    <w:rPr>
      <w:rFonts w:ascii="Cambria" w:hAnsi="Cambria"/>
      <w:bCs/>
      <w:color w:val="365f91"/>
    </w:rPr>
  </w:style>
  <w:style w:type="paragraph" w:styleId="869">
    <w:name w:val="E-mail Signature"/>
    <w:basedOn w:val="791"/>
    <w:link w:val="870"/>
    <w:uiPriority w:val="99"/>
    <w:unhideWhenUsed/>
    <w:pPr>
      <w:pBdr/>
      <w:spacing/>
      <w:ind/>
    </w:pPr>
    <w:rPr>
      <w:rFonts w:eastAsia="Calibri"/>
      <w:sz w:val="24"/>
      <w:szCs w:val="24"/>
    </w:rPr>
  </w:style>
  <w:style w:type="character" w:styleId="870" w:customStyle="1">
    <w:name w:val="Электронная подпись Знак"/>
    <w:link w:val="869"/>
    <w:uiPriority w:val="99"/>
    <w:pPr>
      <w:pBdr/>
      <w:spacing/>
      <w:ind/>
    </w:pPr>
    <w:rPr>
      <w:rFonts w:eastAsia="Calibri"/>
      <w:sz w:val="24"/>
      <w:szCs w:val="24"/>
    </w:rPr>
  </w:style>
  <w:style w:type="paragraph" w:styleId="871" w:customStyle="1">
    <w:name w:val="Знак"/>
    <w:basedOn w:val="791"/>
    <w:pPr>
      <w:pBdr/>
      <w:spacing w:after="160" w:line="240" w:lineRule="exact"/>
      <w:ind/>
    </w:pPr>
    <w:rPr>
      <w:rFonts w:ascii="Verdana" w:hAnsi="Verdana" w:cs="Verdana"/>
      <w:sz w:val="20"/>
      <w:szCs w:val="20"/>
      <w:lang w:val="en-US" w:eastAsia="en-US"/>
    </w:rPr>
  </w:style>
  <w:style w:type="paragraph" w:styleId="872" w:customStyle="1">
    <w:name w:val="Нумерованный список ур3"/>
    <w:basedOn w:val="791"/>
    <w:pPr>
      <w:numPr>
        <w:ilvl w:val="2"/>
        <w:numId w:val="2"/>
      </w:numPr>
      <w:pBdr/>
      <w:spacing/>
      <w:ind/>
      <w:jc w:val="both"/>
    </w:pPr>
    <w:rPr>
      <w:rFonts w:ascii="Garamond" w:hAnsi="Garamond"/>
      <w:sz w:val="24"/>
      <w:szCs w:val="20"/>
    </w:rPr>
  </w:style>
  <w:style w:type="paragraph" w:styleId="873" w:customStyle="1">
    <w:name w:val="Нумерованный список 1"/>
    <w:basedOn w:val="791"/>
    <w:pPr>
      <w:numPr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874" w:customStyle="1">
    <w:name w:val="Нумерованный список ур2"/>
    <w:basedOn w:val="791"/>
    <w:pPr>
      <w:numPr>
        <w:ilvl w:val="1"/>
        <w:numId w:val="2"/>
      </w:numPr>
      <w:pBdr/>
      <w:spacing w:before="120"/>
      <w:ind/>
      <w:jc w:val="both"/>
    </w:pPr>
    <w:rPr>
      <w:rFonts w:ascii="Garamond" w:hAnsi="Garamond"/>
      <w:sz w:val="24"/>
      <w:szCs w:val="20"/>
    </w:rPr>
  </w:style>
  <w:style w:type="paragraph" w:styleId="875">
    <w:name w:val="Revision"/>
    <w:hidden/>
    <w:uiPriority w:val="99"/>
    <w:semiHidden/>
    <w:pPr>
      <w:pBdr/>
      <w:spacing/>
      <w:ind/>
    </w:pPr>
    <w:rPr>
      <w:rFonts w:eastAsia="Calibri"/>
      <w:sz w:val="24"/>
      <w:szCs w:val="24"/>
    </w:rPr>
  </w:style>
  <w:style w:type="paragraph" w:styleId="876" w:customStyle="1">
    <w:name w:val="ConsPlusNormal"/>
    <w:pPr>
      <w:widowControl w:val="false"/>
      <w:pBdr/>
      <w:spacing/>
      <w:ind w:firstLine="720"/>
    </w:pPr>
    <w:rPr>
      <w:rFonts w:ascii="Arial" w:hAnsi="Arial" w:cs="Arial"/>
    </w:rPr>
  </w:style>
  <w:style w:type="paragraph" w:styleId="877" w:customStyle="1">
    <w:name w:val="Знак Знак3 Знак Знак"/>
    <w:basedOn w:val="791"/>
    <w:pPr>
      <w:pBdr/>
      <w:spacing w:after="160" w:line="240" w:lineRule="exact"/>
      <w:ind/>
      <w:jc w:val="both"/>
    </w:pPr>
    <w:rPr>
      <w:rFonts w:ascii="Verdana" w:hAnsi="Verdana" w:cs="Verdana"/>
      <w:sz w:val="22"/>
      <w:szCs w:val="22"/>
      <w:lang w:val="en-US" w:eastAsia="en-US"/>
    </w:rPr>
  </w:style>
  <w:style w:type="paragraph" w:styleId="878" w:customStyle="1">
    <w:name w:val="Пункт"/>
    <w:basedOn w:val="791"/>
    <w:pPr>
      <w:widowControl w:val="false"/>
      <w:pBdr/>
      <w:tabs>
        <w:tab w:val="num" w:leader="none" w:pos="1134"/>
      </w:tabs>
      <w:spacing w:before="120" w:line="360" w:lineRule="auto"/>
      <w:ind w:right="800" w:hanging="1134" w:left="1134"/>
      <w:jc w:val="both"/>
    </w:pPr>
    <w:rPr>
      <w:rFonts w:ascii="Arial" w:hAnsi="Arial"/>
      <w:b/>
      <w:i/>
      <w:szCs w:val="20"/>
    </w:rPr>
  </w:style>
  <w:style w:type="character" w:styleId="879" w:customStyle="1">
    <w:name w:val="Подпункт Знак1"/>
    <w:link w:val="823"/>
    <w:pPr>
      <w:pBdr/>
      <w:spacing/>
      <w:ind/>
    </w:pPr>
    <w:rPr>
      <w:sz w:val="28"/>
    </w:rPr>
  </w:style>
  <w:style w:type="paragraph" w:styleId="880" w:customStyle="1">
    <w:name w:val="Абзац списка1"/>
    <w:basedOn w:val="791"/>
    <w:pPr>
      <w:pBdr/>
      <w:spacing w:after="200" w:line="276" w:lineRule="auto"/>
      <w:ind w:left="720"/>
      <w:contextualSpacing w:val="true"/>
    </w:pPr>
    <w:rPr>
      <w:rFonts w:ascii="Calibri" w:hAnsi="Calibri"/>
      <w:sz w:val="22"/>
      <w:szCs w:val="22"/>
      <w:lang w:eastAsia="en-US"/>
    </w:rPr>
  </w:style>
  <w:style w:type="character" w:styleId="881" w:customStyle="1">
    <w:name w:val="Текст сноски Знак"/>
    <w:link w:val="807"/>
    <w:uiPriority w:val="99"/>
    <w:pPr>
      <w:pBdr/>
      <w:spacing/>
      <w:ind/>
    </w:pPr>
  </w:style>
  <w:style w:type="numbering" w:styleId="882" w:customStyle="1">
    <w:name w:val="Стиль1"/>
    <w:uiPriority w:val="99"/>
    <w:pPr>
      <w:numPr>
        <w:numId w:val="3"/>
      </w:numPr>
      <w:pBdr/>
      <w:spacing/>
      <w:ind/>
    </w:pPr>
  </w:style>
  <w:style w:type="paragraph" w:styleId="883" w:customStyle="1">
    <w:name w:val="Таблица"/>
    <w:basedOn w:val="791"/>
    <w:qFormat/>
    <w:pPr>
      <w:keepNext w:val="true"/>
      <w:pBdr/>
      <w:spacing w:after="60" w:before="60"/>
      <w:ind/>
      <w:jc w:val="center"/>
    </w:pPr>
    <w:rPr>
      <w:rFonts w:eastAsia="Calibri"/>
      <w:b/>
      <w:sz w:val="24"/>
      <w:szCs w:val="24"/>
    </w:rPr>
  </w:style>
  <w:style w:type="character" w:styleId="884" w:customStyle="1">
    <w:name w:val="Основной текст Знак"/>
    <w:link w:val="817"/>
    <w:pPr>
      <w:pBdr/>
      <w:spacing/>
      <w:ind/>
    </w:pPr>
    <w:rPr>
      <w:sz w:val="28"/>
      <w:szCs w:val="28"/>
    </w:rPr>
  </w:style>
  <w:style w:type="character" w:styleId="885" w:customStyle="1">
    <w:name w:val="blk"/>
    <w:pPr>
      <w:pBdr/>
      <w:spacing/>
      <w:ind/>
    </w:pPr>
  </w:style>
  <w:style w:type="numbering" w:styleId="886" w:customStyle="1">
    <w:name w:val="Стиль2"/>
    <w:uiPriority w:val="99"/>
    <w:pPr>
      <w:numPr>
        <w:numId w:val="5"/>
      </w:numPr>
      <w:pBdr/>
      <w:spacing/>
      <w:ind/>
    </w:pPr>
  </w:style>
  <w:style w:type="paragraph" w:styleId="887" w:customStyle="1">
    <w:name w:val="Таблица шапка"/>
    <w:basedOn w:val="791"/>
    <w:pPr>
      <w:keepNext w:val="true"/>
      <w:pBdr/>
      <w:spacing w:after="40" w:before="40"/>
      <w:ind w:right="57" w:left="57"/>
    </w:pPr>
    <w:rPr>
      <w:sz w:val="22"/>
      <w:szCs w:val="26"/>
    </w:rPr>
  </w:style>
  <w:style w:type="character" w:styleId="888" w:customStyle="1">
    <w:name w:val="Абзац списка Знак"/>
    <w:link w:val="858"/>
    <w:uiPriority w:val="34"/>
    <w:pPr>
      <w:pBdr/>
      <w:spacing/>
      <w:ind/>
    </w:pPr>
    <w:rPr>
      <w:rFonts w:eastAsia="Calibri"/>
      <w:sz w:val="24"/>
      <w:szCs w:val="24"/>
    </w:rPr>
  </w:style>
  <w:style w:type="character" w:styleId="889" w:customStyle="1">
    <w:name w:val="комментарий"/>
    <w:pPr>
      <w:pBdr/>
      <w:spacing/>
      <w:ind/>
    </w:pPr>
    <w:rPr>
      <w:b/>
      <w:i/>
      <w:shd w:val="clear" w:color="auto" w:fill="ffff99"/>
    </w:rPr>
  </w:style>
  <w:style w:type="paragraph" w:styleId="890" w:customStyle="1">
    <w:name w:val="Подподпункт"/>
    <w:basedOn w:val="823"/>
    <w:link w:val="891"/>
    <w:pPr>
      <w:pBdr/>
      <w:tabs>
        <w:tab w:val="clear" w:leader="none" w:pos="1134"/>
        <w:tab w:val="num" w:leader="none" w:pos="5104"/>
      </w:tabs>
      <w:spacing w:before="120" w:line="240" w:lineRule="auto"/>
      <w:ind w:hanging="567" w:left="5104"/>
    </w:pPr>
    <w:rPr>
      <w:sz w:val="26"/>
      <w:szCs w:val="26"/>
      <w:lang w:val="ru-RU" w:eastAsia="ru-RU"/>
    </w:rPr>
  </w:style>
  <w:style w:type="character" w:styleId="891" w:customStyle="1">
    <w:name w:val="Подподпункт Знак"/>
    <w:link w:val="890"/>
    <w:pPr>
      <w:pBdr/>
      <w:spacing/>
      <w:ind/>
    </w:pPr>
    <w:rPr>
      <w:sz w:val="26"/>
      <w:szCs w:val="26"/>
    </w:rPr>
  </w:style>
  <w:style w:type="paragraph" w:styleId="892" w:customStyle="1">
    <w:name w:val="УРОВЕНЬ_(а)"/>
    <w:basedOn w:val="858"/>
    <w:qFormat/>
    <w:pPr>
      <w:numPr>
        <w:ilvl w:val="3"/>
        <w:numId w:val="6"/>
      </w:numPr>
      <w:pBdr/>
      <w:spacing w:before="120" w:line="360" w:lineRule="exact"/>
      <w:ind/>
      <w:contextualSpacing w:val="false"/>
      <w:jc w:val="both"/>
      <w:outlineLvl w:val="3"/>
    </w:pPr>
    <w:rPr>
      <w:sz w:val="26"/>
      <w:szCs w:val="28"/>
      <w:lang w:eastAsia="en-US"/>
    </w:rPr>
  </w:style>
  <w:style w:type="paragraph" w:styleId="893" w:customStyle="1">
    <w:name w:val="УРОВЕНЬ_-"/>
    <w:basedOn w:val="858"/>
    <w:qFormat/>
    <w:pPr>
      <w:numPr>
        <w:ilvl w:val="4"/>
        <w:numId w:val="6"/>
      </w:numPr>
      <w:pBdr/>
      <w:spacing w:before="120" w:line="360" w:lineRule="exact"/>
      <w:ind/>
      <w:contextualSpacing w:val="false"/>
      <w:jc w:val="both"/>
      <w:outlineLvl w:val="4"/>
    </w:pPr>
    <w:rPr>
      <w:sz w:val="26"/>
      <w:szCs w:val="28"/>
      <w:lang w:eastAsia="en-US"/>
    </w:rPr>
  </w:style>
  <w:style w:type="paragraph" w:styleId="894" w:customStyle="1">
    <w:name w:val="УРОВЕНЬ_Абзац_тип2"/>
    <w:basedOn w:val="858"/>
    <w:qFormat/>
    <w:pPr>
      <w:numPr>
        <w:ilvl w:val="6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895" w:customStyle="1">
    <w:name w:val="УРОВЕНЬ_Абзац_тип3"/>
    <w:basedOn w:val="858"/>
    <w:link w:val="897"/>
    <w:qFormat/>
    <w:pPr>
      <w:numPr>
        <w:ilvl w:val="7"/>
        <w:numId w:val="6"/>
      </w:numPr>
      <w:pBdr/>
      <w:spacing w:before="120" w:line="360" w:lineRule="exact"/>
      <w:ind/>
      <w:contextualSpacing w:val="false"/>
      <w:jc w:val="both"/>
    </w:pPr>
    <w:rPr>
      <w:sz w:val="26"/>
      <w:szCs w:val="28"/>
      <w:lang w:eastAsia="en-US"/>
    </w:rPr>
  </w:style>
  <w:style w:type="paragraph" w:styleId="896" w:customStyle="1">
    <w:name w:val="УРОВЕНЬ_Подпись"/>
    <w:basedOn w:val="858"/>
    <w:qFormat/>
    <w:pPr>
      <w:keepNext w:val="true"/>
      <w:numPr>
        <w:ilvl w:val="5"/>
        <w:numId w:val="6"/>
      </w:numPr>
      <w:pBdr/>
      <w:spacing w:after="120" w:before="120" w:line="360" w:lineRule="exact"/>
      <w:ind/>
      <w:contextualSpacing w:val="false"/>
      <w:jc w:val="right"/>
      <w:outlineLvl w:val="3"/>
    </w:pPr>
    <w:rPr>
      <w:sz w:val="26"/>
      <w:szCs w:val="28"/>
      <w:lang w:eastAsia="en-US"/>
    </w:rPr>
  </w:style>
  <w:style w:type="character" w:styleId="897" w:customStyle="1">
    <w:name w:val="УРОВЕНЬ_Абзац_тип3 Знак"/>
    <w:link w:val="895"/>
    <w:pPr>
      <w:pBdr/>
      <w:spacing/>
      <w:ind/>
    </w:pPr>
    <w:rPr>
      <w:rFonts w:eastAsia="Calibri"/>
      <w:sz w:val="26"/>
      <w:szCs w:val="28"/>
      <w:lang w:eastAsia="en-US"/>
    </w:rPr>
  </w:style>
  <w:style w:type="character" w:styleId="898" w:customStyle="1">
    <w:name w:val="Верхний колонтитул Знак"/>
    <w:link w:val="813"/>
    <w:uiPriority w:val="99"/>
    <w:pPr>
      <w:pBdr/>
      <w:spacing/>
      <w:ind/>
    </w:pPr>
    <w:rPr>
      <w:sz w:val="24"/>
      <w:szCs w:val="24"/>
    </w:rPr>
  </w:style>
  <w:style w:type="character" w:styleId="899" w:customStyle="1">
    <w:name w:val="Текст примечания Знак"/>
    <w:link w:val="834"/>
    <w:semiHidden/>
    <w:pPr>
      <w:pBdr/>
      <w:spacing/>
      <w:ind/>
    </w:pPr>
  </w:style>
  <w:style w:type="paragraph" w:styleId="900" w:customStyle="1">
    <w:name w:val="Стиль Заголовок 1 + по ширине"/>
    <w:basedOn w:val="792"/>
    <w:pPr>
      <w:keepLines w:val="true"/>
      <w:numPr>
        <w:numId w:val="0"/>
      </w:numPr>
      <w:pBdr/>
      <w:tabs>
        <w:tab w:val="num" w:leader="none" w:pos="567"/>
      </w:tabs>
      <w:spacing w:after="240" w:before="480"/>
      <w:ind w:hanging="567" w:left="567"/>
      <w:jc w:val="both"/>
    </w:pPr>
    <w:rPr>
      <w:rFonts w:ascii="Arial" w:hAnsi="Arial" w:eastAsia="Times New Roman"/>
      <w:bCs/>
      <w:sz w:val="40"/>
      <w:szCs w:val="20"/>
      <w:lang w:val="ru-RU" w:eastAsia="ru-RU"/>
    </w:rPr>
  </w:style>
  <w:style w:type="paragraph" w:styleId="901">
    <w:name w:val="endnote text"/>
    <w:basedOn w:val="791"/>
    <w:link w:val="902"/>
    <w:pPr>
      <w:pBdr/>
      <w:spacing/>
      <w:ind/>
    </w:pPr>
    <w:rPr>
      <w:sz w:val="20"/>
      <w:szCs w:val="20"/>
    </w:rPr>
  </w:style>
  <w:style w:type="character" w:styleId="902" w:customStyle="1">
    <w:name w:val="Текст концевой сноски Знак"/>
    <w:basedOn w:val="801"/>
    <w:link w:val="901"/>
    <w:pPr>
      <w:pBdr/>
      <w:spacing/>
      <w:ind/>
    </w:pPr>
  </w:style>
  <w:style w:type="character" w:styleId="903">
    <w:name w:val="endnote reference"/>
    <w:basedOn w:val="801"/>
    <w:pPr>
      <w:pBdr/>
      <w:spacing/>
      <w:ind/>
    </w:pPr>
    <w:rPr>
      <w:vertAlign w:val="superscript"/>
    </w:rPr>
  </w:style>
  <w:style w:type="paragraph" w:styleId="904" w:customStyle="1">
    <w:name w:val="Заголовок 2 КВВ"/>
    <w:basedOn w:val="791"/>
    <w:qFormat/>
    <w:pPr>
      <w:keepNext w:val="true"/>
      <w:numPr>
        <w:numId w:val="7"/>
      </w:numPr>
      <w:pBdr/>
      <w:spacing w:after="120" w:before="120"/>
      <w:ind/>
      <w:jc w:val="both"/>
      <w:outlineLvl w:val="0"/>
    </w:pPr>
    <w:rPr>
      <w:b/>
      <w:sz w:val="24"/>
      <w:szCs w:val="20"/>
    </w:rPr>
  </w:style>
  <w:style w:type="character" w:styleId="905" w:customStyle="1">
    <w:name w:val="Пункт2 Знак"/>
    <w:link w:val="824"/>
    <w:pPr>
      <w:pBdr/>
      <w:spacing/>
      <w:ind/>
    </w:pPr>
    <w:rPr>
      <w:b/>
      <w:sz w:val="28"/>
    </w:rPr>
  </w:style>
  <w:style w:type="paragraph" w:styleId="906" w:customStyle="1">
    <w:name w:val="Таблица текст"/>
    <w:basedOn w:val="791"/>
    <w:pPr>
      <w:pBdr/>
      <w:spacing w:after="40" w:before="40"/>
      <w:ind w:right="57" w:left="57"/>
    </w:pPr>
    <w:rPr>
      <w:sz w:val="24"/>
      <w:szCs w:val="26"/>
    </w:rPr>
  </w:style>
  <w:style w:type="paragraph" w:styleId="907">
    <w:name w:val="Normal (Web)"/>
    <w:basedOn w:val="791"/>
    <w:uiPriority w:val="99"/>
    <w:unhideWhenUsed/>
    <w:pPr>
      <w:pBdr/>
      <w:spacing w:after="100" w:afterAutospacing="1" w:before="100" w:beforeAutospacing="1"/>
      <w:ind/>
    </w:pPr>
    <w:rPr>
      <w:sz w:val="24"/>
      <w:szCs w:val="24"/>
    </w:rPr>
  </w:style>
  <w:style w:type="paragraph" w:styleId="908" w:customStyle="1">
    <w:name w:val="УРОВЕНЬ_1."/>
    <w:basedOn w:val="858"/>
    <w:link w:val="909"/>
    <w:qFormat/>
    <w:pPr>
      <w:keepNext w:val="true"/>
      <w:keepLines w:val="true"/>
      <w:pBdr/>
      <w:spacing w:after="120" w:before="240" w:line="276" w:lineRule="auto"/>
      <w:ind w:left="0"/>
      <w:contextualSpacing w:val="false"/>
      <w:jc w:val="both"/>
      <w:outlineLvl w:val="0"/>
    </w:pPr>
    <w:rPr>
      <w:caps/>
      <w:sz w:val="28"/>
      <w:szCs w:val="28"/>
      <w:lang w:eastAsia="en-US"/>
    </w:rPr>
  </w:style>
  <w:style w:type="character" w:styleId="909" w:customStyle="1">
    <w:name w:val="УРОВЕНЬ_1. Знак"/>
    <w:link w:val="908"/>
    <w:pPr>
      <w:pBdr/>
      <w:spacing/>
      <w:ind/>
    </w:pPr>
    <w:rPr>
      <w:rFonts w:eastAsia="Calibri"/>
      <w:caps/>
      <w:sz w:val="28"/>
      <w:szCs w:val="28"/>
      <w:lang w:eastAsia="en-US"/>
    </w:rPr>
  </w:style>
  <w:style w:type="table" w:styleId="910" w:customStyle="1">
    <w:name w:val="Сетка таблицы1"/>
    <w:basedOn w:val="802"/>
    <w:next w:val="815"/>
    <w:uiPriority w:val="39"/>
    <w:pPr>
      <w:pBdr/>
      <w:spacing/>
      <w:ind/>
    </w:pPr>
    <w:rPr>
      <w:rFonts w:asciiTheme="minorHAnsi" w:hAnsiTheme="minorHAnsi" w:eastAsiaTheme="minorHAnsi" w:cstheme="minorBidi"/>
      <w:sz w:val="24"/>
      <w:szCs w:val="24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paragraph" w:styleId="911">
    <w:name w:val="toc 6"/>
    <w:basedOn w:val="791"/>
    <w:next w:val="791"/>
    <w:unhideWhenUsed/>
    <w:pPr>
      <w:pBdr/>
      <w:spacing/>
      <w:ind w:left="1120"/>
    </w:pPr>
    <w:rPr>
      <w:rFonts w:asciiTheme="minorHAnsi" w:hAnsiTheme="minorHAnsi" w:cstheme="minorHAnsi"/>
      <w:sz w:val="20"/>
      <w:szCs w:val="20"/>
    </w:rPr>
  </w:style>
  <w:style w:type="paragraph" w:styleId="912">
    <w:name w:val="toc 7"/>
    <w:basedOn w:val="791"/>
    <w:next w:val="791"/>
    <w:unhideWhenUsed/>
    <w:pPr>
      <w:pBdr/>
      <w:spacing/>
      <w:ind w:left="1400"/>
    </w:pPr>
    <w:rPr>
      <w:rFonts w:asciiTheme="minorHAnsi" w:hAnsiTheme="minorHAnsi" w:cstheme="minorHAnsi"/>
      <w:sz w:val="20"/>
      <w:szCs w:val="20"/>
    </w:rPr>
  </w:style>
  <w:style w:type="paragraph" w:styleId="913">
    <w:name w:val="toc 8"/>
    <w:basedOn w:val="791"/>
    <w:next w:val="791"/>
    <w:unhideWhenUsed/>
    <w:pPr>
      <w:pBdr/>
      <w:spacing/>
      <w:ind w:left="1680"/>
    </w:pPr>
    <w:rPr>
      <w:rFonts w:asciiTheme="minorHAnsi" w:hAnsiTheme="minorHAnsi" w:cstheme="minorHAnsi"/>
      <w:sz w:val="20"/>
      <w:szCs w:val="20"/>
    </w:rPr>
  </w:style>
  <w:style w:type="character" w:styleId="914" w:customStyle="1">
    <w:name w:val="Неразрешенное упоминание1"/>
    <w:basedOn w:val="801"/>
    <w:uiPriority w:val="99"/>
    <w:semiHidden/>
    <w:unhideWhenUsed/>
    <w:pPr>
      <w:pBdr/>
      <w:spacing/>
      <w:ind/>
    </w:pPr>
    <w:rPr>
      <w:color w:val="605e5c"/>
      <w:shd w:val="clear" w:color="auto" w:fill="e1dfdd"/>
    </w:rPr>
  </w:style>
  <w:style w:type="character" w:styleId="915" w:customStyle="1">
    <w:name w:val="Основной текст с отступом 3 Знак"/>
    <w:link w:val="820"/>
    <w:pPr>
      <w:pBdr/>
      <w:spacing/>
      <w:ind/>
    </w:pPr>
    <w:rPr>
      <w:sz w:val="16"/>
      <w:szCs w:val="16"/>
    </w:rPr>
  </w:style>
  <w:style w:type="table" w:styleId="916" w:customStyle="1">
    <w:name w:val="Table Grid"/>
    <w:pPr>
      <w:pBdr/>
      <w:spacing/>
      <w:ind/>
    </w:pPr>
    <w:rPr>
      <w:rFonts w:ascii="Calibri" w:hAnsi="Calibri"/>
      <w:sz w:val="22"/>
      <w:szCs w:val="22"/>
    </w:rPr>
    <w:tblPr>
      <w:tblBorders/>
      <w:tblCellMar>
        <w:left w:w="0" w:type="dxa"/>
        <w:top w:w="0" w:type="dxa"/>
        <w:right w:w="0" w:type="dxa"/>
        <w:bottom w:w="0" w:type="dxa"/>
      </w:tblCellMar>
    </w:tblPr>
    <w:tcPr>
      <w:tcBorders/>
    </w:tcPr>
    <w:tblStylePr w:type="band1Horz">
      <w:pPr>
        <w:pBdr/>
        <w:spacing/>
        <w:ind/>
      </w:pPr>
      <w:tblPr>
        <w:tblBorders/>
      </w:tblPr>
      <w:tcPr>
        <w:tcBorders/>
      </w:tcPr>
    </w:tblStylePr>
    <w:tblStylePr w:type="band1Vert">
      <w:pPr>
        <w:pBdr/>
        <w:spacing/>
        <w:ind/>
      </w:pPr>
      <w:tblPr>
        <w:tblBorders/>
      </w:tblPr>
      <w:tcPr>
        <w:tcBorders/>
      </w:tcPr>
    </w:tblStylePr>
    <w:tblStylePr w:type="band2Horz">
      <w:pPr>
        <w:pBdr/>
        <w:spacing/>
        <w:ind/>
      </w:pPr>
      <w:tblPr>
        <w:tblBorders/>
      </w:tblPr>
      <w:tcPr>
        <w:tcBorders/>
      </w:tcPr>
    </w:tblStylePr>
    <w:tblStylePr w:type="band2Vert">
      <w:pPr>
        <w:pBdr/>
        <w:spacing/>
        <w:ind/>
      </w:pPr>
      <w:tblPr>
        <w:tblBorders/>
      </w:tblPr>
      <w:tcPr>
        <w:tcBorders/>
      </w:tcPr>
    </w:tblStylePr>
    <w:tblStylePr w:type="firstCol">
      <w:pPr>
        <w:pBdr/>
        <w:spacing/>
        <w:ind/>
      </w:pPr>
      <w:tblPr>
        <w:tblBorders/>
      </w:tblPr>
      <w:tcPr>
        <w:tcBorders/>
      </w:tcPr>
    </w:tblStylePr>
    <w:tblStylePr w:type="firstRow">
      <w:pPr>
        <w:pBdr/>
        <w:spacing/>
        <w:ind/>
      </w:pPr>
      <w:tblPr>
        <w:tblBorders/>
      </w:tblPr>
      <w:tcPr>
        <w:tcBorders/>
      </w:tcPr>
    </w:tblStylePr>
    <w:tblStylePr w:type="lastCol">
      <w:pPr>
        <w:pBdr/>
        <w:spacing/>
        <w:ind/>
      </w:pPr>
      <w:tblPr>
        <w:tblBorders/>
      </w:tblPr>
      <w:tcPr>
        <w:tcBorders/>
      </w:tcPr>
    </w:tblStylePr>
    <w:tblStylePr w:type="lastRow">
      <w:pPr>
        <w:pBdr/>
        <w:spacing/>
        <w:ind/>
      </w:pPr>
      <w:tblPr>
        <w:tblBorders/>
      </w:tblPr>
      <w:tcPr>
        <w:tcBorders/>
      </w:tcPr>
    </w:tblStylePr>
    <w:tblStylePr w:type="nwCell">
      <w:pPr>
        <w:pBdr/>
        <w:spacing/>
        <w:ind/>
      </w:pPr>
      <w:tblPr>
        <w:tblBorders/>
      </w:tblPr>
      <w:tcPr>
        <w:tcBorders/>
      </w:tcPr>
    </w:tblStylePr>
    <w:tblStylePr w:type="neCell">
      <w:pPr>
        <w:pBdr/>
        <w:spacing/>
        <w:ind/>
      </w:pPr>
      <w:tblPr>
        <w:tblBorders/>
      </w:tblPr>
      <w:tcPr>
        <w:tcBorders/>
      </w:tcPr>
    </w:tblStylePr>
    <w:tblStylePr w:type="swCell">
      <w:pPr>
        <w:pBdr/>
        <w:spacing/>
        <w:ind/>
      </w:pPr>
      <w:tblPr>
        <w:tblBorders/>
      </w:tblPr>
      <w:tcPr>
        <w:tcBorders/>
      </w:tcPr>
    </w:tblStylePr>
    <w:tblStylePr w:type="seCell">
      <w:pPr>
        <w:pBdr/>
        <w:spacing/>
        <w:ind/>
      </w:pPr>
      <w:tblPr>
        <w:tblBorders/>
      </w:tblPr>
      <w:tcPr>
        <w:tcBorders/>
      </w:tcPr>
    </w:tblStylePr>
    <w:tblStylePr w:type="wholeTable">
      <w:pPr>
        <w:pBdr/>
        <w:spacing/>
        <w:ind/>
      </w:pPr>
      <w:tblPr>
        <w:tblBorders/>
      </w:tblPr>
      <w:tcPr>
        <w:tcBorders/>
      </w:tcPr>
    </w:tblStylePr>
  </w:style>
  <w:style w:type="character" w:styleId="917" w:customStyle="1">
    <w:name w:val="Основной текст (5)_"/>
    <w:basedOn w:val="801"/>
    <w:link w:val="923"/>
    <w:pPr>
      <w:pBdr/>
      <w:spacing/>
      <w:ind/>
    </w:pPr>
    <w:rPr>
      <w:shd w:val="clear" w:color="auto" w:fill="ffffff"/>
    </w:rPr>
  </w:style>
  <w:style w:type="character" w:styleId="918" w:customStyle="1">
    <w:name w:val="Основной текст (11)_"/>
    <w:basedOn w:val="801"/>
    <w:link w:val="924"/>
    <w:pPr>
      <w:pBdr/>
      <w:spacing/>
      <w:ind/>
    </w:pPr>
    <w:rPr>
      <w:sz w:val="19"/>
      <w:szCs w:val="19"/>
      <w:shd w:val="clear" w:color="auto" w:fill="ffffff"/>
    </w:rPr>
  </w:style>
  <w:style w:type="character" w:styleId="919" w:customStyle="1">
    <w:name w:val="Заголовок №2_"/>
    <w:basedOn w:val="801"/>
    <w:link w:val="925"/>
    <w:pPr>
      <w:pBdr/>
      <w:spacing/>
      <w:ind/>
    </w:pPr>
    <w:rPr>
      <w:sz w:val="26"/>
      <w:szCs w:val="26"/>
      <w:shd w:val="clear" w:color="auto" w:fill="ffffff"/>
    </w:rPr>
  </w:style>
  <w:style w:type="character" w:styleId="920" w:customStyle="1">
    <w:name w:val="Основной текст (12)_"/>
    <w:basedOn w:val="801"/>
    <w:link w:val="926"/>
    <w:pPr>
      <w:pBdr/>
      <w:spacing/>
      <w:ind/>
    </w:pPr>
    <w:rPr>
      <w:b/>
      <w:bCs/>
      <w:sz w:val="30"/>
      <w:szCs w:val="30"/>
      <w:shd w:val="clear" w:color="auto" w:fill="ffffff"/>
    </w:rPr>
  </w:style>
  <w:style w:type="character" w:styleId="921" w:customStyle="1">
    <w:name w:val="Основной текст (13)_"/>
    <w:basedOn w:val="801"/>
    <w:link w:val="927"/>
    <w:pPr>
      <w:pBdr/>
      <w:spacing/>
      <w:ind/>
    </w:pPr>
    <w:rPr>
      <w:b/>
      <w:bCs/>
      <w:shd w:val="clear" w:color="auto" w:fill="ffffff"/>
    </w:rPr>
  </w:style>
  <w:style w:type="character" w:styleId="922" w:customStyle="1">
    <w:name w:val="Основной текст (13) + Интервал 1 pt"/>
    <w:basedOn w:val="921"/>
    <w:pPr>
      <w:pBdr/>
      <w:spacing/>
      <w:ind/>
    </w:pPr>
    <w:rPr>
      <w:b/>
      <w:bCs/>
      <w:color w:val="000000"/>
      <w:spacing w:val="30"/>
      <w:position w:val="0"/>
      <w:shd w:val="clear" w:color="auto" w:fill="ffffff"/>
      <w:lang w:val="ru-RU" w:eastAsia="ru-RU" w:bidi="ru-RU"/>
    </w:rPr>
  </w:style>
  <w:style w:type="paragraph" w:styleId="923" w:customStyle="1">
    <w:name w:val="Основной текст (5)"/>
    <w:basedOn w:val="791"/>
    <w:link w:val="917"/>
    <w:pPr>
      <w:widowControl w:val="false"/>
      <w:pBdr/>
      <w:shd w:val="clear" w:color="auto" w:fill="ffffff"/>
      <w:spacing w:after="120" w:before="120" w:line="0" w:lineRule="atLeast"/>
      <w:ind/>
      <w:jc w:val="both"/>
    </w:pPr>
    <w:rPr>
      <w:sz w:val="20"/>
      <w:szCs w:val="20"/>
    </w:rPr>
  </w:style>
  <w:style w:type="paragraph" w:styleId="924" w:customStyle="1">
    <w:name w:val="Основной текст (11)"/>
    <w:basedOn w:val="791"/>
    <w:link w:val="918"/>
    <w:pPr>
      <w:widowControl w:val="false"/>
      <w:pBdr/>
      <w:shd w:val="clear" w:color="auto" w:fill="ffffff"/>
      <w:spacing w:after="60" w:line="0" w:lineRule="atLeast"/>
      <w:ind/>
    </w:pPr>
    <w:rPr>
      <w:sz w:val="19"/>
      <w:szCs w:val="19"/>
    </w:rPr>
  </w:style>
  <w:style w:type="paragraph" w:styleId="925" w:customStyle="1">
    <w:name w:val="Заголовок №2"/>
    <w:basedOn w:val="791"/>
    <w:link w:val="919"/>
    <w:pPr>
      <w:widowControl w:val="false"/>
      <w:pBdr/>
      <w:shd w:val="clear" w:color="auto" w:fill="ffffff"/>
      <w:spacing w:line="0" w:lineRule="atLeast"/>
      <w:ind/>
      <w:outlineLvl w:val="1"/>
    </w:pPr>
    <w:rPr>
      <w:sz w:val="26"/>
      <w:szCs w:val="26"/>
    </w:rPr>
  </w:style>
  <w:style w:type="paragraph" w:styleId="926" w:customStyle="1">
    <w:name w:val="Основной текст (12)"/>
    <w:basedOn w:val="791"/>
    <w:link w:val="920"/>
    <w:pPr>
      <w:widowControl w:val="false"/>
      <w:pBdr/>
      <w:shd w:val="clear" w:color="auto" w:fill="ffffff"/>
      <w:spacing w:after="300" w:before="360" w:line="0" w:lineRule="atLeast"/>
      <w:ind/>
    </w:pPr>
    <w:rPr>
      <w:b/>
      <w:bCs/>
      <w:sz w:val="30"/>
      <w:szCs w:val="30"/>
    </w:rPr>
  </w:style>
  <w:style w:type="paragraph" w:styleId="927" w:customStyle="1">
    <w:name w:val="Основной текст (13)"/>
    <w:basedOn w:val="791"/>
    <w:link w:val="921"/>
    <w:pPr>
      <w:widowControl w:val="false"/>
      <w:pBdr/>
      <w:shd w:val="clear" w:color="auto" w:fill="ffffff"/>
      <w:spacing w:after="120" w:before="300" w:line="264" w:lineRule="exact"/>
      <w:ind/>
      <w:jc w:val="center"/>
    </w:pPr>
    <w:rPr>
      <w:b/>
      <w:bCs/>
      <w:sz w:val="20"/>
      <w:szCs w:val="20"/>
    </w:rPr>
  </w:style>
  <w:style w:type="character" w:styleId="928" w:customStyle="1">
    <w:name w:val="Основной текст (2)_"/>
    <w:basedOn w:val="801"/>
    <w:link w:val="931"/>
    <w:pPr>
      <w:pBdr/>
      <w:spacing/>
      <w:ind/>
    </w:pPr>
    <w:rPr>
      <w:sz w:val="26"/>
      <w:szCs w:val="26"/>
      <w:shd w:val="clear" w:color="auto" w:fill="ffffff"/>
    </w:rPr>
  </w:style>
  <w:style w:type="character" w:styleId="929" w:customStyle="1">
    <w:name w:val="Основной текст (2) + 11 pt"/>
    <w:basedOn w:val="928"/>
    <w:pPr>
      <w:pBdr/>
      <w:spacing/>
      <w:ind/>
    </w:pPr>
    <w:rPr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character" w:styleId="930" w:customStyle="1">
    <w:name w:val="Основной текст (2) + 11 pt;Полужирный"/>
    <w:basedOn w:val="928"/>
    <w:pPr>
      <w:pBdr/>
      <w:spacing/>
      <w:ind/>
    </w:pPr>
    <w:rPr>
      <w:b/>
      <w:bCs/>
      <w:color w:val="000000"/>
      <w:spacing w:val="0"/>
      <w:position w:val="0"/>
      <w:sz w:val="22"/>
      <w:szCs w:val="22"/>
      <w:shd w:val="clear" w:color="auto" w:fill="ffffff"/>
      <w:lang w:val="ru-RU" w:eastAsia="ru-RU" w:bidi="ru-RU"/>
    </w:rPr>
  </w:style>
  <w:style w:type="paragraph" w:styleId="931" w:customStyle="1">
    <w:name w:val="Основной текст (2)"/>
    <w:basedOn w:val="791"/>
    <w:link w:val="928"/>
    <w:pPr>
      <w:widowControl w:val="false"/>
      <w:pBdr/>
      <w:shd w:val="clear" w:color="auto" w:fill="ffffff"/>
      <w:spacing w:after="420" w:before="540" w:line="0" w:lineRule="atLeast"/>
      <w:ind/>
      <w:jc w:val="center"/>
    </w:pPr>
    <w:rPr>
      <w:sz w:val="26"/>
      <w:szCs w:val="26"/>
    </w:rPr>
  </w:style>
  <w:style w:type="character" w:styleId="932" w:customStyle="1">
    <w:name w:val="Основной текст (14)_"/>
    <w:basedOn w:val="801"/>
    <w:link w:val="934"/>
    <w:pPr>
      <w:pBdr/>
      <w:spacing/>
      <w:ind/>
    </w:pPr>
    <w:rPr>
      <w:i/>
      <w:iCs/>
      <w:shd w:val="clear" w:color="auto" w:fill="ffffff"/>
    </w:rPr>
  </w:style>
  <w:style w:type="character" w:styleId="933" w:customStyle="1">
    <w:name w:val="Основной текст (14) + 6;5 pt;Не курсив"/>
    <w:basedOn w:val="932"/>
    <w:pPr>
      <w:pBdr/>
      <w:spacing/>
      <w:ind/>
    </w:pPr>
    <w:rPr>
      <w:i/>
      <w:iCs/>
      <w:color w:val="000000"/>
      <w:spacing w:val="0"/>
      <w:position w:val="0"/>
      <w:sz w:val="13"/>
      <w:szCs w:val="13"/>
      <w:shd w:val="clear" w:color="auto" w:fill="ffffff"/>
      <w:lang w:val="ru-RU" w:eastAsia="ru-RU" w:bidi="ru-RU"/>
    </w:rPr>
  </w:style>
  <w:style w:type="paragraph" w:styleId="934" w:customStyle="1">
    <w:name w:val="Основной текст (14)"/>
    <w:basedOn w:val="791"/>
    <w:link w:val="932"/>
    <w:pPr>
      <w:widowControl w:val="false"/>
      <w:pBdr/>
      <w:shd w:val="clear" w:color="auto" w:fill="ffffff"/>
      <w:spacing w:before="300" w:line="264" w:lineRule="exact"/>
      <w:ind/>
    </w:pPr>
    <w:rPr>
      <w:i/>
      <w:iCs/>
      <w:sz w:val="20"/>
      <w:szCs w:val="20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header" Target="header3.xml" /><Relationship Id="rId12" Type="http://schemas.openxmlformats.org/officeDocument/2006/relationships/header" Target="header4.xml" /><Relationship Id="rId13" Type="http://schemas.openxmlformats.org/officeDocument/2006/relationships/footer" Target="footer1.xml" /><Relationship Id="rId14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_rels/header4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B35E5-B604-4C99-B144-96BDA828B5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ONLYOFFICE/8.1.1.27</Application>
  <Company>Microsoft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Российское открытое акционерное общество энергетики и электрификации</dc:title>
  <dc:subject/>
  <dc:creator>Быстров Олег Геннадьевич</dc:creator>
  <cp:keywords/>
  <dc:description/>
  <cp:revision>3</cp:revision>
  <dcterms:created xsi:type="dcterms:W3CDTF">2024-05-20T04:34:00Z</dcterms:created>
  <dcterms:modified xsi:type="dcterms:W3CDTF">2026-09-23T00:17:31Z</dcterms:modified>
</cp:coreProperties>
</file>