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Bdr/>
        <w:spacing/>
        <w:ind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righ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</w:t>
      </w:r>
      <w:r>
        <w:rPr>
          <w:rFonts w:eastAsia="Calibri"/>
          <w:b/>
          <w:sz w:val="24"/>
          <w:szCs w:val="24"/>
        </w:rPr>
        <w:t xml:space="preserve"> на поставку МТР</w:t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Поставка автомобилей бортовых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повышенной проходимости с КМУ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люлькой</w:t>
      </w:r>
      <w:r>
        <w:rPr>
          <w:sz w:val="24"/>
          <w:szCs w:val="24"/>
        </w:rPr>
        <w:t xml:space="preserve"> в г. Якутск для нужд АО «Сахаэнерго»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СОДЕРЖАНИЕ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75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</w:rPr>
      </w:pPr>
      <w:r>
        <w:rPr>
          <w:rFonts w:cs="Times New Roman"/>
          <w:b w:val="0"/>
          <w:i/>
        </w:rPr>
        <w:fldChar w:fldCharType="begin"/>
      </w:r>
      <w:r>
        <w:rPr>
          <w:rFonts w:cs="Times New Roman"/>
          <w:b w:val="0"/>
          <w:i/>
        </w:rPr>
        <w:instrText xml:space="preserve"> TOC \o "1-4" \h \z \u </w:instrText>
      </w:r>
      <w:r>
        <w:rPr>
          <w:rFonts w:cs="Times New Roman"/>
          <w:b w:val="0"/>
          <w:i/>
        </w:rPr>
        <w:fldChar w:fldCharType="separate"/>
      </w:r>
      <w:hyperlink w:tooltip="#_Toc170116919" w:anchor="_Toc170116919" w:history="1">
        <w:r>
          <w:rPr>
            <w:rStyle w:val="977"/>
          </w:rPr>
          <w:t xml:space="preserve">1.</w:t>
        </w:r>
        <w:r>
          <w:rPr>
            <w:rFonts w:asciiTheme="minorHAnsi" w:hAnsiTheme="minorHAnsi" w:eastAsiaTheme="minorEastAsia" w:cstheme="minorBidi"/>
            <w:b w:val="0"/>
            <w:bCs w:val="0"/>
          </w:rPr>
          <w:tab/>
        </w:r>
        <w:r>
          <w:rPr>
            <w:rStyle w:val="977"/>
          </w:rPr>
          <w:t xml:space="preserve">Общие сведения</w:t>
        </w:r>
        <w:r>
          <w:tab/>
        </w:r>
        <w:r>
          <w:fldChar w:fldCharType="begin"/>
        </w:r>
        <w:r>
          <w:instrText xml:space="preserve"> PAGEREF _Toc170116919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  <w:r>
        <w:rPr>
          <w:rFonts w:asciiTheme="minorHAnsi" w:hAnsiTheme="minorHAnsi" w:eastAsiaTheme="minorEastAsia" w:cstheme="minorBidi"/>
          <w:b w:val="0"/>
          <w:bCs w:val="0"/>
        </w:rPr>
      </w:r>
      <w:r>
        <w:rPr>
          <w:rFonts w:asciiTheme="minorHAnsi" w:hAnsiTheme="minorHAnsi" w:eastAsiaTheme="minorEastAsia" w:cstheme="minorBidi"/>
          <w:b w:val="0"/>
          <w:bCs w:val="0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0" w:anchor="_Toc170116920" w:history="1">
        <w:r>
          <w:rPr>
            <w:rStyle w:val="977"/>
            <w:iCs/>
            <w:sz w:val="24"/>
            <w:szCs w:val="24"/>
          </w:rPr>
          <w:t xml:space="preserve">1.1.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Обозначения и сокращения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_Toc170116920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1" w:anchor="_Toc170116921" w:history="1">
        <w:r>
          <w:rPr>
            <w:rStyle w:val="977"/>
            <w:iCs/>
            <w:sz w:val="24"/>
            <w:szCs w:val="24"/>
          </w:rPr>
          <w:t xml:space="preserve">1.2.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Наименование закупаемой продукции: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_Toc170116921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2" w:anchor="_Toc170116922" w:history="1">
        <w:r>
          <w:rPr>
            <w:rStyle w:val="977"/>
            <w:iCs/>
            <w:sz w:val="24"/>
            <w:szCs w:val="24"/>
          </w:rPr>
          <w:t xml:space="preserve">1.3.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Цель использования закупаемой продукции</w:t>
        </w:r>
        <w:r>
          <w:rPr>
            <w:rStyle w:val="977"/>
            <w:i/>
            <w:sz w:val="24"/>
            <w:szCs w:val="24"/>
          </w:rPr>
          <w:t xml:space="preserve">: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_Toc170116922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3" w:anchor="_Toc170116923" w:history="1">
        <w:r>
          <w:rPr>
            <w:rStyle w:val="977"/>
            <w:iCs/>
            <w:sz w:val="24"/>
            <w:szCs w:val="24"/>
          </w:rPr>
          <w:t xml:space="preserve">1.4.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Иные требования и сведения общего характера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_Toc170116923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75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</w:rPr>
      </w:pPr>
      <w:r/>
      <w:hyperlink w:tooltip="#_Toc170116924" w:anchor="_Toc170116924" w:history="1">
        <w:r>
          <w:rPr>
            <w:rStyle w:val="977"/>
          </w:rPr>
          <w:t xml:space="preserve">2.</w:t>
        </w:r>
        <w:r>
          <w:rPr>
            <w:rFonts w:asciiTheme="minorHAnsi" w:hAnsiTheme="minorHAnsi" w:eastAsiaTheme="minorEastAsia" w:cstheme="minorBidi"/>
            <w:b w:val="0"/>
            <w:bCs w:val="0"/>
          </w:rPr>
          <w:tab/>
        </w:r>
        <w:r>
          <w:rPr>
            <w:rStyle w:val="977"/>
          </w:rPr>
          <w:t xml:space="preserve">Требования к продукции</w:t>
        </w:r>
        <w:r>
          <w:tab/>
        </w:r>
        <w:r>
          <w:fldChar w:fldCharType="begin"/>
        </w:r>
        <w:r>
          <w:instrText xml:space="preserve"> PAGEREF _Toc170116924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  <w:r>
        <w:rPr>
          <w:rFonts w:asciiTheme="minorHAnsi" w:hAnsiTheme="minorHAnsi" w:eastAsiaTheme="minorEastAsia" w:cstheme="minorBidi"/>
          <w:b w:val="0"/>
          <w:bCs w:val="0"/>
        </w:rPr>
      </w:r>
      <w:r>
        <w:rPr>
          <w:rFonts w:asciiTheme="minorHAnsi" w:hAnsiTheme="minorHAnsi" w:eastAsiaTheme="minorEastAsia" w:cstheme="minorBidi"/>
          <w:b w:val="0"/>
          <w:bCs w:val="0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5" w:anchor="_Toc170116925" w:history="1">
        <w:r>
          <w:rPr>
            <w:rStyle w:val="977"/>
            <w:iCs/>
            <w:sz w:val="24"/>
            <w:szCs w:val="24"/>
          </w:rPr>
          <w:t xml:space="preserve">2.1.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Требования к объемам и срокам поставки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_Toc170116925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76"/>
        <w:pBdr/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6" w:anchor="_Toc170116926" w:history="1">
        <w:r>
          <w:rPr>
            <w:rStyle w:val="977"/>
            <w:sz w:val="24"/>
            <w:szCs w:val="24"/>
          </w:rPr>
          <w:t xml:space="preserve">2.1.1.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Перечень и объем закупаемой продукции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_Toc170116926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75"/>
        <w:pBdr/>
        <w:tabs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</w:rPr>
      </w:pPr>
      <w:r/>
      <w:hyperlink w:tooltip="#_Toc170116927" w:anchor="_Toc170116927" w:history="1">
        <w:r>
          <w:rPr>
            <w:rStyle w:val="977"/>
          </w:rPr>
          <w:t xml:space="preserve">Таблица 1.1 Перечень и объем закупаемой продукции</w:t>
        </w:r>
        <w:r>
          <w:tab/>
        </w:r>
        <w:r>
          <w:fldChar w:fldCharType="begin"/>
        </w:r>
        <w:r>
          <w:instrText xml:space="preserve"> PAGEREF _Toc170116927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  <w:r>
        <w:rPr>
          <w:rFonts w:asciiTheme="minorHAnsi" w:hAnsiTheme="minorHAnsi" w:eastAsiaTheme="minorEastAsia" w:cstheme="minorBidi"/>
          <w:b w:val="0"/>
          <w:bCs w:val="0"/>
        </w:rPr>
      </w:r>
      <w:r>
        <w:rPr>
          <w:rFonts w:asciiTheme="minorHAnsi" w:hAnsiTheme="minorHAnsi" w:eastAsiaTheme="minorEastAsia" w:cstheme="minorBidi"/>
          <w:b w:val="0"/>
          <w:bCs w:val="0"/>
        </w:rPr>
      </w:r>
    </w:p>
    <w:p>
      <w:pPr>
        <w:pStyle w:val="976"/>
        <w:pBdr/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8" w:anchor="_Toc170116928" w:history="1">
        <w:r>
          <w:rPr>
            <w:rStyle w:val="977"/>
            <w:sz w:val="24"/>
            <w:szCs w:val="24"/>
          </w:rPr>
          <w:t xml:space="preserve">2.1.2.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Требования к срокам поставки продукции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_Toc170116928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76"/>
        <w:pBdr/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29" w:anchor="_Toc170116929" w:history="1">
        <w:r>
          <w:rPr>
            <w:rStyle w:val="977"/>
            <w:sz w:val="24"/>
            <w:szCs w:val="24"/>
          </w:rPr>
          <w:t xml:space="preserve">Таблица 2.1 Требования по срокам поставки продукции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_Toc170116929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88"/>
        <w:pBdr/>
        <w:tabs>
          <w:tab w:val="left" w:leader="none" w:pos="1120"/>
          <w:tab w:val="right" w:leader="dot" w:pos="10194"/>
        </w:tabs>
        <w:spacing/>
        <w:ind/>
        <w:rPr>
          <w:rFonts w:asciiTheme="minorHAnsi" w:hAnsiTheme="minorHAnsi" w:eastAsiaTheme="minorEastAsia" w:cstheme="minorBidi"/>
          <w:sz w:val="24"/>
          <w:szCs w:val="24"/>
        </w:rPr>
      </w:pPr>
      <w:r/>
      <w:hyperlink w:tooltip="#_Toc170116930" w:anchor="_Toc170116930" w:history="1">
        <w:r>
          <w:rPr>
            <w:rStyle w:val="977"/>
            <w:iCs/>
            <w:sz w:val="24"/>
            <w:szCs w:val="24"/>
          </w:rPr>
          <w:t xml:space="preserve">2.2.</w:t>
        </w:r>
        <w:r>
          <w:rPr>
            <w:rFonts w:asciiTheme="minorHAnsi" w:hAnsiTheme="minorHAnsi" w:eastAsiaTheme="minorEastAsia" w:cstheme="minorBidi"/>
            <w:sz w:val="24"/>
            <w:szCs w:val="24"/>
          </w:rPr>
          <w:tab/>
        </w:r>
        <w:r>
          <w:rPr>
            <w:rStyle w:val="977"/>
            <w:sz w:val="24"/>
            <w:szCs w:val="24"/>
          </w:rPr>
          <w:t xml:space="preserve">Требования к качеству продукции</w:t>
        </w:r>
        <w:r>
          <w:rPr>
            <w:sz w:val="24"/>
            <w:szCs w:val="24"/>
          </w:rPr>
          <w:tab/>
        </w: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PAGEREF _Toc170116930 \h 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2</w:t>
        </w:r>
        <w:r>
          <w:rPr>
            <w:sz w:val="24"/>
            <w:szCs w:val="24"/>
          </w:rPr>
          <w:fldChar w:fldCharType="end"/>
        </w:r>
      </w:hyperlink>
      <w:r>
        <w:rPr>
          <w:rFonts w:asciiTheme="minorHAnsi" w:hAnsiTheme="minorHAnsi" w:eastAsiaTheme="minorEastAsia" w:cstheme="minorBidi"/>
          <w:sz w:val="24"/>
          <w:szCs w:val="24"/>
        </w:rPr>
      </w:r>
      <w:r>
        <w:rPr>
          <w:rFonts w:asciiTheme="minorHAnsi" w:hAnsiTheme="minorHAnsi" w:eastAsiaTheme="minorEastAsia" w:cstheme="minorBidi"/>
          <w:sz w:val="24"/>
          <w:szCs w:val="24"/>
        </w:rPr>
      </w:r>
    </w:p>
    <w:p>
      <w:pPr>
        <w:pStyle w:val="975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</w:rPr>
      </w:pPr>
      <w:r/>
      <w:hyperlink w:tooltip="#_Toc170116931" w:anchor="_Toc170116931" w:history="1">
        <w:r>
          <w:rPr>
            <w:rStyle w:val="977"/>
          </w:rPr>
          <w:t xml:space="preserve">3.</w:t>
        </w:r>
        <w:r>
          <w:rPr>
            <w:rFonts w:asciiTheme="minorHAnsi" w:hAnsiTheme="minorHAnsi" w:eastAsiaTheme="minorEastAsia" w:cstheme="minorBidi"/>
            <w:b w:val="0"/>
            <w:bCs w:val="0"/>
          </w:rPr>
          <w:tab/>
        </w:r>
        <w:r>
          <w:rPr>
            <w:rStyle w:val="977"/>
          </w:rPr>
          <w:t xml:space="preserve">Требования к документации по ценообразованию на этапе закупки</w:t>
        </w:r>
        <w:r>
          <w:tab/>
        </w:r>
        <w:r>
          <w:fldChar w:fldCharType="begin"/>
        </w:r>
        <w:r>
          <w:instrText xml:space="preserve"> PAGEREF _Toc170116931 \h </w:instrText>
        </w:r>
        <w:r>
          <w:fldChar w:fldCharType="separate"/>
        </w:r>
        <w:r>
          <w:t xml:space="preserve">2</w:t>
        </w:r>
        <w:r>
          <w:fldChar w:fldCharType="end"/>
        </w:r>
      </w:hyperlink>
      <w:r>
        <w:rPr>
          <w:rFonts w:asciiTheme="minorHAnsi" w:hAnsiTheme="minorHAnsi" w:eastAsiaTheme="minorEastAsia" w:cstheme="minorBidi"/>
          <w:b w:val="0"/>
          <w:bCs w:val="0"/>
        </w:rPr>
      </w:r>
      <w:r>
        <w:rPr>
          <w:rFonts w:asciiTheme="minorHAnsi" w:hAnsiTheme="minorHAnsi" w:eastAsiaTheme="minorEastAsia" w:cstheme="minorBidi"/>
          <w:b w:val="0"/>
          <w:bCs w:val="0"/>
        </w:rPr>
      </w:r>
    </w:p>
    <w:p>
      <w:pPr>
        <w:pStyle w:val="975"/>
        <w:pBdr/>
        <w:tabs>
          <w:tab w:val="left" w:leader="none" w:pos="560"/>
          <w:tab w:val="right" w:leader="dot" w:pos="10194"/>
        </w:tabs>
        <w:spacing w:before="0"/>
        <w:ind/>
        <w:jc w:val="both"/>
        <w:rPr>
          <w:rFonts w:cs="Times New Roman"/>
        </w:rPr>
      </w:pPr>
      <w:r>
        <w:rPr>
          <w:rFonts w:cs="Times New Roman"/>
        </w:rPr>
        <w:fldChar w:fldCharType="end"/>
      </w:r>
      <w:r>
        <w:rPr>
          <w:rFonts w:cs="Times New Roman"/>
        </w:rPr>
      </w:r>
      <w:r>
        <w:rPr>
          <w:rFonts w:cs="Times New Roman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 w:clear="all"/>
      </w:r>
      <w:r>
        <w:rPr>
          <w:rFonts w:eastAsia="Calibri"/>
          <w:b/>
          <w:i/>
          <w:sz w:val="24"/>
          <w:szCs w:val="24"/>
        </w:rPr>
      </w:r>
      <w:r>
        <w:rPr>
          <w:rFonts w:eastAsia="Calibri"/>
          <w:b/>
          <w:i/>
          <w:sz w:val="24"/>
          <w:szCs w:val="24"/>
        </w:rPr>
      </w:r>
    </w:p>
    <w:p>
      <w:pPr>
        <w:pStyle w:val="941"/>
        <w:pBdr/>
        <w:spacing w:after="0" w:before="0"/>
        <w:ind w:firstLine="0" w:left="0"/>
        <w:jc w:val="both"/>
        <w:rPr>
          <w:caps/>
          <w:sz w:val="24"/>
          <w:szCs w:val="24"/>
        </w:rPr>
      </w:pPr>
      <w:r/>
      <w:bookmarkStart w:id="0" w:name="_Toc51339692"/>
      <w:r/>
      <w:bookmarkStart w:id="1" w:name="_Toc75446566"/>
      <w:r/>
      <w:bookmarkStart w:id="2" w:name="_Toc124170484"/>
      <w:r/>
      <w:bookmarkStart w:id="3" w:name="_Toc170116919"/>
      <w:r>
        <w:rPr>
          <w:sz w:val="24"/>
          <w:szCs w:val="24"/>
        </w:rPr>
        <w:t xml:space="preserve">Общие сведения</w:t>
      </w:r>
      <w:bookmarkEnd w:id="0"/>
      <w:r/>
      <w:bookmarkEnd w:id="1"/>
      <w:r/>
      <w:bookmarkEnd w:id="2"/>
      <w:r/>
      <w:bookmarkEnd w:id="3"/>
      <w:r>
        <w:rPr>
          <w:caps/>
          <w:sz w:val="24"/>
          <w:szCs w:val="24"/>
        </w:rPr>
      </w:r>
      <w:r>
        <w:rPr>
          <w:caps/>
          <w:sz w:val="24"/>
          <w:szCs w:val="24"/>
        </w:rPr>
      </w:r>
    </w:p>
    <w:p>
      <w:pPr>
        <w:pStyle w:val="944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4" w:name="_Toc46743505"/>
      <w:r/>
      <w:bookmarkStart w:id="5" w:name="_Toc75446567"/>
      <w:r/>
      <w:bookmarkStart w:id="6" w:name="_Toc170116920"/>
      <w:r>
        <w:rPr>
          <w:sz w:val="24"/>
          <w:szCs w:val="24"/>
        </w:rPr>
        <w:t xml:space="preserve">Обозначения и сокращения</w:t>
      </w:r>
      <w:bookmarkEnd w:id="4"/>
      <w:r/>
      <w:bookmarkEnd w:id="5"/>
      <w:r/>
      <w:bookmarkEnd w:id="6"/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10"/>
        <w:gridCol w:w="8704"/>
      </w:tblGrid>
      <w:tr>
        <w:trPr>
          <w:cantSplit/>
          <w:jc w:val="center"/>
        </w:trPr>
        <w:tc>
          <w:tcPr>
            <w:tcBorders/>
            <w:tcW w:w="48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rStyle w:val="1038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ТТ</w:t>
            </w:r>
            <w:r>
              <w:rPr>
                <w:rStyle w:val="1038"/>
                <w:b w:val="0"/>
                <w:bCs/>
                <w:iCs/>
                <w:sz w:val="24"/>
                <w:szCs w:val="24"/>
              </w:rPr>
            </w:r>
            <w:r>
              <w:rPr>
                <w:rStyle w:val="1038"/>
                <w:b w:val="0"/>
                <w:bCs/>
                <w:iCs/>
                <w:sz w:val="24"/>
                <w:szCs w:val="24"/>
              </w:rPr>
            </w:r>
          </w:p>
        </w:tc>
        <w:tc>
          <w:tcPr>
            <w:tcBorders/>
            <w:tcW w:w="8731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rStyle w:val="1038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Технические Требования</w:t>
            </w:r>
            <w:r>
              <w:rPr>
                <w:bCs/>
                <w:iCs/>
                <w:sz w:val="24"/>
                <w:szCs w:val="24"/>
                <w:shd w:val="clear" w:color="auto" w:fill="ffff99"/>
              </w:rPr>
              <w:t xml:space="preserve"> </w:t>
            </w:r>
            <w:r>
              <w:rPr>
                <w:rStyle w:val="1038"/>
                <w:b w:val="0"/>
                <w:bCs/>
                <w:i w:val="0"/>
                <w:iCs/>
                <w:sz w:val="24"/>
                <w:szCs w:val="24"/>
              </w:rPr>
            </w:r>
            <w:r>
              <w:rPr>
                <w:rStyle w:val="1038"/>
                <w:b w:val="0"/>
                <w:bCs/>
                <w:i w:val="0"/>
                <w:iCs/>
                <w:sz w:val="24"/>
                <w:szCs w:val="24"/>
              </w:rPr>
            </w:r>
          </w:p>
        </w:tc>
      </w:tr>
      <w:tr>
        <w:trPr>
          <w:cantSplit/>
          <w:jc w:val="center"/>
          <w:trHeight w:val="60"/>
        </w:trPr>
        <w:tc>
          <w:tcPr>
            <w:tcBorders/>
            <w:tcW w:w="48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ТС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/>
            <w:tcW w:w="8731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Транспортное Средство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944"/>
        <w:pBdr/>
        <w:spacing w:after="0" w:before="0"/>
        <w:ind w:firstLine="0" w:left="0"/>
        <w:jc w:val="both"/>
        <w:rPr>
          <w:i/>
          <w:sz w:val="24"/>
          <w:szCs w:val="24"/>
          <w:lang w:val="ru-RU"/>
        </w:rPr>
      </w:pPr>
      <w:r/>
      <w:bookmarkStart w:id="7" w:name="_Toc46743506"/>
      <w:r/>
      <w:bookmarkStart w:id="8" w:name="_Toc75446568"/>
      <w:r/>
      <w:bookmarkStart w:id="9" w:name="_Toc170116921"/>
      <w:r>
        <w:rPr>
          <w:sz w:val="24"/>
          <w:szCs w:val="24"/>
        </w:rPr>
        <w:t xml:space="preserve">Наименование </w:t>
      </w:r>
      <w:r>
        <w:rPr>
          <w:sz w:val="24"/>
          <w:szCs w:val="24"/>
        </w:rPr>
        <w:t xml:space="preserve">закупаемой продукции</w:t>
      </w:r>
      <w:bookmarkEnd w:id="7"/>
      <w:r/>
      <w:bookmarkEnd w:id="8"/>
      <w:r>
        <w:rPr>
          <w:sz w:val="24"/>
          <w:szCs w:val="24"/>
          <w:lang w:val="ru-RU"/>
        </w:rPr>
        <w:t xml:space="preserve">:</w:t>
      </w:r>
      <w:bookmarkEnd w:id="9"/>
      <w:r>
        <w:rPr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  <w:lang w:val="ru-RU"/>
        </w:rPr>
      </w:r>
      <w:r>
        <w:rPr>
          <w:i/>
          <w:sz w:val="24"/>
          <w:szCs w:val="24"/>
          <w:lang w:val="ru-RU"/>
        </w:rPr>
      </w:r>
    </w:p>
    <w:p>
      <w:pPr>
        <w:pBdr/>
        <w:spacing/>
        <w:ind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  <w:r>
        <w:rPr>
          <w:i/>
          <w:sz w:val="24"/>
          <w:szCs w:val="24"/>
        </w:rPr>
        <w:t xml:space="preserve">Поставка автомобилей бортовых</w:t>
      </w:r>
      <w:r>
        <w:rPr>
          <w:i/>
          <w:sz w:val="24"/>
          <w:szCs w:val="24"/>
        </w:rPr>
        <w:t xml:space="preserve"> повышенной проходимости</w:t>
      </w:r>
      <w:r>
        <w:rPr>
          <w:i/>
          <w:sz w:val="24"/>
          <w:szCs w:val="24"/>
        </w:rPr>
        <w:t xml:space="preserve"> с</w:t>
      </w:r>
      <w:r>
        <w:rPr>
          <w:i/>
          <w:sz w:val="24"/>
          <w:szCs w:val="24"/>
        </w:rPr>
        <w:t xml:space="preserve"> КМУ с </w:t>
      </w:r>
      <w:r>
        <w:rPr>
          <w:i/>
          <w:sz w:val="24"/>
          <w:szCs w:val="24"/>
        </w:rPr>
        <w:t xml:space="preserve">люлькой</w:t>
      </w:r>
      <w:r>
        <w:rPr>
          <w:i/>
          <w:sz w:val="24"/>
          <w:szCs w:val="24"/>
        </w:rPr>
        <w:t xml:space="preserve"> в г. Якутск для нужд АО</w:t>
      </w:r>
      <w:r>
        <w:rPr>
          <w:i/>
          <w:sz w:val="24"/>
          <w:szCs w:val="24"/>
        </w:rPr>
        <w:t xml:space="preserve"> </w:t>
      </w:r>
      <w:r>
        <w:rPr>
          <w:i/>
          <w:sz w:val="24"/>
          <w:szCs w:val="24"/>
        </w:rPr>
        <w:t xml:space="preserve">«</w:t>
      </w:r>
      <w:r>
        <w:rPr>
          <w:i/>
          <w:sz w:val="24"/>
          <w:szCs w:val="24"/>
        </w:rPr>
        <w:t xml:space="preserve">Сахаэнерго»</w:t>
      </w:r>
      <w:bookmarkStart w:id="10" w:name="_Toc46743507"/>
      <w:r/>
      <w:bookmarkStart w:id="11" w:name="_Toc75446569"/>
      <w:r>
        <w:rPr>
          <w:i/>
          <w:sz w:val="24"/>
          <w:szCs w:val="24"/>
        </w:rPr>
        <w:t xml:space="preserve">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44"/>
        <w:pBdr/>
        <w:spacing w:after="0" w:before="0"/>
        <w:ind w:firstLine="0" w:left="0"/>
        <w:jc w:val="both"/>
        <w:rPr>
          <w:i/>
          <w:sz w:val="24"/>
          <w:szCs w:val="24"/>
          <w:lang w:val="ru-RU"/>
        </w:rPr>
      </w:pPr>
      <w:r/>
      <w:bookmarkStart w:id="12" w:name="_Toc170116922"/>
      <w:r>
        <w:rPr>
          <w:sz w:val="24"/>
          <w:szCs w:val="24"/>
          <w:lang w:val="ru-RU"/>
        </w:rPr>
        <w:t xml:space="preserve">Цель использования закупаемой продукции</w:t>
      </w:r>
      <w:r>
        <w:rPr>
          <w:i/>
          <w:sz w:val="24"/>
          <w:szCs w:val="24"/>
          <w:lang w:val="ru-RU"/>
        </w:rPr>
        <w:t xml:space="preserve">:</w:t>
      </w:r>
      <w:bookmarkEnd w:id="12"/>
      <w:r>
        <w:rPr>
          <w:i/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  <w:lang w:val="ru-RU"/>
        </w:rPr>
      </w:r>
      <w:r>
        <w:rPr>
          <w:i/>
          <w:sz w:val="24"/>
          <w:szCs w:val="24"/>
          <w:lang w:val="ru-RU"/>
        </w:rPr>
      </w:r>
    </w:p>
    <w:p>
      <w:pPr>
        <w:pBdr/>
        <w:spacing/>
        <w:ind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Для проведени</w:t>
      </w:r>
      <w:r>
        <w:rPr>
          <w:i/>
          <w:sz w:val="24"/>
          <w:szCs w:val="24"/>
        </w:rPr>
        <w:t xml:space="preserve">я</w:t>
      </w:r>
      <w:r>
        <w:rPr>
          <w:i/>
          <w:sz w:val="24"/>
          <w:szCs w:val="24"/>
        </w:rPr>
        <w:t xml:space="preserve"> транспортировочных и монтажных работ</w:t>
      </w:r>
      <w:r>
        <w:rPr>
          <w:i/>
          <w:sz w:val="24"/>
          <w:szCs w:val="24"/>
        </w:rPr>
        <w:t xml:space="preserve"> для нужд АО «Сахаэнерго».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944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13" w:name="_Toc170116923"/>
      <w:r>
        <w:rPr>
          <w:i/>
          <w:sz w:val="24"/>
          <w:szCs w:val="24"/>
          <w:lang w:val="ru-RU"/>
        </w:rPr>
        <w:t xml:space="preserve">Иные</w:t>
      </w:r>
      <w:r>
        <w:rPr>
          <w:b w:val="0"/>
          <w:sz w:val="24"/>
          <w:szCs w:val="24"/>
          <w:lang w:val="ru-RU"/>
        </w:rPr>
        <w:t xml:space="preserve"> </w:t>
      </w:r>
      <w:bookmarkEnd w:id="10"/>
      <w:r>
        <w:rPr>
          <w:sz w:val="24"/>
          <w:szCs w:val="24"/>
        </w:rPr>
        <w:t xml:space="preserve">требования и сведения общего характера</w:t>
      </w:r>
      <w:bookmarkEnd w:id="13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426"/>
        </w:tabs>
        <w:spacing/>
        <w:ind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1.</w:t>
      </w:r>
      <w:r>
        <w:rPr>
          <w:rFonts w:eastAsia="Calibri"/>
          <w:i/>
          <w:sz w:val="24"/>
          <w:szCs w:val="24"/>
        </w:rPr>
        <w:t xml:space="preserve">4.1.</w:t>
      </w:r>
      <w:r>
        <w:rPr>
          <w:rFonts w:eastAsia="Calibri"/>
          <w:i/>
          <w:sz w:val="24"/>
          <w:szCs w:val="24"/>
        </w:rPr>
        <w:tab/>
        <w:t xml:space="preserve">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</w:t>
      </w:r>
      <w:r>
        <w:rPr>
          <w:rFonts w:eastAsia="Calibri"/>
          <w:i/>
          <w:sz w:val="24"/>
          <w:szCs w:val="24"/>
        </w:rPr>
        <w:t xml:space="preserve">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 </w:t>
      </w:r>
      <w:r>
        <w:rPr>
          <w:rFonts w:eastAsia="Calibri"/>
          <w:i/>
          <w:sz w:val="24"/>
          <w:szCs w:val="24"/>
        </w:rPr>
      </w:r>
      <w:r>
        <w:rPr>
          <w:rFonts w:eastAsia="Calibri"/>
          <w:i/>
          <w:sz w:val="24"/>
          <w:szCs w:val="24"/>
        </w:rPr>
      </w:r>
    </w:p>
    <w:p>
      <w:pPr>
        <w:widowControl w:val="false"/>
        <w:pBdr/>
        <w:tabs>
          <w:tab w:val="left" w:leader="none" w:pos="426"/>
        </w:tabs>
        <w:spacing/>
        <w:ind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1.4.</w:t>
      </w:r>
      <w:r>
        <w:rPr>
          <w:rFonts w:eastAsia="Calibri"/>
          <w:i/>
          <w:sz w:val="24"/>
          <w:szCs w:val="24"/>
        </w:rPr>
        <w:t xml:space="preserve">2</w:t>
      </w:r>
      <w:r>
        <w:rPr>
          <w:rFonts w:eastAsia="Calibri"/>
          <w:i/>
          <w:sz w:val="24"/>
          <w:szCs w:val="24"/>
        </w:rPr>
        <w:t xml:space="preserve">.</w:t>
      </w:r>
      <w:r>
        <w:rPr>
          <w:rFonts w:eastAsia="Calibri"/>
          <w:i/>
          <w:sz w:val="24"/>
          <w:szCs w:val="24"/>
        </w:rPr>
        <w:tab/>
        <w:t xml:space="preserve"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r>
        <w:rPr>
          <w:rFonts w:eastAsia="Calibri"/>
          <w:i/>
          <w:sz w:val="24"/>
          <w:szCs w:val="24"/>
        </w:rPr>
      </w:r>
      <w:r>
        <w:rPr>
          <w:rFonts w:eastAsia="Calibri"/>
          <w:i/>
          <w:sz w:val="24"/>
          <w:szCs w:val="24"/>
        </w:rPr>
      </w:r>
    </w:p>
    <w:p>
      <w:pPr>
        <w:pStyle w:val="941"/>
        <w:pBdr/>
        <w:spacing w:after="0" w:before="0"/>
        <w:ind w:firstLine="0" w:left="0"/>
        <w:jc w:val="both"/>
        <w:rPr>
          <w:caps/>
          <w:sz w:val="24"/>
          <w:szCs w:val="24"/>
          <w:lang w:val="ru-RU"/>
        </w:rPr>
      </w:pPr>
      <w:r/>
      <w:bookmarkStart w:id="14" w:name="_Toc51339693"/>
      <w:r/>
      <w:bookmarkStart w:id="15" w:name="_Toc75446573"/>
      <w:r/>
      <w:bookmarkStart w:id="16" w:name="_Toc124170485"/>
      <w:r/>
      <w:bookmarkStart w:id="17" w:name="_Toc170116924"/>
      <w:r/>
      <w:bookmarkStart w:id="18" w:name="_Toc50125126"/>
      <w:r/>
      <w:bookmarkStart w:id="19" w:name="_Toc46743510"/>
      <w:r/>
      <w:bookmarkEnd w:id="11"/>
      <w:r>
        <w:rPr>
          <w:sz w:val="24"/>
          <w:szCs w:val="24"/>
        </w:rPr>
        <w:t xml:space="preserve">Требования к продукции</w:t>
      </w:r>
      <w:bookmarkEnd w:id="14"/>
      <w:r/>
      <w:bookmarkEnd w:id="15"/>
      <w:r/>
      <w:bookmarkEnd w:id="16"/>
      <w:r/>
      <w:bookmarkEnd w:id="17"/>
      <w:r>
        <w:rPr>
          <w:caps/>
          <w:sz w:val="24"/>
          <w:szCs w:val="24"/>
          <w:lang w:val="ru-RU"/>
        </w:rPr>
      </w:r>
      <w:r>
        <w:rPr>
          <w:caps/>
          <w:sz w:val="24"/>
          <w:szCs w:val="24"/>
          <w:lang w:val="ru-RU"/>
        </w:rPr>
      </w:r>
    </w:p>
    <w:p>
      <w:pPr>
        <w:pStyle w:val="944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20" w:name="_Toc75446574"/>
      <w:r/>
      <w:bookmarkStart w:id="21" w:name="_Toc17011692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 xml:space="preserve">поставки</w:t>
      </w:r>
      <w:bookmarkEnd w:id="20"/>
      <w:r/>
      <w:bookmarkEnd w:id="2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3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22" w:name="_Toc75446575"/>
      <w:r/>
      <w:bookmarkStart w:id="23" w:name="_Toc124170486"/>
      <w:r/>
      <w:bookmarkStart w:id="24" w:name="_Toc170116926"/>
      <w:r>
        <w:rPr>
          <w:sz w:val="24"/>
          <w:szCs w:val="24"/>
        </w:rPr>
        <w:t xml:space="preserve">Перечень и объем закупаемой продукции</w:t>
      </w:r>
      <w:bookmarkEnd w:id="22"/>
      <w:r/>
      <w:bookmarkEnd w:id="23"/>
      <w:r/>
      <w:bookmarkEnd w:id="24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1"/>
        <w:numPr>
          <w:ilvl w:val="0"/>
          <w:numId w:val="0"/>
        </w:numPr>
        <w:pBdr/>
        <w:spacing w:after="0" w:before="0"/>
        <w:ind/>
        <w:jc w:val="both"/>
        <w:rPr>
          <w:b w:val="0"/>
          <w:sz w:val="24"/>
          <w:szCs w:val="24"/>
        </w:rPr>
      </w:pPr>
      <w:r/>
      <w:bookmarkStart w:id="25" w:name="_Toc51339695"/>
      <w:r/>
      <w:bookmarkStart w:id="26" w:name="_Toc75446576"/>
      <w:r/>
      <w:bookmarkStart w:id="27" w:name="_Toc124170487"/>
      <w:r/>
      <w:bookmarkStart w:id="28" w:name="_Toc170116927"/>
      <w:r>
        <w:rPr>
          <w:b w:val="0"/>
          <w:sz w:val="24"/>
          <w:szCs w:val="24"/>
        </w:rPr>
        <w:t xml:space="preserve">Таблица </w:t>
      </w:r>
      <w:r>
        <w:rPr>
          <w:b w:val="0"/>
          <w:sz w:val="24"/>
          <w:szCs w:val="24"/>
        </w:rPr>
        <w:t xml:space="preserve">1</w:t>
      </w:r>
      <w:r>
        <w:rPr>
          <w:b w:val="0"/>
          <w:sz w:val="24"/>
          <w:szCs w:val="24"/>
        </w:rPr>
        <w:t xml:space="preserve">.</w:t>
      </w:r>
      <w:r>
        <w:rPr>
          <w:b w:val="0"/>
          <w:sz w:val="24"/>
          <w:szCs w:val="24"/>
        </w:rPr>
        <w:t xml:space="preserve">1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Перечень </w:t>
      </w:r>
      <w:bookmarkEnd w:id="25"/>
      <w:r>
        <w:rPr>
          <w:b w:val="0"/>
          <w:sz w:val="24"/>
          <w:szCs w:val="24"/>
        </w:rPr>
        <w:t xml:space="preserve">и объем закупаемой продукции</w:t>
      </w:r>
      <w:bookmarkEnd w:id="26"/>
      <w:r/>
      <w:bookmarkEnd w:id="27"/>
      <w:r/>
      <w:bookmarkEnd w:id="28"/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tbl>
      <w:tblPr>
        <w:tblW w:w="10064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2"/>
        <w:gridCol w:w="7087"/>
        <w:gridCol w:w="992"/>
        <w:gridCol w:w="1133"/>
      </w:tblGrid>
      <w:tr>
        <w:trPr>
          <w:cantSplit/>
          <w:trHeight w:val="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№ п/п</w: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20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</w:rPr>
              <w:t xml:space="preserve">продукции</w: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Ед. изм.</w: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Кол-во</w: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rPr>
          <w:cantSplit/>
          <w:trHeight w:val="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20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cantSplit/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1.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20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Автомобиль бортовой повышенной проходимости </w:t>
            </w:r>
            <w:r>
              <w:rPr>
                <w:rFonts w:eastAsia="Calibri"/>
                <w:sz w:val="24"/>
                <w:szCs w:val="24"/>
              </w:rPr>
              <w:t xml:space="preserve">с </w:t>
            </w:r>
            <w:r>
              <w:rPr>
                <w:rFonts w:eastAsia="Calibri"/>
                <w:sz w:val="24"/>
                <w:szCs w:val="24"/>
              </w:rPr>
              <w:t xml:space="preserve">КМУ</w:t>
            </w:r>
            <w:r>
              <w:rPr>
                <w:rFonts w:eastAsia="Calibri"/>
                <w:sz w:val="24"/>
                <w:szCs w:val="24"/>
              </w:rPr>
              <w:t xml:space="preserve"> с люлькой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ш</w:t>
            </w:r>
            <w:r>
              <w:rPr>
                <w:rFonts w:eastAsia="Calibri"/>
                <w:sz w:val="24"/>
                <w:szCs w:val="24"/>
              </w:rPr>
              <w:t xml:space="preserve">т</w:t>
            </w:r>
            <w:r>
              <w:rPr>
                <w:rFonts w:eastAsia="Calibri"/>
                <w:sz w:val="24"/>
                <w:szCs w:val="24"/>
              </w:rPr>
              <w:t xml:space="preserve">.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3" w:type="pct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pStyle w:val="943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29" w:name="_Toc51339696"/>
      <w:r/>
      <w:bookmarkStart w:id="30" w:name="_Toc124170488"/>
      <w:r/>
      <w:bookmarkStart w:id="31" w:name="_Toc170116928"/>
      <w:r/>
      <w:bookmarkStart w:id="32" w:name="_Toc75446578"/>
      <w:r>
        <w:rPr>
          <w:sz w:val="24"/>
          <w:szCs w:val="24"/>
        </w:rPr>
        <w:t xml:space="preserve">Требования </w:t>
      </w:r>
      <w:bookmarkEnd w:id="29"/>
      <w:r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срокам поставки продукции</w:t>
      </w:r>
      <w:bookmarkEnd w:id="30"/>
      <w:r/>
      <w:bookmarkEnd w:id="31"/>
      <w:r>
        <w:rPr>
          <w:sz w:val="24"/>
          <w:szCs w:val="24"/>
        </w:rPr>
        <w:t xml:space="preserve"> </w:t>
      </w:r>
      <w:bookmarkStart w:id="33" w:name="_Toc50125127"/>
      <w:r/>
      <w:bookmarkStart w:id="34" w:name="_Toc51339697"/>
      <w:r/>
      <w:bookmarkStart w:id="35" w:name="_Toc75446579"/>
      <w:r/>
      <w:bookmarkEnd w:id="18"/>
      <w:r/>
      <w:bookmarkEnd w:id="32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3"/>
        <w:numPr>
          <w:ilvl w:val="0"/>
          <w:numId w:val="0"/>
        </w:numPr>
        <w:pBdr/>
        <w:spacing w:after="0" w:before="0"/>
        <w:ind/>
        <w:jc w:val="both"/>
        <w:rPr>
          <w:b w:val="0"/>
          <w:sz w:val="24"/>
          <w:szCs w:val="24"/>
        </w:rPr>
      </w:pPr>
      <w:r/>
      <w:bookmarkStart w:id="36" w:name="_Toc124170489"/>
      <w:r/>
      <w:bookmarkStart w:id="37" w:name="_Toc170116929"/>
      <w:r>
        <w:rPr>
          <w:b w:val="0"/>
          <w:sz w:val="24"/>
          <w:szCs w:val="24"/>
        </w:rPr>
        <w:t xml:space="preserve">Таблица </w:t>
      </w:r>
      <w:r>
        <w:rPr>
          <w:b w:val="0"/>
          <w:sz w:val="24"/>
          <w:szCs w:val="24"/>
        </w:rPr>
        <w:t xml:space="preserve">2</w:t>
      </w:r>
      <w:r>
        <w:rPr>
          <w:b w:val="0"/>
          <w:sz w:val="24"/>
          <w:szCs w:val="24"/>
        </w:rPr>
        <w:t xml:space="preserve">.</w:t>
      </w:r>
      <w:r>
        <w:rPr>
          <w:b w:val="0"/>
          <w:sz w:val="24"/>
          <w:szCs w:val="24"/>
        </w:rPr>
        <w:t xml:space="preserve">1</w:t>
      </w:r>
      <w:r>
        <w:rPr>
          <w:b w:val="0"/>
          <w:sz w:val="24"/>
          <w:szCs w:val="24"/>
        </w:rPr>
        <w:t xml:space="preserve"> </w:t>
      </w:r>
      <w:bookmarkStart w:id="38" w:name="_Hlk50465284"/>
      <w:r>
        <w:rPr>
          <w:b w:val="0"/>
          <w:sz w:val="24"/>
          <w:szCs w:val="24"/>
        </w:rPr>
        <w:t xml:space="preserve">Требования по срокам </w:t>
      </w:r>
      <w:bookmarkEnd w:id="33"/>
      <w:r/>
      <w:bookmarkEnd w:id="34"/>
      <w:r/>
      <w:bookmarkEnd w:id="38"/>
      <w:r>
        <w:rPr>
          <w:b w:val="0"/>
          <w:sz w:val="24"/>
          <w:szCs w:val="24"/>
        </w:rPr>
        <w:t xml:space="preserve">поставки продукции</w:t>
      </w:r>
      <w:bookmarkEnd w:id="35"/>
      <w:r/>
      <w:bookmarkEnd w:id="36"/>
      <w:r/>
      <w:bookmarkEnd w:id="37"/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tbl>
      <w:tblPr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1"/>
        <w:gridCol w:w="2126"/>
        <w:gridCol w:w="2836"/>
      </w:tblGrid>
      <w:tr>
        <w:trPr>
          <w:jc w:val="center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п/п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продукции / партии продукции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началу срока поставки продукции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3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окончанию срока поставки продукции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53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Style w:val="1036"/>
              <w:keepNext w:val="false"/>
              <w:pBdr/>
              <w:spacing w:after="0" w:before="0"/>
              <w:ind w:right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36" w:type="dxa"/>
            <w:textDirection w:val="lrTb"/>
            <w:noWrap w:val="false"/>
          </w:tcPr>
          <w:p>
            <w:pPr>
              <w:pStyle w:val="1036"/>
              <w:keepNext w:val="false"/>
              <w:pBdr/>
              <w:spacing w:after="0" w:before="0"/>
              <w:ind w:right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1.</w:t>
            </w:r>
            <w:r>
              <w:rPr>
                <w:rFonts w:eastAsia="Calibri"/>
                <w:sz w:val="24"/>
                <w:szCs w:val="24"/>
                <w:lang w:eastAsia="en-US"/>
              </w:rPr>
            </w: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Borders/>
            <w:tcW w:w="4531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Поставка автомобилей</w:t>
            </w:r>
            <w:r>
              <w:rPr>
                <w:sz w:val="24"/>
                <w:szCs w:val="24"/>
              </w:rPr>
              <w:t xml:space="preserve"> бортов</w:t>
            </w:r>
            <w:r>
              <w:rPr>
                <w:sz w:val="24"/>
                <w:szCs w:val="24"/>
              </w:rPr>
              <w:t xml:space="preserve">ых</w:t>
            </w:r>
            <w:r>
              <w:rPr>
                <w:sz w:val="24"/>
                <w:szCs w:val="24"/>
              </w:rPr>
              <w:t xml:space="preserve"> повышенной проходимости</w:t>
            </w:r>
            <w:r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 КМУ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люлькой</w:t>
            </w:r>
            <w:r>
              <w:rPr>
                <w:sz w:val="24"/>
                <w:szCs w:val="24"/>
              </w:rPr>
              <w:t xml:space="preserve"> в г. Якутск для нужд АО «Сахаэнерго»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ранее 30 календарных дней с</w:t>
            </w:r>
            <w:r>
              <w:rPr>
                <w:sz w:val="24"/>
                <w:szCs w:val="24"/>
              </w:rPr>
              <w:t xml:space="preserve"> даты заключения договора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3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  <w:t xml:space="preserve">0 календарных дней</w:t>
            </w:r>
            <w:r>
              <w:rPr>
                <w:sz w:val="24"/>
                <w:szCs w:val="24"/>
              </w:rPr>
              <w:t xml:space="preserve"> с даты заключения Договора</w:t>
            </w:r>
            <w:bookmarkEnd w:id="19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41"/>
        <w:numPr>
          <w:ilvl w:val="0"/>
          <w:numId w:val="0"/>
        </w:numPr>
        <w:pBdr/>
        <w:spacing w:after="0" w:before="0"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b/>
          <w:bCs/>
          <w:i/>
          <w:iCs/>
          <w:sz w:val="24"/>
          <w:szCs w:val="24"/>
          <w:highlight w:val="yellow"/>
        </w:rPr>
        <w:sectPr>
          <w:footerReference w:type="default" r:id="rId12"/>
          <w:footerReference w:type="first" r:id="rId13"/>
          <w:footnotePr/>
          <w:endnotePr/>
          <w:type w:val="nextPage"/>
          <w:pgSz w:h="16838" w:orient="portrait" w:w="11906"/>
          <w:pgMar w:top="567" w:right="851" w:bottom="992" w:left="851" w:header="680" w:footer="737" w:gutter="0"/>
          <w:cols w:num="1" w:sep="0" w:space="708" w:equalWidth="1"/>
          <w:titlePg/>
        </w:sectPr>
      </w:pPr>
      <w:r>
        <w:rPr>
          <w:b/>
          <w:bCs/>
          <w:i/>
          <w:iCs/>
          <w:sz w:val="24"/>
          <w:szCs w:val="24"/>
          <w:highlight w:val="yellow"/>
        </w:rPr>
      </w:r>
      <w:r>
        <w:rPr>
          <w:b/>
          <w:bCs/>
          <w:i/>
          <w:iCs/>
          <w:sz w:val="24"/>
          <w:szCs w:val="24"/>
          <w:highlight w:val="yellow"/>
        </w:rPr>
      </w:r>
      <w:r>
        <w:rPr>
          <w:b/>
          <w:bCs/>
          <w:i/>
          <w:iCs/>
          <w:sz w:val="24"/>
          <w:szCs w:val="24"/>
          <w:highlight w:val="yellow"/>
        </w:rPr>
      </w:r>
    </w:p>
    <w:p>
      <w:pPr>
        <w:pStyle w:val="944"/>
        <w:pBdr/>
        <w:spacing w:after="0" w:before="0"/>
        <w:ind w:firstLine="0" w:left="0"/>
        <w:jc w:val="both"/>
        <w:rPr>
          <w:sz w:val="24"/>
          <w:szCs w:val="24"/>
        </w:rPr>
      </w:pPr>
      <w:r/>
      <w:bookmarkStart w:id="39" w:name="_Toc46743511"/>
      <w:r/>
      <w:bookmarkStart w:id="40" w:name="_Toc75446581"/>
      <w:r/>
      <w:bookmarkStart w:id="41" w:name="_Toc170116930"/>
      <w:r/>
      <w:bookmarkStart w:id="42" w:name="_Toc75446582"/>
      <w:r/>
      <w:bookmarkStart w:id="43" w:name="_Toc124170490"/>
      <w:r>
        <w:rPr>
          <w:sz w:val="24"/>
          <w:szCs w:val="24"/>
        </w:rPr>
        <w:t xml:space="preserve">Требования к </w:t>
      </w:r>
      <w:bookmarkEnd w:id="39"/>
      <w:r>
        <w:rPr>
          <w:sz w:val="24"/>
          <w:szCs w:val="24"/>
        </w:rPr>
        <w:t xml:space="preserve">качеству продукции</w:t>
      </w:r>
      <w:bookmarkEnd w:id="40"/>
      <w:r/>
      <w:bookmarkEnd w:id="4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both"/>
        <w:rPr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Таблица 3. Требования к продукции</w:t>
      </w:r>
      <w:bookmarkEnd w:id="42"/>
      <w:r/>
      <w:bookmarkEnd w:id="43"/>
      <w:r>
        <w:rPr>
          <w:bCs/>
          <w:i/>
          <w:iCs/>
          <w:sz w:val="24"/>
          <w:szCs w:val="24"/>
        </w:rPr>
      </w:r>
      <w:r>
        <w:rPr>
          <w:bCs/>
          <w:i/>
          <w:iCs/>
          <w:sz w:val="24"/>
          <w:szCs w:val="24"/>
        </w:rPr>
      </w:r>
    </w:p>
    <w:p>
      <w:pPr>
        <w:pBdr/>
        <w:spacing/>
        <w:ind/>
        <w:jc w:val="both"/>
        <w:rPr>
          <w:b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</w:t>
      </w:r>
      <w:r>
        <w:rPr>
          <w:b/>
          <w:bCs/>
          <w:iCs/>
          <w:sz w:val="24"/>
          <w:szCs w:val="24"/>
        </w:rPr>
        <w:t xml:space="preserve">: </w:t>
      </w:r>
      <w:r>
        <w:rPr>
          <w:i/>
          <w:sz w:val="24"/>
          <w:szCs w:val="24"/>
        </w:rPr>
        <w:t xml:space="preserve">Поставка автомобил</w:t>
      </w:r>
      <w:r>
        <w:rPr>
          <w:i/>
          <w:sz w:val="24"/>
          <w:szCs w:val="24"/>
        </w:rPr>
        <w:t xml:space="preserve">ей</w:t>
      </w:r>
      <w:r>
        <w:rPr>
          <w:i/>
          <w:sz w:val="24"/>
          <w:szCs w:val="24"/>
        </w:rPr>
        <w:t xml:space="preserve"> бортов</w:t>
      </w:r>
      <w:r>
        <w:rPr>
          <w:i/>
          <w:sz w:val="24"/>
          <w:szCs w:val="24"/>
        </w:rPr>
        <w:t xml:space="preserve">ых</w:t>
      </w:r>
      <w:r>
        <w:rPr>
          <w:i/>
          <w:sz w:val="24"/>
          <w:szCs w:val="24"/>
        </w:rPr>
        <w:t xml:space="preserve"> повышенной проходимости</w:t>
      </w:r>
      <w:r>
        <w:rPr>
          <w:i/>
          <w:sz w:val="24"/>
          <w:szCs w:val="24"/>
        </w:rPr>
        <w:t xml:space="preserve"> с</w:t>
      </w:r>
      <w:r>
        <w:rPr>
          <w:i/>
          <w:sz w:val="24"/>
          <w:szCs w:val="24"/>
        </w:rPr>
        <w:t xml:space="preserve"> КМУ</w:t>
      </w: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с люлькой </w:t>
      </w:r>
      <w:r>
        <w:rPr>
          <w:i/>
          <w:sz w:val="24"/>
          <w:szCs w:val="24"/>
        </w:rPr>
        <w:t xml:space="preserve">в г.</w:t>
      </w:r>
      <w:r>
        <w:rPr>
          <w:i/>
          <w:sz w:val="24"/>
          <w:szCs w:val="24"/>
        </w:rPr>
        <w:t xml:space="preserve"> </w:t>
      </w:r>
      <w:r>
        <w:rPr>
          <w:i/>
          <w:sz w:val="24"/>
          <w:szCs w:val="24"/>
        </w:rPr>
        <w:t xml:space="preserve">Якутск для нужд АО «Сахаэнерго»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Style w:val="964"/>
        <w:tblpPr w:horzAnchor="text" w:tblpXSpec="left" w:vertAnchor="text" w:tblpY="1" w:leftFromText="180" w:topFromText="0" w:rightFromText="180" w:bottomFromText="0"/>
        <w:tblOverlap w:val="never"/>
        <w:tblW w:w="15120" w:type="dxa"/>
        <w:tblBorders/>
        <w:tblLook w:val="04A0" w:firstRow="1" w:lastRow="0" w:firstColumn="1" w:lastColumn="0" w:noHBand="0" w:noVBand="1"/>
      </w:tblPr>
      <w:tblGrid>
        <w:gridCol w:w="968"/>
        <w:gridCol w:w="3422"/>
        <w:gridCol w:w="4996"/>
        <w:gridCol w:w="1710"/>
        <w:gridCol w:w="2054"/>
        <w:gridCol w:w="1970"/>
      </w:tblGrid>
      <w:tr>
        <w:trPr/>
        <w:tc>
          <w:tcPr>
            <w:tcBorders/>
            <w:tcW w:w="96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п/п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342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параметра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99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Требование заказчика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Способ подтверждения участником соответствия требованиям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342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996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Согласие с требованием/ указание характеристик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499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техническим и функциональным характеристикам (включая гарантируемые показатели)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Автомобиль бортовой повышенной проходимости</w:t>
            </w:r>
            <w:r>
              <w:rPr>
                <w:b/>
                <w:i/>
                <w:sz w:val="22"/>
                <w:szCs w:val="22"/>
              </w:rPr>
              <w:t xml:space="preserve"> с</w:t>
            </w:r>
            <w:r>
              <w:rPr>
                <w:b/>
                <w:i/>
                <w:sz w:val="22"/>
                <w:szCs w:val="22"/>
              </w:rPr>
              <w:t xml:space="preserve"> КМУ</w:t>
            </w:r>
            <w:r>
              <w:rPr>
                <w:b/>
                <w:i/>
                <w:sz w:val="22"/>
                <w:szCs w:val="22"/>
              </w:rPr>
              <w:t xml:space="preserve"> с люлькой</w:t>
            </w:r>
            <w:r>
              <w:rPr>
                <w:b/>
                <w:i/>
                <w:sz w:val="22"/>
                <w:szCs w:val="22"/>
              </w:rPr>
              <w:t xml:space="preserve">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Марка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-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Область применения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Проведение транспортировочных и монтажных работ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Сроки изготовления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Продукция должна быть новой, не ранее 202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6 года изготовления, комплектующие и запасные части на поставляемую Продукцию должны быть новыми, не ранее 202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6 года изготовления (Продукцией, которая не были в употреблении, не прошли ремонт, в том числе восстановление, замену составных частей, восстановление потребительских свойств), ранее не была использованной).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Иное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- 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На всю продукцию должно быть установлено оборудование согласно ТТ непосредственно заводом изготовителем или в авторизованном сервисном центре, что должно быть подтверждено заказ-нарядом (предоставляет при поставке Продукции).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- Пробег продукции не должен превышать 50 км.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Технические характеристики</w:t>
            </w:r>
            <w:r>
              <w:rPr>
                <w:b/>
                <w:bCs/>
                <w:i/>
                <w:sz w:val="22"/>
                <w:szCs w:val="22"/>
              </w:rPr>
              <w:t xml:space="preserve">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Колесная формула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6х6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Снаряженная масса, кг.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е более </w:t>
            </w:r>
            <w:bookmarkStart w:id="44" w:name="_GoBack"/>
            <w:r/>
            <w:bookmarkEnd w:id="44"/>
            <w:r>
              <w:rPr>
                <w:i/>
                <w:sz w:val="22"/>
                <w:szCs w:val="22"/>
                <w:highlight w:val="green"/>
              </w:rPr>
              <w:t xml:space="preserve">1</w:t>
            </w:r>
            <w:r>
              <w:rPr>
                <w:i/>
                <w:sz w:val="22"/>
                <w:szCs w:val="22"/>
                <w:highlight w:val="green"/>
              </w:rPr>
              <w:t xml:space="preserve">4 700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Полная масса, кг. 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е более 22 500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Колесная база, мм.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е менее 4 600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  <w:r>
              <w:rPr>
                <w:sz w:val="22"/>
                <w:szCs w:val="22"/>
              </w:rPr>
              <w:t xml:space="preserve">5</w:t>
            </w:r>
            <w:r>
              <w:rPr>
                <w:sz w:val="22"/>
                <w:szCs w:val="22"/>
              </w:rPr>
              <w:t xml:space="preserve">.5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Масса перевозимого груза, кг.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е менее </w:t>
            </w:r>
            <w:r>
              <w:rPr>
                <w:i/>
                <w:sz w:val="22"/>
                <w:szCs w:val="22"/>
                <w:highlight w:val="green"/>
              </w:rPr>
              <w:t xml:space="preserve">7 8</w:t>
            </w:r>
            <w:r>
              <w:rPr>
                <w:i/>
                <w:sz w:val="22"/>
                <w:szCs w:val="22"/>
                <w:highlight w:val="green"/>
              </w:rPr>
              <w:t xml:space="preserve">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Двигатель: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Тип</w:t>
            </w:r>
            <w:r>
              <w:rPr>
                <w:bCs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 xml:space="preserve">двигателя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Д</w:t>
            </w:r>
            <w:r>
              <w:rPr>
                <w:bCs/>
                <w:i/>
                <w:sz w:val="22"/>
                <w:szCs w:val="22"/>
              </w:rPr>
              <w:t xml:space="preserve">изельный с </w:t>
            </w:r>
            <w:r>
              <w:rPr>
                <w:bCs/>
                <w:i/>
                <w:sz w:val="22"/>
                <w:szCs w:val="22"/>
              </w:rPr>
              <w:t xml:space="preserve">турбонаддувом</w:t>
            </w:r>
            <w:r>
              <w:rPr>
                <w:bCs/>
                <w:i/>
                <w:sz w:val="22"/>
                <w:szCs w:val="22"/>
              </w:rPr>
              <w:t xml:space="preserve">, с промежуточным охлаждением </w:t>
            </w:r>
            <w:r>
              <w:rPr>
                <w:bCs/>
                <w:i/>
                <w:sz w:val="22"/>
                <w:szCs w:val="22"/>
              </w:rPr>
              <w:t xml:space="preserve">наддувочного</w:t>
            </w:r>
            <w:r>
              <w:rPr>
                <w:bCs/>
                <w:i/>
                <w:sz w:val="22"/>
                <w:szCs w:val="22"/>
              </w:rPr>
              <w:t xml:space="preserve"> воздуха (Евро-5)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Максимальная </w:t>
            </w:r>
            <w:r>
              <w:rPr>
                <w:bCs/>
                <w:i/>
                <w:sz w:val="22"/>
                <w:szCs w:val="22"/>
              </w:rPr>
              <w:t xml:space="preserve">мощность,кВт</w:t>
            </w:r>
            <w:r>
              <w:rPr>
                <w:bCs/>
                <w:i/>
                <w:sz w:val="22"/>
                <w:szCs w:val="22"/>
              </w:rPr>
              <w:t xml:space="preserve"> (</w:t>
            </w:r>
            <w:r>
              <w:rPr>
                <w:bCs/>
                <w:i/>
                <w:sz w:val="22"/>
                <w:szCs w:val="22"/>
              </w:rPr>
              <w:t xml:space="preserve">л.с</w:t>
            </w:r>
            <w:r>
              <w:rPr>
                <w:bCs/>
                <w:i/>
                <w:sz w:val="22"/>
                <w:szCs w:val="22"/>
              </w:rPr>
              <w:t xml:space="preserve">.)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</w:t>
            </w:r>
            <w:r>
              <w:rPr>
                <w:bCs/>
                <w:i/>
                <w:sz w:val="22"/>
                <w:szCs w:val="22"/>
              </w:rPr>
              <w:t xml:space="preserve">е менее 221 (300)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Объем, л.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</w:t>
            </w:r>
            <w:r>
              <w:rPr>
                <w:bCs/>
                <w:i/>
                <w:sz w:val="22"/>
                <w:szCs w:val="22"/>
              </w:rPr>
              <w:t xml:space="preserve">е менее 11,7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Количество цилиндров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</w:t>
            </w:r>
            <w:r>
              <w:rPr>
                <w:bCs/>
                <w:i/>
                <w:sz w:val="22"/>
                <w:szCs w:val="22"/>
              </w:rPr>
              <w:t xml:space="preserve">е менее 8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Расположение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V-образное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Головки цилиндра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И</w:t>
            </w:r>
            <w:r>
              <w:rPr>
                <w:bCs/>
                <w:i/>
                <w:sz w:val="22"/>
                <w:szCs w:val="22"/>
              </w:rPr>
              <w:t xml:space="preserve">ндивидуальные алюминиевые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7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Подогреватель двигателя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Подогреватель двигателя жидкостный, дизельный, 24В, не менее 14 кВт.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Коробка передач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1.1.7.1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Тип коробки передач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Механическая 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1.1.7.2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Число ступеней коробки передач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highlight w:val="green"/>
              </w:rPr>
              <w:t xml:space="preserve">Не менее 5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  <w:r>
              <w:rPr>
                <w:rFonts w:eastAsia="Calibri"/>
                <w:bCs/>
                <w:i/>
                <w:iCs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К</w:t>
            </w:r>
            <w:r>
              <w:rPr>
                <w:b/>
                <w:bCs/>
                <w:i/>
                <w:sz w:val="22"/>
                <w:szCs w:val="22"/>
              </w:rPr>
              <w:t xml:space="preserve">абин</w:t>
            </w:r>
            <w:r>
              <w:rPr>
                <w:b/>
                <w:bCs/>
                <w:i/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1.1.8.1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Тип кабины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 утеплением капота, со спальным местом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1.1.8.2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Число мест в кабине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менее 2-х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1.1.8.3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Цвет кабины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Белый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1.1.8.4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Воздушный </w:t>
            </w:r>
            <w:r>
              <w:rPr>
                <w:bCs/>
                <w:i/>
                <w:sz w:val="22"/>
                <w:szCs w:val="22"/>
              </w:rPr>
              <w:t xml:space="preserve">отопитель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Автономный воздушный </w:t>
            </w:r>
            <w:r>
              <w:rPr>
                <w:bCs/>
                <w:i/>
                <w:sz w:val="22"/>
                <w:szCs w:val="22"/>
              </w:rPr>
              <w:t xml:space="preserve">отопитель</w:t>
            </w:r>
            <w:r>
              <w:rPr>
                <w:bCs/>
                <w:i/>
                <w:sz w:val="22"/>
                <w:szCs w:val="22"/>
              </w:rPr>
              <w:t xml:space="preserve"> на дизельном топливе не менее 1,9 кВт </w:t>
            </w:r>
            <w:r>
              <w:rPr>
                <w:bCs/>
                <w:i/>
                <w:sz w:val="22"/>
                <w:szCs w:val="22"/>
              </w:rPr>
              <w:t xml:space="preserve">Webasto</w:t>
            </w:r>
            <w:r>
              <w:rPr>
                <w:bCs/>
                <w:i/>
                <w:sz w:val="22"/>
                <w:szCs w:val="22"/>
              </w:rPr>
              <w:t xml:space="preserve"> или эквивалент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Тормозная система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1.1.9.1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Тормозная система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Пневматическая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1.1.9.2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Передние тормозные механизмы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Барабанные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1.1.9.3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Задние тормозные механизмы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Барабанные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Наружные размеры платформы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1.1.10.1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Длина</w:t>
            </w:r>
            <w:r>
              <w:rPr>
                <w:bCs/>
                <w:i/>
                <w:sz w:val="22"/>
                <w:szCs w:val="22"/>
              </w:rPr>
              <w:t xml:space="preserve">, мм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более 11 000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1.1.10.2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Ширина</w:t>
            </w:r>
            <w:r>
              <w:rPr>
                <w:bCs/>
                <w:i/>
                <w:sz w:val="22"/>
                <w:szCs w:val="22"/>
              </w:rPr>
              <w:t xml:space="preserve">, мм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менее 2 550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1.1.10.3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Высота</w:t>
            </w:r>
            <w:r>
              <w:rPr>
                <w:bCs/>
                <w:i/>
                <w:sz w:val="22"/>
                <w:szCs w:val="22"/>
              </w:rPr>
              <w:t xml:space="preserve">, мм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более 4 000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pBdr/>
              <w:spacing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1.1.10.4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Погрузочная высота платформы</w:t>
            </w:r>
            <w:r>
              <w:rPr>
                <w:bCs/>
                <w:i/>
                <w:sz w:val="22"/>
                <w:szCs w:val="22"/>
              </w:rPr>
              <w:t xml:space="preserve">, мм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highlight w:val="green"/>
              </w:rPr>
              <w:t xml:space="preserve">Не более</w:t>
            </w:r>
            <w:r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 xml:space="preserve">1 480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Бортовая платформа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Сварная рамная конструкция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 применением ультразвуковой дефектоскопии сварных швов. Состоит из продольных лонжеронов и поперечных балок толщиной 5мм., усиленных в местах стыка. Продольные балки лонжерона представляют из себя швеллер толщиной 6мм. По пе</w:t>
            </w:r>
            <w:r>
              <w:rPr>
                <w:bCs/>
                <w:i/>
                <w:iCs/>
                <w:sz w:val="22"/>
                <w:szCs w:val="22"/>
              </w:rPr>
              <w:t xml:space="preserve">риметру приваривается универсальный окантовочный профиль. Дробеструйная обработка, промышленная многослойная окрасочная система, окраска и сушка в окрасочной камере. Вся окраска производится в специальных окрасочных камерах с соблюдением технологии окраски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Крепление кузова к раме шасси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Стремянки в передней и средней </w:t>
            </w:r>
            <w:r>
              <w:rPr>
                <w:bCs/>
                <w:i/>
                <w:iCs/>
                <w:sz w:val="22"/>
                <w:szCs w:val="22"/>
              </w:rPr>
              <w:t xml:space="preserve">части</w:t>
            </w:r>
            <w:r>
              <w:rPr>
                <w:bCs/>
                <w:i/>
                <w:iCs/>
                <w:sz w:val="22"/>
                <w:szCs w:val="22"/>
              </w:rPr>
              <w:t xml:space="preserve"> а/м, крепежные щеки – в задней части. Болты и момент затяжки выбираются согласно инструкциям производителя шасси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Настил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Транспортировочная фанера 24 мм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Угол открытия бортов, град.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180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Прочее оборудование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Пластиковые 1/3 полу-крылья. Боковые влагозащитные габаритные огни 4 шт. на сторону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Стойки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Быстросъемные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Борта платформы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Металлические борта, откидывающиеся, по три петли на борт. Резиновый буфер-отбойник на каждом борту. Быстросъемные запорные стойки и секции борта. </w:t>
            </w:r>
            <w:r>
              <w:rPr>
                <w:bCs/>
                <w:i/>
                <w:iCs/>
                <w:sz w:val="22"/>
                <w:szCs w:val="22"/>
              </w:rPr>
              <w:t xml:space="preserve">Отбортовка</w:t>
            </w:r>
            <w:r>
              <w:rPr>
                <w:bCs/>
                <w:i/>
                <w:iCs/>
                <w:sz w:val="22"/>
                <w:szCs w:val="22"/>
              </w:rPr>
              <w:t xml:space="preserve"> на бортах из стального листа 1,2мм., покрашенная. Внешние крючки крепления груза. Петли крепления груза в полу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Высота бортов, мм.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более </w:t>
            </w:r>
            <w:r>
              <w:rPr>
                <w:bCs/>
                <w:i/>
                <w:sz w:val="22"/>
                <w:szCs w:val="22"/>
                <w:highlight w:val="green"/>
              </w:rPr>
              <w:t xml:space="preserve">730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</w:r>
            <w:r>
              <w:rPr>
                <w:color w:val="ff0000"/>
                <w:sz w:val="22"/>
                <w:szCs w:val="22"/>
              </w:rPr>
            </w:r>
            <w:r>
              <w:rPr>
                <w:color w:val="ff0000"/>
                <w:sz w:val="22"/>
                <w:szCs w:val="22"/>
              </w:rPr>
            </w:r>
          </w:p>
        </w:tc>
        <w:tc>
          <w:tcPr>
            <w:gridSpan w:val="5"/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Краново-манипуляторная установка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Краново-манипуляторная установка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L образного типа, тросовая</w:t>
            </w:r>
            <w:r>
              <w:rPr>
                <w:bCs/>
                <w:i/>
                <w:iCs/>
                <w:sz w:val="22"/>
                <w:szCs w:val="22"/>
              </w:rPr>
            </w:r>
            <w:r>
              <w:rPr>
                <w:bCs/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Количество выдвижных секций, шт.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Не менее 5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Тип стрелы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6-гранная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Аутригеры (опоры)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Непереворотные</w:t>
            </w:r>
            <w:r>
              <w:rPr>
                <w:bCs/>
                <w:i/>
                <w:iCs/>
                <w:sz w:val="22"/>
                <w:szCs w:val="22"/>
              </w:rPr>
              <w:t xml:space="preserve">, гидравлическое раздвижение, 4 шт.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Грузовой момент, </w:t>
            </w:r>
            <w:r>
              <w:rPr>
                <w:bCs/>
                <w:i/>
                <w:iCs/>
                <w:sz w:val="22"/>
                <w:szCs w:val="22"/>
              </w:rPr>
              <w:t xml:space="preserve">тн</w:t>
            </w:r>
            <w:r>
              <w:rPr>
                <w:bCs/>
                <w:i/>
                <w:iCs/>
                <w:sz w:val="22"/>
                <w:szCs w:val="22"/>
              </w:rPr>
              <w:t xml:space="preserve">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Не более </w:t>
            </w:r>
            <w:r>
              <w:rPr>
                <w:bCs/>
                <w:i/>
                <w:iCs/>
                <w:sz w:val="22"/>
                <w:szCs w:val="22"/>
                <w:highlight w:val="green"/>
              </w:rPr>
              <w:t xml:space="preserve">18</w:t>
            </w:r>
            <w:r>
              <w:rPr>
                <w:bCs/>
                <w:i/>
                <w:iCs/>
                <w:sz w:val="22"/>
                <w:szCs w:val="22"/>
              </w:rPr>
            </w:r>
            <w:r>
              <w:rPr>
                <w:bCs/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Максимальная грузоподъемность на минимальном вылете стрелы, кг.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В диапазоне от не менее 6 500 </w:t>
            </w:r>
            <w:r>
              <w:rPr>
                <w:bCs/>
                <w:i/>
                <w:iCs/>
                <w:sz w:val="22"/>
                <w:szCs w:val="22"/>
              </w:rPr>
              <w:t xml:space="preserve">до не более </w:t>
            </w:r>
            <w:r>
              <w:rPr>
                <w:bCs/>
                <w:i/>
                <w:iCs/>
                <w:sz w:val="22"/>
                <w:szCs w:val="22"/>
                <w:highlight w:val="green"/>
              </w:rPr>
              <w:t xml:space="preserve">8 </w:t>
            </w:r>
            <w:r>
              <w:rPr>
                <w:bCs/>
                <w:i/>
                <w:iCs/>
                <w:sz w:val="22"/>
                <w:szCs w:val="22"/>
                <w:highlight w:val="green"/>
              </w:rPr>
              <w:t xml:space="preserve">000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Максимальный вылет стрелы, м.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Не менее 18,7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Максимальная высота подъема, м.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Не менее 22,0</w:t>
            </w:r>
            <w:r>
              <w:rPr>
                <w:bCs/>
                <w:i/>
                <w:iCs/>
                <w:sz w:val="22"/>
                <w:szCs w:val="22"/>
              </w:rPr>
            </w:r>
            <w:r>
              <w:rPr>
                <w:bCs/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Способ управления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Гидравлический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Угол поворота, град.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360 неограниченно</w:t>
            </w:r>
            <w:r>
              <w:rPr>
                <w:bCs/>
                <w:i/>
                <w:iCs/>
                <w:sz w:val="22"/>
                <w:szCs w:val="22"/>
              </w:rPr>
            </w:r>
            <w:r>
              <w:rPr>
                <w:bCs/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Управление - Аутригеры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Снизу на колонне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0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Управление-</w:t>
            </w:r>
            <w:r>
              <w:rPr>
                <w:rFonts w:eastAsia="Calibri"/>
                <w:bCs/>
                <w:iCs/>
                <w:sz w:val="22"/>
                <w:szCs w:val="22"/>
              </w:rPr>
              <w:t xml:space="preserve"> </w:t>
            </w:r>
            <w:r>
              <w:rPr>
                <w:bCs/>
                <w:i/>
                <w:iCs/>
                <w:sz w:val="22"/>
                <w:szCs w:val="22"/>
              </w:rPr>
              <w:t xml:space="preserve">КМУ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Стационарное с сиденья на колонне КМУ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Подъемное оборудование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1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Люлька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1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Сертифицированная 2-х местная люлька с механизмом </w:t>
            </w:r>
            <w:r>
              <w:rPr>
                <w:bCs/>
                <w:i/>
                <w:iCs/>
                <w:sz w:val="22"/>
                <w:szCs w:val="22"/>
              </w:rPr>
              <w:t xml:space="preserve">горизонтирования</w:t>
            </w:r>
            <w:r>
              <w:rPr>
                <w:bCs/>
                <w:i/>
                <w:iCs/>
                <w:sz w:val="22"/>
                <w:szCs w:val="22"/>
              </w:rPr>
              <w:t xml:space="preserve"> и пультом управления, с </w:t>
            </w:r>
            <w:r>
              <w:rPr>
                <w:bCs/>
                <w:i/>
                <w:iCs/>
                <w:sz w:val="22"/>
                <w:szCs w:val="22"/>
              </w:rPr>
              <w:t xml:space="preserve">электроизоляцией</w:t>
            </w:r>
            <w:r>
              <w:rPr>
                <w:bCs/>
                <w:i/>
                <w:iCs/>
                <w:sz w:val="22"/>
                <w:szCs w:val="22"/>
              </w:rPr>
              <w:t xml:space="preserve"> свыше 1000Вт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1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Система аварийного спускания люльки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1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Устройство фиксации рабочего положения люльки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13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Дополнительная комплектация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Тахограф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Комплект фильтров на автомобиль и КМУ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Стяжные ремни набор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ЗИП в комплектации завода изготовителя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Предпродажная подготовка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Наличие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Огнетушитель 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1шт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Медицинская аптечка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1шт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Дополнительное лобовое стекло 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1шт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22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Устройство экстренного вызова спасательных служб «ЭРА-</w:t>
            </w:r>
            <w:r>
              <w:rPr>
                <w:bCs/>
                <w:i/>
                <w:iCs/>
                <w:sz w:val="22"/>
                <w:szCs w:val="22"/>
              </w:rPr>
              <w:t xml:space="preserve">Глонасс</w:t>
            </w:r>
            <w:r>
              <w:rPr>
                <w:bCs/>
                <w:i/>
                <w:iCs/>
                <w:sz w:val="22"/>
                <w:szCs w:val="22"/>
              </w:rPr>
              <w:t xml:space="preserve">»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«ЭРА-</w:t>
            </w:r>
            <w:r>
              <w:rPr>
                <w:bCs/>
                <w:i/>
                <w:iCs/>
                <w:sz w:val="22"/>
                <w:szCs w:val="22"/>
              </w:rPr>
              <w:t xml:space="preserve">Глонасс</w:t>
            </w:r>
            <w:r>
              <w:rPr>
                <w:bCs/>
                <w:i/>
                <w:iCs/>
                <w:sz w:val="22"/>
                <w:szCs w:val="22"/>
              </w:rPr>
              <w:t xml:space="preserve">»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Согласие с требованием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bCs/>
                <w:i/>
                <w:sz w:val="22"/>
                <w:szCs w:val="22"/>
              </w:rPr>
            </w:r>
            <w:r>
              <w:rPr>
                <w:bCs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доставке,  маркировке, упаковке, транспортировке, перемещению, условиям хранения, приемке и испытаниям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Место поставки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Продукция должна быть доставлена Поставщиком по адресу: РС (Я), г. Якутск, ул. Беринга, 42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Не требуется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Условия транспортирования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ГОСТ 15150-69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tabs>
                <w:tab w:val="num" w:leader="none" w:pos="432"/>
                <w:tab w:val="left" w:leader="none" w:pos="459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5(ОЖ4). Обоснование: транспортировка в район Крайнего Севера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Выполнение предпродажной подготовки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Проверка уровней масел, охлаждающей и эксплуатационных жидкостей в агрегатах, узлах и системах, проверка системы питания на герметичность, контроль содержания вредных веществ в отработавш</w:t>
            </w:r>
            <w:r>
              <w:rPr>
                <w:i/>
                <w:sz w:val="22"/>
                <w:szCs w:val="22"/>
              </w:rPr>
              <w:t xml:space="preserve">их газах, проверка креплений оборудования и приборов системы питания, протяжка креплений всех узлов и механизмов, подтверждение выполнения работ по гарантийному и предпродажному обслуживанию поставляемой Продукции на любом авторизованном техническом центре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89"/>
        </w:trPr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гарантиям, гарантийному и послегарантийному обслуживанию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Гарантийный срок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Гарантийный срок на Продукцию составляет </w:t>
            </w:r>
            <w:r>
              <w:rPr>
                <w:i/>
                <w:sz w:val="22"/>
                <w:szCs w:val="22"/>
                <w:highlight w:val="green"/>
              </w:rPr>
              <w:t xml:space="preserve">не менее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12 месяцев и начинает течь с даты подписания Сторонами накладной ТОРГ-12(УПД) или </w:t>
            </w:r>
            <w:r>
              <w:rPr>
                <w:i/>
                <w:sz w:val="22"/>
                <w:szCs w:val="22"/>
                <w:highlight w:val="green"/>
              </w:rPr>
              <w:t xml:space="preserve">не менее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50</w:t>
            </w:r>
            <w:r>
              <w:rPr>
                <w:i/>
                <w:sz w:val="22"/>
                <w:szCs w:val="22"/>
              </w:rPr>
              <w:t xml:space="preserve"> </w:t>
            </w:r>
            <w:r>
              <w:rPr>
                <w:i/>
                <w:sz w:val="22"/>
                <w:szCs w:val="22"/>
              </w:rPr>
              <w:t xml:space="preserve">000 км пробега, в зависимости от того какое из условий наступит раньше.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Продлевается на период, когда Покупатель не мог пользоваться Продукцией из-за обнаруженных в ней недостатков, при условии, что Поставщик был извещен Покупателем об обнаружении недостатков в письменной форме в срок, предусмотренный Договором.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Указание характеристик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1032"/>
              <w:keepNext w:val="false"/>
              <w:pBdr/>
              <w:spacing w:after="0" w:before="0"/>
              <w:ind/>
              <w:jc w:val="both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Гарантийные обязательства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Распространяются в полном объеме на поставляемую Продукцию, на все составляющие её части (комплектующие изделия), а также на запасные части 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1032"/>
              <w:keepNext w:val="false"/>
              <w:pBdr/>
              <w:spacing w:after="0" w:before="0"/>
              <w:ind/>
              <w:jc w:val="both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Гарантийные обязательства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499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Поставщик бесплатно осуществляет гарантийные обязательства в отношении Продукции и комплектующих изделий в течение гарантийного срока, в том числе гарантийное обслуживание Продукции, ремонт, восстановление, замену, если не </w:t>
            </w:r>
            <w:r>
              <w:rPr>
                <w:i/>
                <w:sz w:val="22"/>
                <w:szCs w:val="22"/>
              </w:rPr>
              <w:t xml:space="preserve">докажет, что дефекты возникли в результате нарушения Покупателем правил эксплуатации Продукции или условий её хранения. Исполнение гарантийных обязательств осуществляется как по местонахождению Покупателя (Получателя), так и по месту нахождения Участника з</w:t>
            </w:r>
            <w:r>
              <w:rPr>
                <w:i/>
                <w:sz w:val="22"/>
                <w:szCs w:val="22"/>
              </w:rPr>
              <w:t xml:space="preserve">акупки (Победитель закупки). В случаях, когда гарантийные обязательства осуществляются по местонахождению Поставщика, доставка Продукции и комплектующих изделий к месту гарантийного обслуживания, ремонта, замены и обратно осуществляется за счет Поставщика.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Не требуется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Style w:val="1032"/>
              <w:keepNext w:val="false"/>
              <w:pBdr/>
              <w:spacing w:after="0" w:before="0"/>
              <w:ind/>
              <w:jc w:val="both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  <w:r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0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/>
            <w:tcW w:w="0" w:type="auto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комплектации и документам, поставляемым вместе с продукцией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-//-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968" w:type="dxa"/>
            <w:vAlign w:val="center"/>
            <w:textDirection w:val="lrTb"/>
            <w:noWrap w:val="false"/>
          </w:tcPr>
          <w:p>
            <w:pPr>
              <w:pStyle w:val="1007"/>
              <w:numPr>
                <w:ilvl w:val="1"/>
                <w:numId w:val="8"/>
              </w:numPr>
              <w:pBdr/>
              <w:spacing/>
              <w:ind w:firstLine="0"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4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Документы, передаваемые вместе с продукцией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99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Поставщик обязан передать Покупателю оригиналы</w:t>
            </w:r>
            <w:r>
              <w:rPr>
                <w:i/>
                <w:iCs/>
                <w:sz w:val="22"/>
                <w:szCs w:val="22"/>
              </w:rPr>
              <w:t xml:space="preserve"> или заверенные копии</w:t>
            </w:r>
            <w:r>
              <w:rPr>
                <w:i/>
                <w:iCs/>
                <w:sz w:val="22"/>
                <w:szCs w:val="22"/>
              </w:rPr>
              <w:t xml:space="preserve"> следующих документов: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паспорт транспортного средства с отметкой об утилизационном сборе;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технический паспорт (паспорт производителя) на каждую единицу Продукции (при наличии у производителя Продукции);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сертификат соответствия или декларация о соответствии в соответствии с действующим законодательством Российской Федерации;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паспорта и сертификаты на дополнительное оборудование;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одобрение на соответствие Техническому регламенту ТР/ТС 08/2011 о безопасности колесных ТС; 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одобрение типа транспортного средства на соответствие допустимым осевым нагрузкам при допустимой полной массе ТС в зависимости от категории дорог (Постановление Правительства РФ № 12 от 09.01.2014);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инструкция пользователя на русском языке, сервисная книжка на русском языке (при наличии у производителя Продукции);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руководство по эксплуатации на русском языке;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договор купли-продажи, для постановки на учет в ГИБДД в 3 (трех) экземплярах;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счет;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счет-фактуру (при наличии);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  <w:p>
            <w:pPr>
              <w:pBdr/>
              <w:spacing/>
              <w:ind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товарная накладная </w:t>
            </w:r>
            <w:r>
              <w:rPr>
                <w:i/>
                <w:iCs/>
                <w:sz w:val="22"/>
                <w:szCs w:val="22"/>
              </w:rPr>
              <w:t xml:space="preserve">в 2 (двух) экз.</w:t>
            </w:r>
            <w:r>
              <w:rPr>
                <w:i/>
                <w:iCs/>
                <w:sz w:val="22"/>
                <w:szCs w:val="22"/>
              </w:rPr>
            </w: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Не требуется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jc w:val="both"/>
        <w:rPr>
          <w:b/>
          <w:i/>
          <w:sz w:val="24"/>
          <w:szCs w:val="24"/>
        </w:rPr>
        <w:sectPr>
          <w:footnotePr/>
          <w:endnotePr/>
          <w:type w:val="nextPage"/>
          <w:pgSz w:h="11906" w:orient="landscape" w:w="16838"/>
          <w:pgMar w:top="851" w:right="567" w:bottom="851" w:left="992" w:header="680" w:footer="737" w:gutter="0"/>
          <w:cols w:num="1" w:sep="0" w:space="708" w:equalWidth="1"/>
          <w:titlePg/>
        </w:sectPr>
      </w:pPr>
      <w:r>
        <w:rPr>
          <w:b/>
          <w:i/>
          <w:sz w:val="24"/>
          <w:szCs w:val="24"/>
        </w:rPr>
        <w:br w:type="textWrapping" w:clear="all"/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Bdr/>
        <w:spacing/>
        <w:ind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941"/>
        <w:keepLines w:val="true"/>
        <w:pBdr/>
        <w:spacing w:after="0" w:before="0"/>
        <w:ind w:firstLine="0" w:left="0"/>
        <w:jc w:val="both"/>
        <w:rPr>
          <w:sz w:val="24"/>
          <w:szCs w:val="24"/>
          <w:lang w:val="ru-RU"/>
        </w:rPr>
      </w:pPr>
      <w:r/>
      <w:bookmarkStart w:id="45" w:name="_Toc170116931"/>
      <w:r/>
      <w:bookmarkStart w:id="46" w:name="_Toc53393312"/>
      <w:r/>
      <w:bookmarkStart w:id="47" w:name="_Toc75446583"/>
      <w:r/>
      <w:bookmarkStart w:id="48" w:name="_Toc46743519"/>
      <w:r/>
      <w:bookmarkStart w:id="49" w:name="_Toc51339699"/>
      <w:r>
        <w:rPr>
          <w:sz w:val="24"/>
          <w:szCs w:val="24"/>
          <w:lang w:val="ru-RU"/>
        </w:rPr>
        <w:t xml:space="preserve">Требования к документации по ценообразованию на этапе закупки</w:t>
      </w:r>
      <w:bookmarkEnd w:id="45"/>
      <w:r/>
      <w:bookmarkEnd w:id="46"/>
      <w:r/>
      <w:bookmarkEnd w:id="47"/>
      <w:r/>
      <w:bookmarkEnd w:id="48"/>
      <w:r/>
      <w:bookmarkEnd w:id="49"/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Bdr/>
        <w:spacing/>
        <w:ind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Цена на поставляемую Продукцию должна быть указана с учетом затрат на страхование, транспортировку до места поставки указанного в ТТ, с учетом скидки с максимальной цены перепродажи и расшифровкой стоимости дополнительного</w:t>
      </w:r>
      <w:r>
        <w:rPr>
          <w:i/>
          <w:sz w:val="24"/>
          <w:szCs w:val="24"/>
        </w:rPr>
        <w:t xml:space="preserve"> оборудования предлагаемой комплектации, уплату налогов, таможенных пошлин, сборов и других обязательных платежей, при этом сумма НДС (в случае его уплаты) выделяется отдельно и не входит в итоговую стоимость заявки Участника, являющегося плательщиком НДС.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Bdr/>
        <w:spacing/>
        <w:ind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Соответствие установленному требованию подтверждается путем представления участником закупки в составе своей заявки сведений по ф</w:t>
      </w:r>
      <w:r>
        <w:rPr>
          <w:i/>
          <w:sz w:val="24"/>
          <w:szCs w:val="24"/>
        </w:rPr>
        <w:t xml:space="preserve">орме 3 Коммерческое предложение, </w:t>
      </w:r>
      <w:r>
        <w:rPr>
          <w:i/>
          <w:sz w:val="24"/>
          <w:szCs w:val="24"/>
        </w:rPr>
        <w:t xml:space="preserve">Приложению №7 Структуры НМЦ</w:t>
      </w:r>
      <w:r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 xml:space="preserve">приведенных в Документации о закупке.  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widowControl w:val="false"/>
        <w:pBdr/>
        <w:spacing/>
        <w:ind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h="16838" w:orient="portrait" w:w="11906"/>
      <w:pgMar w:top="1134" w:right="851" w:bottom="992" w:left="1134" w:header="680" w:footer="737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Garamond">
    <w:panose1 w:val="02020603050405020304"/>
  </w:font>
  <w:font w:name="Tahoma">
    <w:panose1 w:val="020B0604030504040204"/>
  </w:font>
  <w:font w:name="Verdana">
    <w:panose1 w:val="020B0604030504040204"/>
  </w:font>
  <w:font w:name="Calibri Light (Заголовки)">
    <w:panose1 w:val="020F0502020204030204"/>
  </w:font>
  <w:font w:name="Cambria">
    <w:panose1 w:val="0204080305040603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801758704"/>
      <w:docPartObj>
        <w:docPartGallery w:val="Page Numbers (Bottom of Page)"/>
        <w:docPartUnique w:val="true"/>
      </w:docPartObj>
      <w:rPr/>
    </w:sdtPr>
    <w:sdtContent>
      <w:p>
        <w:pPr>
          <w:pStyle w:val="965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11</w:t>
        </w:r>
        <w:r>
          <w:fldChar w:fldCharType="end"/>
        </w:r>
        <w:r/>
      </w:p>
    </w:sdtContent>
  </w:sdt>
  <w:p>
    <w:pPr>
      <w:pStyle w:val="96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599244717"/>
      <w:docPartObj>
        <w:docPartGallery w:val="Page Numbers (Bottom of Page)"/>
        <w:docPartUnique w:val="true"/>
      </w:docPartObj>
      <w:rPr/>
    </w:sdtPr>
    <w:sdtContent>
      <w:p>
        <w:pPr>
          <w:pStyle w:val="965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12</w:t>
        </w:r>
        <w:r>
          <w:fldChar w:fldCharType="end"/>
        </w:r>
        <w:r/>
      </w:p>
    </w:sdtContent>
  </w:sdt>
  <w:p>
    <w:pPr>
      <w:pStyle w:val="96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2"/>
      <w:pBdr/>
      <w:spacing/>
      <w:ind/>
      <w:jc w:val="center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2"/>
      <w:framePr w:hAnchor="margin" w:vAnchor="text" w:wrap="around" w:xAlign="center" w:y="1"/>
      <w:pBdr/>
      <w:spacing/>
      <w:ind/>
      <w:rPr>
        <w:rStyle w:val="1030"/>
      </w:rPr>
    </w:pPr>
    <w:r>
      <w:rPr>
        <w:rStyle w:val="1030"/>
      </w:rPr>
      <w:fldChar w:fldCharType="begin"/>
    </w:r>
    <w:r>
      <w:rPr>
        <w:rStyle w:val="1030"/>
      </w:rPr>
      <w:instrText xml:space="preserve">PAGE  </w:instrText>
    </w:r>
    <w:r>
      <w:rPr>
        <w:rStyle w:val="1030"/>
      </w:rPr>
      <w:fldChar w:fldCharType="end"/>
    </w:r>
    <w:r>
      <w:rPr>
        <w:rStyle w:val="1030"/>
      </w:rPr>
    </w:r>
    <w:r>
      <w:rPr>
        <w:rStyle w:val="1030"/>
      </w:rPr>
    </w:r>
  </w:p>
  <w:p>
    <w:pPr>
      <w:pStyle w:val="962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2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tabs>
          <w:tab w:val="num" w:leader="none" w:pos="1353"/>
        </w:tabs>
        <w:spacing/>
        <w:ind w:hanging="360" w:left="135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1.1.6.%1."/>
      <w:numFmt w:val="decimal"/>
      <w:pPr>
        <w:pBdr/>
        <w:spacing/>
        <w:ind w:hanging="360" w:left="74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1.1.13.%1"/>
      <w:numFmt w:val="decimal"/>
      <w:pPr>
        <w:pBdr/>
        <w:spacing/>
        <w:ind w:hanging="360" w:left="742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1.3.%1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1.1.12.%1."/>
      <w:numFmt w:val="decimal"/>
      <w:pPr>
        <w:pBdr/>
        <w:spacing/>
        <w:ind w:hanging="360" w:left="14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29"/>
      </w:pPr>
      <w:rPr/>
      <w:start w:val="1"/>
      <w:suff w:val="tab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spacing/>
        <w:ind w:hanging="360" w:left="3240"/>
      </w:pPr>
      <w:rPr/>
      <w:start w:val="1"/>
      <w:suff w:val="tab"/>
    </w:lvl>
  </w:abstractNum>
  <w:abstractNum w:abstractNumId="6">
    <w:lvl w:ilvl="0">
      <w:isLgl w:val="false"/>
      <w:lvlJc w:val="left"/>
      <w:lvlText w:val="%1"/>
      <w:numFmt w:val="decimal"/>
      <w:pPr>
        <w:pBdr/>
        <w:spacing/>
        <w:ind w:hanging="432" w:left="432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576" w:left="1144"/>
      </w:pPr>
      <w:rPr>
        <w:b/>
        <w:bCs/>
        <w:sz w:val="22"/>
        <w:szCs w:val="22"/>
      </w:rPr>
      <w:start w:val="1"/>
      <w:suff w:val="tab"/>
    </w:lvl>
    <w:lvl w:ilvl="2">
      <w:isLgl w:val="false"/>
      <w:lvlJc w:val="left"/>
      <w:lvlText w:val="1.2.3%3"/>
      <w:numFmt w:val="decimal"/>
      <w:pPr>
        <w:pBdr/>
        <w:spacing/>
        <w:ind w:hanging="720" w:left="720"/>
      </w:pPr>
      <w:rPr>
        <w:rFonts w:hint="default"/>
        <w:sz w:val="20"/>
        <w:szCs w:val="2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864" w:left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52" w:left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96" w:left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584" w:left="1584"/>
      </w:pPr>
      <w:rPr/>
      <w:start w:val="1"/>
      <w:suff w:val="tab"/>
    </w:lvl>
  </w:abstractNum>
  <w:abstractNum w:abstractNumId="7">
    <w:lvl w:ilvl="0">
      <w:isLgl w:val="false"/>
      <w:lvlJc w:val="left"/>
      <w:lvlText w:val="1.1.14.%1"/>
      <w:numFmt w:val="decimal"/>
      <w:pPr>
        <w:pBdr/>
        <w:spacing/>
        <w:ind w:hanging="360" w:left="1469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3">
      <w:isLgl w:val="false"/>
      <w:lvlJc w:val="left"/>
      <w:lvlText w:val="(%4)"/>
      <w:numFmt w:val="russianLower"/>
      <w:pPr>
        <w:pBdr/>
        <w:spacing/>
        <w:ind w:hanging="567" w:left="1985"/>
      </w:pPr>
      <w:pStyle w:val="1041"/>
      <w:rPr>
        <w:rFonts w:hint="default"/>
      </w:rPr>
      <w:start w:val="1"/>
      <w:suff w:val="tab"/>
    </w:lvl>
    <w:lvl w:ilvl="4">
      <w:isLgl w:val="false"/>
      <w:lvlJc w:val="left"/>
      <w:lvlText w:val="–"/>
      <w:numFmt w:val="bullet"/>
      <w:pPr>
        <w:pBdr/>
        <w:spacing/>
        <w:ind w:hanging="567" w:left="2268"/>
      </w:pPr>
      <w:pStyle w:val="1042"/>
      <w:rPr>
        <w:rFonts w:hint="default" w:ascii="Times New Roman" w:hAnsi="Times New Roman" w:cs="Times New Roman"/>
      </w:rPr>
      <w:start w:val="1"/>
      <w:suff w:val="tab"/>
    </w:lvl>
    <w:lvl w:ilvl="5">
      <w:isLgl w:val="false"/>
      <w:lvlJc w:val="left"/>
      <w:lvlRestart w:val="3"/>
      <w:lvlText/>
      <w:numFmt w:val="none"/>
      <w:pPr>
        <w:pBdr/>
        <w:spacing/>
        <w:ind w:firstLine="0" w:left="1134"/>
      </w:pPr>
      <w:pStyle w:val="1045"/>
      <w:rPr>
        <w:rFonts w:hint="default"/>
      </w:rPr>
      <w:start w:val="1"/>
      <w:suff w:val="nothing"/>
    </w:lvl>
    <w:lvl w:ilvl="6">
      <w:isLgl w:val="false"/>
      <w:lvlJc w:val="left"/>
      <w:lvlRestart w:val="4"/>
      <w:lvlText/>
      <w:numFmt w:val="none"/>
      <w:pPr>
        <w:pBdr/>
        <w:spacing/>
        <w:ind w:firstLine="0" w:left="1701"/>
      </w:pPr>
      <w:pStyle w:val="1043"/>
      <w:rPr>
        <w:rFonts w:hint="default"/>
      </w:rPr>
      <w:start w:val="1"/>
      <w:suff w:val="nothing"/>
    </w:lvl>
    <w:lvl w:ilvl="7">
      <w:isLgl w:val="false"/>
      <w:lvlJc w:val="left"/>
      <w:lvlRestart w:val="3"/>
      <w:lvlText/>
      <w:numFmt w:val="none"/>
      <w:pPr>
        <w:pBdr/>
        <w:spacing/>
        <w:ind w:firstLine="0" w:left="0"/>
      </w:pPr>
      <w:pStyle w:val="1044"/>
      <w:rPr>
        <w:rFonts w:hint="default"/>
      </w:rPr>
      <w:start w:val="1"/>
      <w:suff w:val="nothing"/>
    </w:lvl>
    <w:lvl w:ilvl="8">
      <w:isLgl w:val="false"/>
      <w:lvlJc w:val="left"/>
      <w:lvlRestart w:val="3"/>
      <w:lvlText/>
      <w:numFmt w:val="none"/>
      <w:pPr>
        <w:pBdr/>
        <w:spacing/>
        <w:ind w:firstLine="0" w:left="1134"/>
      </w:pPr>
      <w:rPr>
        <w:rFonts w:hint="default"/>
      </w:rPr>
      <w:start w:val="1"/>
      <w:suff w:val="nothing"/>
    </w:lvl>
  </w:abstractNum>
  <w:abstractNum w:abstractNumId="9">
    <w:lvl w:ilvl="0">
      <w:isLgl w:val="false"/>
      <w:lvlJc w:val="left"/>
      <w:lvlText w:val="1.1.11.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1.2.%1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54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955"/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tabs>
          <w:tab w:val="num" w:leader="none" w:pos="1778"/>
        </w:tabs>
        <w:spacing/>
        <w:ind w:hanging="360" w:left="177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498"/>
        </w:tabs>
        <w:spacing/>
        <w:ind w:hanging="360" w:left="24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218"/>
        </w:tabs>
        <w:spacing/>
        <w:ind w:hanging="360" w:left="32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38"/>
        </w:tabs>
        <w:spacing/>
        <w:ind w:hanging="360" w:left="39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58"/>
        </w:tabs>
        <w:spacing/>
        <w:ind w:hanging="360" w:left="46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78"/>
        </w:tabs>
        <w:spacing/>
        <w:ind w:hanging="360" w:left="53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098"/>
        </w:tabs>
        <w:spacing/>
        <w:ind w:hanging="360" w:left="60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18"/>
        </w:tabs>
        <w:spacing/>
        <w:ind w:hanging="360" w:left="68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38"/>
        </w:tabs>
        <w:spacing/>
        <w:ind w:hanging="360" w:left="7538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360"/>
      </w:pPr>
      <w:pStyle w:val="941"/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432"/>
      </w:pPr>
      <w:pStyle w:val="944"/>
      <w:rPr>
        <w:rFonts w:hint="default"/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pStyle w:val="943"/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abstractNum w:abstractNumId="14">
    <w:styleLink w:val="1035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1035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152"/>
      </w:pPr>
      <w:rPr>
        <w:rFonts w:hint="default" w:ascii="Times New Roman" w:hAnsi="Times New Roman"/>
        <w:sz w:val="28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58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208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59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309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6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410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680"/>
      </w:pPr>
      <w:rPr>
        <w:rFonts w:hint="default"/>
      </w:rPr>
      <w:start w:val="1"/>
      <w:suff w:val="tab"/>
    </w:lvl>
  </w:abstractNum>
  <w:abstractNum w:abstractNumId="15">
    <w:lvl w:ilvl="0">
      <w:isLgl w:val="false"/>
      <w:lvlJc w:val="left"/>
      <w:lvlText w:val="1.%1"/>
      <w:numFmt w:val="decimal"/>
      <w:pPr>
        <w:pBdr/>
        <w:spacing/>
        <w:ind w:hanging="360" w:left="1429"/>
      </w:pPr>
      <w:pStyle w:val="1053"/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-"/>
      <w:numFmt w:val="bullet"/>
      <w:pPr>
        <w:pBdr/>
        <w:tabs>
          <w:tab w:val="num" w:leader="none" w:pos="-207"/>
        </w:tabs>
        <w:spacing/>
        <w:ind w:hanging="360" w:left="-207"/>
      </w:pPr>
      <w:pStyle w:val="1022"/>
      <w:rPr>
        <w:rFonts w:hint="default" w:ascii="Times New Roman" w:hAnsi="Times New Roman" w:eastAsia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13"/>
        </w:tabs>
        <w:spacing/>
        <w:ind w:hanging="360" w:left="513"/>
      </w:pPr>
      <w:pStyle w:val="1023"/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233"/>
        </w:tabs>
        <w:spacing/>
        <w:ind w:hanging="360" w:left="1233"/>
      </w:pPr>
      <w:pStyle w:val="1021"/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953"/>
        </w:tabs>
        <w:spacing/>
        <w:ind w:hanging="360" w:left="195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673"/>
        </w:tabs>
        <w:spacing/>
        <w:ind w:hanging="360" w:left="2673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393"/>
        </w:tabs>
        <w:spacing/>
        <w:ind w:hanging="360" w:left="339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113"/>
        </w:tabs>
        <w:spacing/>
        <w:ind w:hanging="360" w:left="411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4833"/>
        </w:tabs>
        <w:spacing/>
        <w:ind w:hanging="360" w:left="4833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553"/>
        </w:tabs>
        <w:spacing/>
        <w:ind w:hanging="360" w:left="5553"/>
      </w:pPr>
      <w:rPr>
        <w:rFonts w:hint="default" w:ascii="Wingdings" w:hAnsi="Wingdings"/>
      </w:rPr>
      <w:start w:val="1"/>
      <w:suff w:val="tab"/>
    </w:lvl>
  </w:abstractNum>
  <w:abstractNum w:abstractNumId="18">
    <w:styleLink w:val="1031"/>
    <w:lvl w:ilvl="0">
      <w:isLgl w:val="false"/>
      <w:lvlJc w:val="left"/>
      <w:lvlText w:val="%1."/>
      <w:numFmt w:val="decimal"/>
      <w:pPr>
        <w:pBdr/>
        <w:spacing/>
        <w:ind w:hanging="360" w:left="360"/>
      </w:pPr>
      <w:pStyle w:val="1031"/>
      <w:rPr>
        <w:rFonts w:hint="default"/>
      </w:rPr>
      <w:start w:val="3"/>
      <w:suff w:val="tab"/>
    </w:lvl>
    <w:lvl w:ilvl="1">
      <w:isLgl w:val="false"/>
      <w:lvlJc w:val="left"/>
      <w:lvlText w:val="3.%2."/>
      <w:numFmt w:val="decimal"/>
      <w:pPr>
        <w:pBdr/>
        <w:spacing/>
        <w:ind w:hanging="432" w:left="792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abstractNum w:abstractNumId="19">
    <w:lvl w:ilvl="0">
      <w:isLgl w:val="false"/>
      <w:lvlJc w:val="left"/>
      <w:lvlText w:val="1.2.31.%1"/>
      <w:numFmt w:val="decimal"/>
      <w:pPr>
        <w:pBdr/>
        <w:spacing/>
        <w:ind w:hanging="360" w:left="74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6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8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0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2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4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6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8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05"/>
      </w:pPr>
      <w:rPr/>
      <w:start w:val="1"/>
      <w:suff w:val="tab"/>
    </w:lvl>
  </w:abstractNum>
  <w:abstractNum w:abstractNumId="20">
    <w:lvl w:ilvl="0">
      <w:isLgl w:val="false"/>
      <w:lvlJc w:val="left"/>
      <w:lvlText w:val="1.1.%1"/>
      <w:numFmt w:val="decimal"/>
      <w:pPr>
        <w:pBdr/>
        <w:spacing/>
        <w:ind w:hanging="360" w:left="749"/>
      </w:pPr>
      <w:rPr>
        <w:rFonts w:hint="default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6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8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0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2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4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6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8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09"/>
      </w:pPr>
      <w:rPr/>
      <w:start w:val="1"/>
      <w:suff w:val="tab"/>
    </w:lvl>
  </w:abstractNum>
  <w:abstractNum w:abstractNumId="21">
    <w:lvl w:ilvl="0">
      <w:isLgl w:val="false"/>
      <w:lvlJc w:val="left"/>
      <w:lvlText w:val="3.%1"/>
      <w:numFmt w:val="decimal"/>
      <w:pPr>
        <w:pBdr/>
        <w:spacing/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1"/>
  </w:num>
  <w:num w:numId="2">
    <w:abstractNumId w:val="17"/>
  </w:num>
  <w:num w:numId="3">
    <w:abstractNumId w:val="18"/>
  </w:num>
  <w:num w:numId="4">
    <w:abstractNumId w:val="13"/>
  </w:num>
  <w:num w:numId="5">
    <w:abstractNumId w:val="14"/>
  </w:num>
  <w:num w:numId="6">
    <w:abstractNumId w:val="8"/>
  </w:num>
  <w:num w:numId="7">
    <w:abstractNumId w:val="15"/>
  </w:num>
  <w:num w:numId="8">
    <w:abstractNumId w:val="6"/>
  </w:num>
  <w:num w:numId="9">
    <w:abstractNumId w:val="16"/>
  </w:num>
  <w:num w:numId="10">
    <w:abstractNumId w:val="10"/>
  </w:num>
  <w:num w:numId="11">
    <w:abstractNumId w:val="19"/>
  </w:num>
  <w:num w:numId="12">
    <w:abstractNumId w:val="21"/>
  </w:num>
  <w:num w:numId="13">
    <w:abstractNumId w:val="20"/>
  </w:num>
  <w:num w:numId="14">
    <w:abstractNumId w:val="3"/>
  </w:num>
  <w:num w:numId="15">
    <w:abstractNumId w:val="0"/>
  </w:num>
  <w:num w:numId="16">
    <w:abstractNumId w:val="12"/>
  </w:num>
  <w:num w:numId="17">
    <w:abstractNumId w:val="1"/>
  </w:num>
  <w:num w:numId="18">
    <w:abstractNumId w:val="9"/>
  </w:num>
  <w:num w:numId="19">
    <w:abstractNumId w:val="5"/>
  </w:num>
  <w:num w:numId="20">
    <w:abstractNumId w:val="4"/>
  </w:num>
  <w:num w:numId="21">
    <w:abstractNumId w:val="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5">
    <w:name w:val="Table Grid Light"/>
    <w:basedOn w:val="95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1"/>
    <w:basedOn w:val="95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2"/>
    <w:basedOn w:val="95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1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2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3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4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5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6"/>
    <w:basedOn w:val="95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1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2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3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4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5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6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1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2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3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4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5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6"/>
    <w:basedOn w:val="95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1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2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3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4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5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6"/>
    <w:basedOn w:val="95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0">
    <w:name w:val="Heading 1 Char"/>
    <w:basedOn w:val="950"/>
    <w:link w:val="9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1">
    <w:name w:val="Heading 2 Char"/>
    <w:basedOn w:val="950"/>
    <w:link w:val="9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2">
    <w:name w:val="Heading 3 Char"/>
    <w:basedOn w:val="950"/>
    <w:link w:val="9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3">
    <w:name w:val="Heading 4 Char"/>
    <w:basedOn w:val="950"/>
    <w:link w:val="94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4">
    <w:name w:val="Heading 5 Char"/>
    <w:basedOn w:val="950"/>
    <w:link w:val="9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5">
    <w:name w:val="Heading 6 Char"/>
    <w:basedOn w:val="950"/>
    <w:link w:val="94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6">
    <w:name w:val="Heading 7 Char"/>
    <w:basedOn w:val="950"/>
    <w:link w:val="94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7">
    <w:name w:val="Heading 8 Char"/>
    <w:basedOn w:val="950"/>
    <w:link w:val="9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8">
    <w:name w:val="Heading 9 Char"/>
    <w:basedOn w:val="950"/>
    <w:link w:val="9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9">
    <w:name w:val="Title"/>
    <w:basedOn w:val="940"/>
    <w:next w:val="940"/>
    <w:link w:val="93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0">
    <w:name w:val="Title Char"/>
    <w:basedOn w:val="950"/>
    <w:link w:val="92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31">
    <w:name w:val="Subtitle Char"/>
    <w:basedOn w:val="950"/>
    <w:link w:val="10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2">
    <w:name w:val="Quote Char"/>
    <w:basedOn w:val="950"/>
    <w:link w:val="100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3">
    <w:name w:val="Intense Quote Char"/>
    <w:basedOn w:val="950"/>
    <w:link w:val="101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4">
    <w:name w:val="Header Char"/>
    <w:basedOn w:val="950"/>
    <w:link w:val="962"/>
    <w:uiPriority w:val="99"/>
    <w:pPr>
      <w:pBdr/>
      <w:spacing/>
      <w:ind/>
    </w:pPr>
  </w:style>
  <w:style w:type="character" w:styleId="935">
    <w:name w:val="Footer Char"/>
    <w:basedOn w:val="950"/>
    <w:link w:val="965"/>
    <w:uiPriority w:val="99"/>
    <w:pPr>
      <w:pBdr/>
      <w:spacing/>
      <w:ind/>
    </w:pPr>
  </w:style>
  <w:style w:type="character" w:styleId="936">
    <w:name w:val="Footnote Text Char"/>
    <w:basedOn w:val="950"/>
    <w:link w:val="956"/>
    <w:uiPriority w:val="99"/>
    <w:semiHidden/>
    <w:pPr>
      <w:pBdr/>
      <w:spacing/>
      <w:ind/>
    </w:pPr>
    <w:rPr>
      <w:sz w:val="20"/>
      <w:szCs w:val="20"/>
    </w:rPr>
  </w:style>
  <w:style w:type="character" w:styleId="937">
    <w:name w:val="Endnote Text Char"/>
    <w:basedOn w:val="950"/>
    <w:link w:val="1050"/>
    <w:uiPriority w:val="99"/>
    <w:semiHidden/>
    <w:pPr>
      <w:pBdr/>
      <w:spacing/>
      <w:ind/>
    </w:pPr>
    <w:rPr>
      <w:sz w:val="20"/>
      <w:szCs w:val="20"/>
    </w:rPr>
  </w:style>
  <w:style w:type="character" w:styleId="938">
    <w:name w:val="FollowedHyperlink"/>
    <w:basedOn w:val="95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9">
    <w:name w:val="table of figures"/>
    <w:basedOn w:val="940"/>
    <w:next w:val="940"/>
    <w:uiPriority w:val="99"/>
    <w:unhideWhenUsed/>
    <w:pPr>
      <w:pBdr/>
      <w:spacing w:after="0" w:afterAutospacing="0"/>
      <w:ind/>
    </w:pPr>
  </w:style>
  <w:style w:type="paragraph" w:styleId="940" w:default="1">
    <w:name w:val="Normal"/>
    <w:qFormat/>
    <w:pPr>
      <w:pBdr/>
      <w:spacing/>
      <w:ind/>
    </w:pPr>
    <w:rPr>
      <w:sz w:val="28"/>
      <w:szCs w:val="28"/>
    </w:rPr>
  </w:style>
  <w:style w:type="paragraph" w:styleId="941">
    <w:name w:val="Heading 1"/>
    <w:basedOn w:val="943"/>
    <w:next w:val="940"/>
    <w:link w:val="994"/>
    <w:qFormat/>
    <w:pPr>
      <w:numPr>
        <w:ilvl w:val="0"/>
      </w:numPr>
      <w:pBdr/>
      <w:spacing/>
      <w:ind/>
      <w:outlineLvl w:val="0"/>
    </w:pPr>
    <w:rPr>
      <w:sz w:val="28"/>
      <w:szCs w:val="28"/>
    </w:rPr>
  </w:style>
  <w:style w:type="paragraph" w:styleId="942">
    <w:name w:val="Heading 2"/>
    <w:basedOn w:val="944"/>
    <w:next w:val="940"/>
    <w:link w:val="996"/>
    <w:qFormat/>
    <w:pPr>
      <w:pBdr/>
      <w:spacing/>
      <w:ind/>
      <w:outlineLvl w:val="1"/>
    </w:pPr>
  </w:style>
  <w:style w:type="paragraph" w:styleId="943">
    <w:name w:val="Heading 3"/>
    <w:basedOn w:val="940"/>
    <w:next w:val="940"/>
    <w:link w:val="997"/>
    <w:qFormat/>
    <w:pPr>
      <w:keepNext w:val="true"/>
      <w:numPr>
        <w:ilvl w:val="2"/>
        <w:numId w:val="4"/>
      </w:numPr>
      <w:pBdr/>
      <w:spacing w:after="60" w:before="120"/>
      <w:ind w:hanging="426" w:left="426"/>
      <w:outlineLvl w:val="2"/>
    </w:pPr>
    <w:rPr>
      <w:rFonts w:eastAsia="Calibri"/>
      <w:b/>
      <w:sz w:val="20"/>
      <w:szCs w:val="20"/>
    </w:rPr>
  </w:style>
  <w:style w:type="paragraph" w:styleId="944">
    <w:name w:val="Heading 4"/>
    <w:basedOn w:val="943"/>
    <w:next w:val="940"/>
    <w:link w:val="998"/>
    <w:qFormat/>
    <w:pPr>
      <w:numPr>
        <w:ilvl w:val="1"/>
      </w:numPr>
      <w:pBdr/>
      <w:spacing/>
      <w:ind/>
      <w:outlineLvl w:val="3"/>
    </w:pPr>
    <w:rPr>
      <w:bCs/>
    </w:rPr>
  </w:style>
  <w:style w:type="paragraph" w:styleId="945">
    <w:name w:val="Heading 5"/>
    <w:basedOn w:val="940"/>
    <w:next w:val="940"/>
    <w:link w:val="999"/>
    <w:uiPriority w:val="9"/>
    <w:qFormat/>
    <w:pPr>
      <w:pBdr/>
      <w:spacing w:after="60" w:before="240"/>
      <w:ind/>
      <w:outlineLvl w:val="4"/>
    </w:pPr>
    <w:rPr>
      <w:b/>
      <w:bCs/>
      <w:i/>
      <w:iCs/>
      <w:sz w:val="26"/>
      <w:szCs w:val="26"/>
    </w:rPr>
  </w:style>
  <w:style w:type="paragraph" w:styleId="946">
    <w:name w:val="Heading 6"/>
    <w:basedOn w:val="940"/>
    <w:next w:val="940"/>
    <w:link w:val="991"/>
    <w:uiPriority w:val="9"/>
    <w:qFormat/>
    <w:pPr>
      <w:keepNext w:val="true"/>
      <w:keepLines w:val="true"/>
      <w:pBdr/>
      <w:spacing w:before="200"/>
      <w:ind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947">
    <w:name w:val="Heading 7"/>
    <w:basedOn w:val="940"/>
    <w:next w:val="940"/>
    <w:link w:val="992"/>
    <w:uiPriority w:val="9"/>
    <w:qFormat/>
    <w:pPr>
      <w:keepNext w:val="true"/>
      <w:keepLines w:val="true"/>
      <w:pBdr/>
      <w:spacing w:before="200"/>
      <w:ind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948">
    <w:name w:val="Heading 8"/>
    <w:basedOn w:val="940"/>
    <w:next w:val="940"/>
    <w:link w:val="993"/>
    <w:uiPriority w:val="9"/>
    <w:qFormat/>
    <w:pPr>
      <w:keepNext w:val="true"/>
      <w:keepLines w:val="true"/>
      <w:pBdr/>
      <w:spacing w:before="200"/>
      <w:ind/>
      <w:outlineLvl w:val="7"/>
    </w:pPr>
    <w:rPr>
      <w:rFonts w:ascii="Cambria" w:hAnsi="Cambria"/>
      <w:color w:val="4f81bd"/>
      <w:sz w:val="20"/>
      <w:szCs w:val="20"/>
    </w:rPr>
  </w:style>
  <w:style w:type="paragraph" w:styleId="949">
    <w:name w:val="Heading 9"/>
    <w:basedOn w:val="940"/>
    <w:next w:val="940"/>
    <w:link w:val="1000"/>
    <w:uiPriority w:val="9"/>
    <w:qFormat/>
    <w:pPr>
      <w:pBdr/>
      <w:spacing w:after="60" w:before="240"/>
      <w:ind/>
      <w:outlineLvl w:val="8"/>
    </w:pPr>
    <w:rPr>
      <w:rFonts w:ascii="Arial" w:hAnsi="Arial"/>
      <w:sz w:val="22"/>
      <w:szCs w:val="22"/>
    </w:rPr>
  </w:style>
  <w:style w:type="character" w:styleId="950" w:default="1">
    <w:name w:val="Default Paragraph Font"/>
    <w:uiPriority w:val="1"/>
    <w:semiHidden/>
    <w:unhideWhenUsed/>
    <w:pPr>
      <w:pBdr/>
      <w:spacing/>
      <w:ind/>
    </w:pPr>
  </w:style>
  <w:style w:type="table" w:styleId="95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2" w:default="1">
    <w:name w:val="No List"/>
    <w:uiPriority w:val="99"/>
    <w:semiHidden/>
    <w:unhideWhenUsed/>
    <w:pPr>
      <w:pBdr/>
      <w:spacing/>
      <w:ind/>
    </w:pPr>
  </w:style>
  <w:style w:type="paragraph" w:styleId="953" w:customStyle="1">
    <w:name w:val="Название раздела инструкции"/>
    <w:basedOn w:val="940"/>
    <w:pPr>
      <w:pBdr/>
      <w:spacing/>
      <w:ind/>
      <w:jc w:val="center"/>
    </w:pPr>
    <w:rPr>
      <w:b/>
    </w:rPr>
  </w:style>
  <w:style w:type="paragraph" w:styleId="954" w:customStyle="1">
    <w:name w:val="Раздел положения"/>
    <w:basedOn w:val="940"/>
    <w:pPr>
      <w:numPr>
        <w:numId w:val="1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955" w:customStyle="1">
    <w:name w:val="Подраздел раздела положения"/>
    <w:basedOn w:val="940"/>
    <w:pPr>
      <w:numPr>
        <w:ilvl w:val="1"/>
        <w:numId w:val="1"/>
      </w:numPr>
      <w:pBdr/>
      <w:spacing w:after="80" w:before="80"/>
      <w:ind/>
      <w:jc w:val="both"/>
    </w:pPr>
  </w:style>
  <w:style w:type="paragraph" w:styleId="956">
    <w:name w:val="footnote text"/>
    <w:basedOn w:val="940"/>
    <w:link w:val="1030"/>
    <w:uiPriority w:val="99"/>
    <w:pPr>
      <w:pBdr/>
      <w:spacing/>
      <w:ind/>
    </w:pPr>
    <w:rPr>
      <w:sz w:val="20"/>
      <w:szCs w:val="20"/>
    </w:rPr>
  </w:style>
  <w:style w:type="character" w:styleId="957">
    <w:name w:val="footnote reference"/>
    <w:pPr>
      <w:pBdr/>
      <w:spacing/>
      <w:ind/>
    </w:pPr>
    <w:rPr>
      <w:vertAlign w:val="superscript"/>
    </w:rPr>
  </w:style>
  <w:style w:type="paragraph" w:styleId="958" w:customStyle="1">
    <w:name w:val="Шапка 1"/>
    <w:basedOn w:val="940"/>
    <w:pPr>
      <w:pBdr>
        <w:bottom w:val="single" w:color="000000" w:sz="24" w:space="1"/>
      </w:pBdr>
      <w:spacing w:after="240"/>
      <w:ind/>
      <w:jc w:val="center"/>
    </w:pPr>
    <w:rPr>
      <w:sz w:val="22"/>
      <w:szCs w:val="22"/>
    </w:rPr>
  </w:style>
  <w:style w:type="paragraph" w:styleId="959" w:customStyle="1">
    <w:name w:val="Шапка 2"/>
    <w:basedOn w:val="940"/>
    <w:pPr>
      <w:pBdr>
        <w:bottom w:val="single" w:color="000000" w:sz="24" w:space="1"/>
      </w:pBdr>
      <w:spacing w:after="120"/>
      <w:ind/>
      <w:jc w:val="center"/>
    </w:pPr>
    <w:rPr>
      <w:b/>
      <w:sz w:val="22"/>
      <w:szCs w:val="22"/>
    </w:rPr>
  </w:style>
  <w:style w:type="paragraph" w:styleId="960" w:customStyle="1">
    <w:name w:val="Шапка 3"/>
    <w:basedOn w:val="940"/>
    <w:pPr>
      <w:pBdr>
        <w:bottom w:val="single" w:color="000000" w:sz="24" w:space="1"/>
      </w:pBdr>
      <w:spacing w:after="360" w:before="240"/>
      <w:ind/>
      <w:jc w:val="center"/>
    </w:pPr>
    <w:rPr>
      <w:b/>
      <w:sz w:val="24"/>
      <w:szCs w:val="24"/>
    </w:rPr>
  </w:style>
  <w:style w:type="paragraph" w:styleId="961" w:customStyle="1">
    <w:name w:val="Название1"/>
    <w:basedOn w:val="940"/>
    <w:link w:val="1003"/>
    <w:uiPriority w:val="10"/>
    <w:qFormat/>
    <w:pPr>
      <w:pBdr/>
      <w:spacing/>
      <w:ind/>
      <w:jc w:val="center"/>
    </w:pPr>
    <w:rPr>
      <w:szCs w:val="20"/>
    </w:rPr>
  </w:style>
  <w:style w:type="paragraph" w:styleId="962">
    <w:name w:val="Header"/>
    <w:basedOn w:val="940"/>
    <w:link w:val="1047"/>
    <w:pPr>
      <w:pBdr/>
      <w:tabs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963">
    <w:name w:val="Body Text Indent"/>
    <w:basedOn w:val="940"/>
    <w:pPr>
      <w:pBdr/>
      <w:spacing/>
      <w:ind w:left="360"/>
    </w:pPr>
    <w:rPr>
      <w:sz w:val="24"/>
      <w:szCs w:val="24"/>
    </w:rPr>
  </w:style>
  <w:style w:type="table" w:styleId="964">
    <w:name w:val="Table Grid"/>
    <w:basedOn w:val="951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5">
    <w:name w:val="Footer"/>
    <w:basedOn w:val="940"/>
    <w:link w:val="1066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66">
    <w:name w:val="Body Text"/>
    <w:basedOn w:val="940"/>
    <w:link w:val="1033"/>
    <w:pPr>
      <w:pBdr/>
      <w:spacing w:after="120"/>
      <w:ind/>
    </w:pPr>
  </w:style>
  <w:style w:type="paragraph" w:styleId="967">
    <w:name w:val="Body Text Indent 2"/>
    <w:basedOn w:val="940"/>
    <w:pPr>
      <w:pBdr/>
      <w:spacing w:after="120" w:line="480" w:lineRule="auto"/>
      <w:ind w:left="283"/>
    </w:pPr>
  </w:style>
  <w:style w:type="paragraph" w:styleId="968">
    <w:name w:val="Body Text 3"/>
    <w:basedOn w:val="940"/>
    <w:pPr>
      <w:pBdr/>
      <w:spacing w:after="120"/>
      <w:ind/>
    </w:pPr>
    <w:rPr>
      <w:sz w:val="16"/>
      <w:szCs w:val="16"/>
    </w:rPr>
  </w:style>
  <w:style w:type="paragraph" w:styleId="969">
    <w:name w:val="Body Text Indent 3"/>
    <w:basedOn w:val="940"/>
    <w:link w:val="1064"/>
    <w:pPr>
      <w:pBdr/>
      <w:spacing w:after="120"/>
      <w:ind w:left="283"/>
    </w:pPr>
    <w:rPr>
      <w:sz w:val="16"/>
      <w:szCs w:val="16"/>
    </w:rPr>
  </w:style>
  <w:style w:type="paragraph" w:styleId="970">
    <w:name w:val="Body Text 2"/>
    <w:basedOn w:val="940"/>
    <w:pPr>
      <w:pBdr/>
      <w:spacing w:after="120" w:line="480" w:lineRule="auto"/>
      <w:ind/>
    </w:pPr>
  </w:style>
  <w:style w:type="paragraph" w:styleId="971">
    <w:name w:val="Block Text"/>
    <w:basedOn w:val="940"/>
    <w:pPr>
      <w:pBdr/>
      <w:spacing/>
      <w:ind w:right="-766" w:left="-567"/>
      <w:jc w:val="center"/>
    </w:pPr>
    <w:rPr>
      <w:b/>
      <w:bCs/>
      <w:sz w:val="24"/>
      <w:szCs w:val="20"/>
    </w:rPr>
  </w:style>
  <w:style w:type="paragraph" w:styleId="972" w:customStyle="1">
    <w:name w:val="Подпункт"/>
    <w:basedOn w:val="940"/>
    <w:link w:val="1028"/>
    <w:pPr>
      <w:pBdr/>
      <w:tabs>
        <w:tab w:val="num" w:leader="none" w:pos="1134"/>
      </w:tabs>
      <w:spacing w:line="360" w:lineRule="auto"/>
      <w:ind w:hanging="1134" w:left="1134"/>
      <w:jc w:val="both"/>
    </w:pPr>
    <w:rPr>
      <w:szCs w:val="20"/>
    </w:rPr>
  </w:style>
  <w:style w:type="paragraph" w:styleId="973" w:customStyle="1">
    <w:name w:val="Пункт2"/>
    <w:basedOn w:val="940"/>
    <w:link w:val="1054"/>
    <w:pPr>
      <w:keepNext w:val="true"/>
      <w:pBdr/>
      <w:tabs>
        <w:tab w:val="num" w:leader="none" w:pos="1134"/>
      </w:tabs>
      <w:spacing w:after="120" w:before="240"/>
      <w:ind w:hanging="1134" w:left="1134"/>
      <w:outlineLvl w:val="2"/>
    </w:pPr>
    <w:rPr>
      <w:b/>
      <w:szCs w:val="20"/>
    </w:rPr>
  </w:style>
  <w:style w:type="character" w:styleId="974">
    <w:name w:val="page number"/>
    <w:basedOn w:val="950"/>
    <w:pPr>
      <w:pBdr/>
      <w:spacing/>
      <w:ind/>
    </w:pPr>
  </w:style>
  <w:style w:type="paragraph" w:styleId="975">
    <w:name w:val="toc 1"/>
    <w:basedOn w:val="940"/>
    <w:next w:val="940"/>
    <w:uiPriority w:val="39"/>
    <w:pPr>
      <w:pBdr/>
      <w:spacing w:before="120"/>
      <w:ind/>
    </w:pPr>
    <w:rPr>
      <w:rFonts w:cs="Calibri Light (Заголовки)"/>
      <w:b/>
      <w:bCs/>
      <w:sz w:val="24"/>
      <w:szCs w:val="24"/>
    </w:rPr>
  </w:style>
  <w:style w:type="paragraph" w:styleId="976">
    <w:name w:val="toc 3"/>
    <w:basedOn w:val="940"/>
    <w:next w:val="940"/>
    <w:uiPriority w:val="39"/>
    <w:pPr>
      <w:pBdr/>
      <w:tabs>
        <w:tab w:val="left" w:leader="none" w:pos="1120"/>
        <w:tab w:val="right" w:leader="dot" w:pos="10194"/>
      </w:tabs>
      <w:spacing/>
      <w:ind w:left="567"/>
    </w:pPr>
    <w:rPr>
      <w:rFonts w:cstheme="minorHAnsi"/>
      <w:sz w:val="20"/>
      <w:szCs w:val="20"/>
    </w:rPr>
  </w:style>
  <w:style w:type="character" w:styleId="977">
    <w:name w:val="Hyperlink"/>
    <w:uiPriority w:val="99"/>
    <w:pPr>
      <w:pBdr/>
      <w:spacing/>
      <w:ind/>
    </w:pPr>
    <w:rPr>
      <w:color w:val="0000ff"/>
      <w:u w:val="single"/>
    </w:rPr>
  </w:style>
  <w:style w:type="paragraph" w:styleId="978" w:customStyle="1">
    <w:name w:val="Раздел регламента"/>
    <w:basedOn w:val="940"/>
    <w:pPr>
      <w:pBdr/>
      <w:spacing/>
      <w:ind/>
    </w:pPr>
  </w:style>
  <w:style w:type="paragraph" w:styleId="979" w:customStyle="1">
    <w:name w:val="Приложение к регламенту"/>
    <w:basedOn w:val="940"/>
    <w:pPr>
      <w:pBdr/>
      <w:spacing/>
      <w:ind/>
      <w:jc w:val="right"/>
    </w:pPr>
  </w:style>
  <w:style w:type="paragraph" w:styleId="980">
    <w:name w:val="toc 2"/>
    <w:basedOn w:val="940"/>
    <w:next w:val="940"/>
    <w:uiPriority w:val="39"/>
    <w:pPr>
      <w:pBdr/>
      <w:spacing w:before="240"/>
      <w:ind/>
    </w:pPr>
    <w:rPr>
      <w:rFonts w:cstheme="minorHAnsi"/>
      <w:b/>
      <w:bCs/>
      <w:sz w:val="20"/>
      <w:szCs w:val="20"/>
    </w:rPr>
  </w:style>
  <w:style w:type="paragraph" w:styleId="981">
    <w:name w:val="Balloon Text"/>
    <w:basedOn w:val="940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82">
    <w:name w:val="annotation reference"/>
    <w:uiPriority w:val="99"/>
    <w:semiHidden/>
    <w:pPr>
      <w:pBdr/>
      <w:spacing/>
      <w:ind/>
    </w:pPr>
    <w:rPr>
      <w:sz w:val="16"/>
      <w:szCs w:val="16"/>
    </w:rPr>
  </w:style>
  <w:style w:type="paragraph" w:styleId="983">
    <w:name w:val="annotation text"/>
    <w:basedOn w:val="940"/>
    <w:link w:val="1048"/>
    <w:semiHidden/>
    <w:pPr>
      <w:pBdr/>
      <w:spacing/>
      <w:ind/>
    </w:pPr>
    <w:rPr>
      <w:sz w:val="20"/>
      <w:szCs w:val="20"/>
    </w:rPr>
  </w:style>
  <w:style w:type="paragraph" w:styleId="984">
    <w:name w:val="annotation subject"/>
    <w:basedOn w:val="983"/>
    <w:next w:val="983"/>
    <w:semiHidden/>
    <w:pPr>
      <w:pBdr/>
      <w:spacing/>
      <w:ind/>
    </w:pPr>
    <w:rPr>
      <w:b/>
      <w:bCs/>
    </w:rPr>
  </w:style>
  <w:style w:type="paragraph" w:styleId="985" w:customStyle="1">
    <w:name w:val="Обычный (веб)1"/>
    <w:basedOn w:val="940"/>
    <w:uiPriority w:val="99"/>
    <w:pPr>
      <w:pBdr/>
      <w:spacing w:after="100" w:afterAutospacing="1" w:before="100" w:beforeAutospacing="1"/>
      <w:ind/>
    </w:pPr>
    <w:rPr>
      <w:rFonts w:hint="eastAsia" w:ascii="Arial Unicode MS" w:hAnsi="Arial Unicode MS" w:eastAsia="Arial Unicode MS" w:cs="Arial Unicode MS"/>
      <w:sz w:val="24"/>
      <w:szCs w:val="24"/>
    </w:rPr>
  </w:style>
  <w:style w:type="paragraph" w:styleId="986">
    <w:name w:val="toc 9"/>
    <w:basedOn w:val="940"/>
    <w:next w:val="940"/>
    <w:semiHidden/>
    <w:pPr>
      <w:pBdr/>
      <w:spacing/>
      <w:ind w:left="1960"/>
    </w:pPr>
    <w:rPr>
      <w:rFonts w:asciiTheme="minorHAnsi" w:hAnsiTheme="minorHAnsi" w:cstheme="minorHAnsi"/>
      <w:sz w:val="20"/>
      <w:szCs w:val="20"/>
    </w:rPr>
  </w:style>
  <w:style w:type="paragraph" w:styleId="987">
    <w:name w:val="toc 5"/>
    <w:basedOn w:val="940"/>
    <w:next w:val="940"/>
    <w:semiHidden/>
    <w:pPr>
      <w:pBdr/>
      <w:spacing/>
      <w:ind w:left="840"/>
    </w:pPr>
    <w:rPr>
      <w:rFonts w:asciiTheme="minorHAnsi" w:hAnsiTheme="minorHAnsi" w:cstheme="minorHAnsi"/>
      <w:sz w:val="20"/>
      <w:szCs w:val="20"/>
    </w:rPr>
  </w:style>
  <w:style w:type="paragraph" w:styleId="988">
    <w:name w:val="toc 4"/>
    <w:basedOn w:val="940"/>
    <w:next w:val="940"/>
    <w:uiPriority w:val="39"/>
    <w:pPr>
      <w:pBdr/>
      <w:spacing/>
      <w:ind w:left="560"/>
    </w:pPr>
    <w:rPr>
      <w:rFonts w:cstheme="minorHAnsi"/>
      <w:sz w:val="20"/>
      <w:szCs w:val="20"/>
    </w:rPr>
  </w:style>
  <w:style w:type="paragraph" w:styleId="989" w:customStyle="1">
    <w:name w:val="Раздел положения 2"/>
    <w:basedOn w:val="940"/>
    <w:pPr>
      <w:pageBreakBefore w:val="true"/>
      <w:pBdr/>
      <w:spacing/>
      <w:ind/>
      <w:jc w:val="both"/>
      <w:outlineLvl w:val="0"/>
    </w:pPr>
    <w:rPr>
      <w:b/>
    </w:rPr>
  </w:style>
  <w:style w:type="character" w:styleId="990">
    <w:name w:val="Strong"/>
    <w:qFormat/>
    <w:pPr>
      <w:pBdr/>
      <w:spacing/>
      <w:ind/>
    </w:pPr>
    <w:rPr>
      <w:b/>
      <w:bCs/>
    </w:rPr>
  </w:style>
  <w:style w:type="character" w:styleId="991" w:customStyle="1">
    <w:name w:val="Заголовок 6 Знак"/>
    <w:link w:val="946"/>
    <w:uiPriority w:val="9"/>
    <w:pPr>
      <w:pBdr/>
      <w:spacing/>
      <w:ind/>
    </w:pPr>
    <w:rPr>
      <w:rFonts w:ascii="Cambria" w:hAnsi="Cambria"/>
      <w:i/>
      <w:iCs/>
      <w:color w:val="243f60"/>
    </w:rPr>
  </w:style>
  <w:style w:type="character" w:styleId="992" w:customStyle="1">
    <w:name w:val="Заголовок 7 Знак"/>
    <w:link w:val="947"/>
    <w:uiPriority w:val="9"/>
    <w:pPr>
      <w:pBdr/>
      <w:spacing/>
      <w:ind/>
    </w:pPr>
    <w:rPr>
      <w:rFonts w:ascii="Cambria" w:hAnsi="Cambria"/>
      <w:i/>
      <w:iCs/>
      <w:color w:val="404040"/>
    </w:rPr>
  </w:style>
  <w:style w:type="character" w:styleId="993" w:customStyle="1">
    <w:name w:val="Заголовок 8 Знак"/>
    <w:link w:val="948"/>
    <w:uiPriority w:val="9"/>
    <w:pPr>
      <w:pBdr/>
      <w:spacing/>
      <w:ind/>
    </w:pPr>
    <w:rPr>
      <w:rFonts w:ascii="Cambria" w:hAnsi="Cambria"/>
      <w:color w:val="4f81bd"/>
    </w:rPr>
  </w:style>
  <w:style w:type="character" w:styleId="994" w:customStyle="1">
    <w:name w:val="Заголовок 1 Знак"/>
    <w:link w:val="941"/>
    <w:pPr>
      <w:pBdr/>
      <w:spacing/>
      <w:ind/>
    </w:pPr>
    <w:rPr>
      <w:rFonts w:eastAsia="Calibri"/>
      <w:b/>
      <w:sz w:val="28"/>
      <w:szCs w:val="28"/>
    </w:rPr>
  </w:style>
  <w:style w:type="paragraph" w:styleId="995" w:customStyle="1">
    <w:name w:val="Знак Знак Знак Знак Знак Знак Знак Знак Знак"/>
    <w:basedOn w:val="940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styleId="996" w:customStyle="1">
    <w:name w:val="Заголовок 2 Знак"/>
    <w:link w:val="942"/>
    <w:pPr>
      <w:pBdr/>
      <w:spacing/>
      <w:ind/>
    </w:pPr>
    <w:rPr>
      <w:rFonts w:eastAsia="Calibri"/>
      <w:b/>
      <w:bCs/>
    </w:rPr>
  </w:style>
  <w:style w:type="character" w:styleId="997" w:customStyle="1">
    <w:name w:val="Заголовок 3 Знак"/>
    <w:link w:val="943"/>
    <w:pPr>
      <w:pBdr/>
      <w:spacing/>
      <w:ind/>
    </w:pPr>
    <w:rPr>
      <w:rFonts w:eastAsia="Calibri"/>
      <w:b/>
    </w:rPr>
  </w:style>
  <w:style w:type="character" w:styleId="998" w:customStyle="1">
    <w:name w:val="Заголовок 4 Знак"/>
    <w:link w:val="944"/>
    <w:pPr>
      <w:pBdr/>
      <w:spacing/>
      <w:ind/>
    </w:pPr>
    <w:rPr>
      <w:rFonts w:eastAsia="Calibri"/>
      <w:b/>
      <w:bCs/>
    </w:rPr>
  </w:style>
  <w:style w:type="character" w:styleId="999" w:customStyle="1">
    <w:name w:val="Заголовок 5 Знак"/>
    <w:link w:val="945"/>
    <w:uiPriority w:val="9"/>
    <w:pPr>
      <w:pBdr/>
      <w:spacing/>
      <w:ind/>
    </w:pPr>
    <w:rPr>
      <w:b/>
      <w:bCs/>
      <w:i/>
      <w:iCs/>
      <w:sz w:val="26"/>
      <w:szCs w:val="26"/>
    </w:rPr>
  </w:style>
  <w:style w:type="character" w:styleId="1000" w:customStyle="1">
    <w:name w:val="Заголовок 9 Знак"/>
    <w:link w:val="949"/>
    <w:uiPriority w:val="9"/>
    <w:pPr>
      <w:pBdr/>
      <w:spacing/>
      <w:ind/>
    </w:pPr>
    <w:rPr>
      <w:rFonts w:ascii="Arial" w:hAnsi="Arial" w:cs="Arial"/>
      <w:sz w:val="22"/>
      <w:szCs w:val="22"/>
    </w:rPr>
  </w:style>
  <w:style w:type="paragraph" w:styleId="1001">
    <w:name w:val="No Spacing"/>
    <w:basedOn w:val="940"/>
    <w:uiPriority w:val="1"/>
    <w:qFormat/>
    <w:pPr>
      <w:pBdr/>
      <w:spacing w:line="360" w:lineRule="auto"/>
      <w:ind/>
    </w:pPr>
    <w:rPr>
      <w:rFonts w:eastAsia="Calibri"/>
      <w:sz w:val="24"/>
      <w:szCs w:val="24"/>
    </w:rPr>
  </w:style>
  <w:style w:type="paragraph" w:styleId="1002">
    <w:name w:val="Caption"/>
    <w:basedOn w:val="940"/>
    <w:next w:val="940"/>
    <w:uiPriority w:val="35"/>
    <w:qFormat/>
    <w:pPr>
      <w:pBdr/>
      <w:spacing/>
      <w:ind/>
    </w:pPr>
    <w:rPr>
      <w:rFonts w:eastAsia="Calibri"/>
      <w:b/>
      <w:bCs/>
      <w:color w:val="4f81bd"/>
      <w:sz w:val="18"/>
      <w:szCs w:val="18"/>
    </w:rPr>
  </w:style>
  <w:style w:type="character" w:styleId="1003" w:customStyle="1">
    <w:name w:val="Название Знак"/>
    <w:link w:val="961"/>
    <w:uiPriority w:val="10"/>
    <w:pPr>
      <w:pBdr/>
      <w:spacing/>
      <w:ind/>
    </w:pPr>
    <w:rPr>
      <w:sz w:val="28"/>
    </w:rPr>
  </w:style>
  <w:style w:type="paragraph" w:styleId="1004">
    <w:name w:val="Subtitle"/>
    <w:basedOn w:val="940"/>
    <w:next w:val="940"/>
    <w:link w:val="1005"/>
    <w:uiPriority w:val="11"/>
    <w:qFormat/>
    <w:pPr>
      <w:numPr>
        <w:ilvl w:val="1"/>
      </w:numPr>
      <w:pBdr/>
      <w:spacing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1005" w:customStyle="1">
    <w:name w:val="Подзаголовок Знак"/>
    <w:link w:val="1004"/>
    <w:uiPriority w:val="11"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1006">
    <w:name w:val="Emphasis"/>
    <w:uiPriority w:val="20"/>
    <w:qFormat/>
    <w:pPr>
      <w:pBdr/>
      <w:spacing/>
      <w:ind/>
    </w:pPr>
    <w:rPr>
      <w:i/>
      <w:iCs/>
    </w:rPr>
  </w:style>
  <w:style w:type="paragraph" w:styleId="1007">
    <w:name w:val="List Paragraph"/>
    <w:basedOn w:val="940"/>
    <w:link w:val="1037"/>
    <w:uiPriority w:val="34"/>
    <w:qFormat/>
    <w:pPr>
      <w:pBdr/>
      <w:spacing/>
      <w:ind w:left="720"/>
      <w:contextualSpacing w:val="true"/>
    </w:pPr>
    <w:rPr>
      <w:rFonts w:eastAsia="Calibri"/>
      <w:sz w:val="24"/>
      <w:szCs w:val="24"/>
    </w:rPr>
  </w:style>
  <w:style w:type="paragraph" w:styleId="1008">
    <w:name w:val="Quote"/>
    <w:basedOn w:val="940"/>
    <w:next w:val="940"/>
    <w:link w:val="1009"/>
    <w:uiPriority w:val="29"/>
    <w:qFormat/>
    <w:pPr>
      <w:pBdr/>
      <w:spacing/>
      <w:ind/>
    </w:pPr>
    <w:rPr>
      <w:rFonts w:ascii="Calibri" w:hAnsi="Calibri" w:eastAsia="Calibri"/>
      <w:i/>
      <w:iCs/>
      <w:color w:val="000000"/>
      <w:sz w:val="20"/>
      <w:szCs w:val="20"/>
    </w:rPr>
  </w:style>
  <w:style w:type="character" w:styleId="1009" w:customStyle="1">
    <w:name w:val="Цитата 2 Знак"/>
    <w:link w:val="1008"/>
    <w:uiPriority w:val="29"/>
    <w:pPr>
      <w:pBdr/>
      <w:spacing/>
      <w:ind/>
    </w:pPr>
    <w:rPr>
      <w:rFonts w:ascii="Calibri" w:hAnsi="Calibri" w:eastAsia="Calibri"/>
      <w:i/>
      <w:iCs/>
      <w:color w:val="000000"/>
    </w:rPr>
  </w:style>
  <w:style w:type="paragraph" w:styleId="1010">
    <w:name w:val="Intense Quote"/>
    <w:basedOn w:val="940"/>
    <w:next w:val="940"/>
    <w:link w:val="1011"/>
    <w:uiPriority w:val="30"/>
    <w:qFormat/>
    <w:pPr>
      <w:pBdr>
        <w:bottom w:val="single" w:color="4f81bd" w:sz="4" w:space="4"/>
      </w:pBdr>
      <w:spacing w:after="280" w:before="200"/>
      <w:ind w:right="936" w:lef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character" w:styleId="1011" w:customStyle="1">
    <w:name w:val="Выделенная цитата Знак"/>
    <w:link w:val="1010"/>
    <w:uiPriority w:val="30"/>
    <w:pPr>
      <w:pBdr/>
      <w:spacing/>
      <w:ind/>
    </w:pPr>
    <w:rPr>
      <w:rFonts w:ascii="Calibri" w:hAnsi="Calibri" w:eastAsia="Calibri"/>
      <w:b/>
      <w:bCs/>
      <w:i/>
      <w:iCs/>
      <w:color w:val="4f81bd"/>
    </w:rPr>
  </w:style>
  <w:style w:type="character" w:styleId="1012">
    <w:name w:val="Subtle Emphasis"/>
    <w:uiPriority w:val="19"/>
    <w:qFormat/>
    <w:pPr>
      <w:pBdr/>
      <w:spacing/>
      <w:ind/>
    </w:pPr>
    <w:rPr>
      <w:i/>
      <w:iCs/>
      <w:color w:val="808080"/>
    </w:rPr>
  </w:style>
  <w:style w:type="character" w:styleId="1013">
    <w:name w:val="Intense Emphasis"/>
    <w:uiPriority w:val="21"/>
    <w:qFormat/>
    <w:pPr>
      <w:pBdr/>
      <w:spacing/>
      <w:ind/>
    </w:pPr>
    <w:rPr>
      <w:b/>
      <w:bCs/>
      <w:i/>
      <w:iCs/>
      <w:color w:val="4f81bd"/>
    </w:rPr>
  </w:style>
  <w:style w:type="character" w:styleId="1014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character" w:styleId="1015">
    <w:name w:val="Intense Reference"/>
    <w:uiPriority w:val="32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1016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1017">
    <w:name w:val="TOC Heading"/>
    <w:basedOn w:val="941"/>
    <w:next w:val="940"/>
    <w:uiPriority w:val="39"/>
    <w:qFormat/>
    <w:pPr>
      <w:keepLines w:val="true"/>
      <w:pBdr/>
      <w:spacing w:before="480"/>
      <w:ind/>
      <w:outlineLvl w:val="9"/>
    </w:pPr>
    <w:rPr>
      <w:rFonts w:ascii="Cambria" w:hAnsi="Cambria"/>
      <w:bCs/>
      <w:color w:val="365f91"/>
    </w:rPr>
  </w:style>
  <w:style w:type="paragraph" w:styleId="1018">
    <w:name w:val="E-mail Signature"/>
    <w:basedOn w:val="940"/>
    <w:link w:val="1019"/>
    <w:uiPriority w:val="99"/>
    <w:unhideWhenUsed/>
    <w:pPr>
      <w:pBdr/>
      <w:spacing/>
      <w:ind/>
    </w:pPr>
    <w:rPr>
      <w:rFonts w:eastAsia="Calibri"/>
      <w:sz w:val="24"/>
      <w:szCs w:val="24"/>
    </w:rPr>
  </w:style>
  <w:style w:type="character" w:styleId="1019" w:customStyle="1">
    <w:name w:val="Электронная подпись Знак"/>
    <w:link w:val="1018"/>
    <w:uiPriority w:val="99"/>
    <w:pPr>
      <w:pBdr/>
      <w:spacing/>
      <w:ind/>
    </w:pPr>
    <w:rPr>
      <w:rFonts w:eastAsia="Calibri"/>
      <w:sz w:val="24"/>
      <w:szCs w:val="24"/>
    </w:rPr>
  </w:style>
  <w:style w:type="paragraph" w:styleId="1020" w:customStyle="1">
    <w:name w:val="Знак"/>
    <w:basedOn w:val="940"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21" w:customStyle="1">
    <w:name w:val="Нумерованный список ур3"/>
    <w:basedOn w:val="940"/>
    <w:pPr>
      <w:numPr>
        <w:ilvl w:val="2"/>
        <w:numId w:val="2"/>
      </w:numPr>
      <w:pBdr/>
      <w:spacing/>
      <w:ind/>
      <w:jc w:val="both"/>
    </w:pPr>
    <w:rPr>
      <w:rFonts w:ascii="Garamond" w:hAnsi="Garamond"/>
      <w:sz w:val="24"/>
      <w:szCs w:val="20"/>
    </w:rPr>
  </w:style>
  <w:style w:type="paragraph" w:styleId="1022" w:customStyle="1">
    <w:name w:val="Нумерованный список 1"/>
    <w:basedOn w:val="940"/>
    <w:pPr>
      <w:numPr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1023" w:customStyle="1">
    <w:name w:val="Нумерованный список ур2"/>
    <w:basedOn w:val="940"/>
    <w:pPr>
      <w:numPr>
        <w:ilvl w:val="1"/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1024">
    <w:name w:val="Revision"/>
    <w:hidden/>
    <w:uiPriority w:val="99"/>
    <w:semiHidden/>
    <w:pPr>
      <w:pBdr/>
      <w:spacing/>
      <w:ind/>
    </w:pPr>
    <w:rPr>
      <w:rFonts w:eastAsia="Calibri"/>
      <w:sz w:val="24"/>
      <w:szCs w:val="24"/>
    </w:rPr>
  </w:style>
  <w:style w:type="paragraph" w:styleId="1025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paragraph" w:styleId="1026" w:customStyle="1">
    <w:name w:val="Знак Знак3 Знак Знак"/>
    <w:basedOn w:val="940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1027" w:customStyle="1">
    <w:name w:val="Пункт"/>
    <w:basedOn w:val="940"/>
    <w:pPr>
      <w:widowControl w:val="false"/>
      <w:pBdr/>
      <w:tabs>
        <w:tab w:val="num" w:leader="none" w:pos="1134"/>
      </w:tabs>
      <w:spacing w:before="120" w:line="360" w:lineRule="auto"/>
      <w:ind w:right="800" w:hanging="1134" w:left="1134"/>
      <w:jc w:val="both"/>
    </w:pPr>
    <w:rPr>
      <w:rFonts w:ascii="Arial" w:hAnsi="Arial"/>
      <w:b/>
      <w:i/>
      <w:szCs w:val="20"/>
    </w:rPr>
  </w:style>
  <w:style w:type="character" w:styleId="1028" w:customStyle="1">
    <w:name w:val="Подпункт Знак1"/>
    <w:link w:val="972"/>
    <w:pPr>
      <w:pBdr/>
      <w:spacing/>
      <w:ind/>
    </w:pPr>
    <w:rPr>
      <w:sz w:val="28"/>
    </w:rPr>
  </w:style>
  <w:style w:type="paragraph" w:styleId="1029" w:customStyle="1">
    <w:name w:val="Абзац списка1"/>
    <w:basedOn w:val="940"/>
    <w:pPr>
      <w:pBdr/>
      <w:spacing w:after="200" w:line="276" w:lineRule="auto"/>
      <w:ind w:left="720"/>
      <w:contextualSpacing w:val="true"/>
    </w:pPr>
    <w:rPr>
      <w:rFonts w:ascii="Calibri" w:hAnsi="Calibri"/>
      <w:sz w:val="22"/>
      <w:szCs w:val="22"/>
      <w:lang w:eastAsia="en-US"/>
    </w:rPr>
  </w:style>
  <w:style w:type="character" w:styleId="1030" w:customStyle="1">
    <w:name w:val="Текст сноски Знак"/>
    <w:link w:val="956"/>
    <w:uiPriority w:val="99"/>
    <w:pPr>
      <w:pBdr/>
      <w:spacing/>
      <w:ind/>
    </w:pPr>
  </w:style>
  <w:style w:type="numbering" w:styleId="1031" w:customStyle="1">
    <w:name w:val="Стиль1"/>
    <w:uiPriority w:val="99"/>
    <w:pPr>
      <w:numPr>
        <w:numId w:val="3"/>
      </w:numPr>
      <w:pBdr/>
      <w:spacing/>
      <w:ind/>
    </w:pPr>
  </w:style>
  <w:style w:type="paragraph" w:styleId="1032" w:customStyle="1">
    <w:name w:val="Таблица"/>
    <w:basedOn w:val="940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character" w:styleId="1033" w:customStyle="1">
    <w:name w:val="Основной текст Знак"/>
    <w:link w:val="966"/>
    <w:pPr>
      <w:pBdr/>
      <w:spacing/>
      <w:ind/>
    </w:pPr>
    <w:rPr>
      <w:sz w:val="28"/>
      <w:szCs w:val="28"/>
    </w:rPr>
  </w:style>
  <w:style w:type="character" w:styleId="1034" w:customStyle="1">
    <w:name w:val="blk"/>
    <w:pPr>
      <w:pBdr/>
      <w:spacing/>
      <w:ind/>
    </w:pPr>
  </w:style>
  <w:style w:type="numbering" w:styleId="1035" w:customStyle="1">
    <w:name w:val="Стиль2"/>
    <w:uiPriority w:val="99"/>
    <w:pPr>
      <w:numPr>
        <w:numId w:val="5"/>
      </w:numPr>
      <w:pBdr/>
      <w:spacing/>
      <w:ind/>
    </w:pPr>
  </w:style>
  <w:style w:type="paragraph" w:styleId="1036" w:customStyle="1">
    <w:name w:val="Таблица шапка"/>
    <w:basedOn w:val="940"/>
    <w:pPr>
      <w:keepNext w:val="true"/>
      <w:pBdr/>
      <w:spacing w:after="40" w:before="40"/>
      <w:ind w:right="57" w:left="57"/>
    </w:pPr>
    <w:rPr>
      <w:sz w:val="22"/>
      <w:szCs w:val="26"/>
    </w:rPr>
  </w:style>
  <w:style w:type="character" w:styleId="1037" w:customStyle="1">
    <w:name w:val="Абзац списка Знак"/>
    <w:link w:val="1007"/>
    <w:uiPriority w:val="34"/>
    <w:pPr>
      <w:pBdr/>
      <w:spacing/>
      <w:ind/>
    </w:pPr>
    <w:rPr>
      <w:rFonts w:eastAsia="Calibri"/>
      <w:sz w:val="24"/>
      <w:szCs w:val="24"/>
    </w:rPr>
  </w:style>
  <w:style w:type="character" w:styleId="1038" w:customStyle="1">
    <w:name w:val="комментарий"/>
    <w:pPr>
      <w:pBdr/>
      <w:spacing/>
      <w:ind/>
    </w:pPr>
    <w:rPr>
      <w:b/>
      <w:i/>
      <w:shd w:val="clear" w:color="auto" w:fill="ffff99"/>
    </w:rPr>
  </w:style>
  <w:style w:type="paragraph" w:styleId="1039" w:customStyle="1">
    <w:name w:val="Подподпункт"/>
    <w:basedOn w:val="972"/>
    <w:link w:val="1040"/>
    <w:pPr>
      <w:pBdr/>
      <w:tabs>
        <w:tab w:val="clear" w:leader="none" w:pos="1134"/>
        <w:tab w:val="num" w:leader="none" w:pos="5104"/>
      </w:tabs>
      <w:spacing w:before="120" w:line="240" w:lineRule="auto"/>
      <w:ind w:hanging="567" w:left="5104"/>
    </w:pPr>
    <w:rPr>
      <w:sz w:val="26"/>
      <w:szCs w:val="26"/>
      <w:lang w:val="ru-RU" w:eastAsia="ru-RU"/>
    </w:rPr>
  </w:style>
  <w:style w:type="character" w:styleId="1040" w:customStyle="1">
    <w:name w:val="Подподпункт Знак"/>
    <w:link w:val="1039"/>
    <w:pPr>
      <w:pBdr/>
      <w:spacing/>
      <w:ind/>
    </w:pPr>
    <w:rPr>
      <w:sz w:val="26"/>
      <w:szCs w:val="26"/>
    </w:rPr>
  </w:style>
  <w:style w:type="paragraph" w:styleId="1041" w:customStyle="1">
    <w:name w:val="УРОВЕНЬ_(а)"/>
    <w:basedOn w:val="1007"/>
    <w:qFormat/>
    <w:pPr>
      <w:numPr>
        <w:ilvl w:val="3"/>
        <w:numId w:val="6"/>
      </w:numPr>
      <w:pBdr/>
      <w:spacing w:before="120" w:line="360" w:lineRule="exact"/>
      <w:ind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042" w:customStyle="1">
    <w:name w:val="УРОВЕНЬ_-"/>
    <w:basedOn w:val="1007"/>
    <w:qFormat/>
    <w:pPr>
      <w:numPr>
        <w:ilvl w:val="4"/>
        <w:numId w:val="6"/>
      </w:numPr>
      <w:pBdr/>
      <w:spacing w:before="120" w:line="360" w:lineRule="exact"/>
      <w:ind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1043" w:customStyle="1">
    <w:name w:val="УРОВЕНЬ_Абзац_тип2"/>
    <w:basedOn w:val="1007"/>
    <w:qFormat/>
    <w:pPr>
      <w:numPr>
        <w:ilvl w:val="6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1044" w:customStyle="1">
    <w:name w:val="УРОВЕНЬ_Абзац_тип3"/>
    <w:basedOn w:val="1007"/>
    <w:link w:val="1046"/>
    <w:qFormat/>
    <w:pPr>
      <w:numPr>
        <w:ilvl w:val="7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1045" w:customStyle="1">
    <w:name w:val="УРОВЕНЬ_Подпись"/>
    <w:basedOn w:val="1007"/>
    <w:qFormat/>
    <w:pPr>
      <w:keepNext w:val="true"/>
      <w:numPr>
        <w:ilvl w:val="5"/>
        <w:numId w:val="6"/>
      </w:numPr>
      <w:pBdr/>
      <w:spacing w:after="120" w:before="120" w:line="360" w:lineRule="exact"/>
      <w:ind/>
      <w:contextualSpacing w:val="false"/>
      <w:jc w:val="right"/>
      <w:outlineLvl w:val="3"/>
    </w:pPr>
    <w:rPr>
      <w:sz w:val="26"/>
      <w:szCs w:val="28"/>
      <w:lang w:eastAsia="en-US"/>
    </w:rPr>
  </w:style>
  <w:style w:type="character" w:styleId="1046" w:customStyle="1">
    <w:name w:val="УРОВЕНЬ_Абзац_тип3 Знак"/>
    <w:link w:val="1044"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1047" w:customStyle="1">
    <w:name w:val="Верхний колонтитул Знак"/>
    <w:link w:val="962"/>
    <w:uiPriority w:val="99"/>
    <w:pPr>
      <w:pBdr/>
      <w:spacing/>
      <w:ind/>
    </w:pPr>
    <w:rPr>
      <w:sz w:val="24"/>
      <w:szCs w:val="24"/>
    </w:rPr>
  </w:style>
  <w:style w:type="character" w:styleId="1048" w:customStyle="1">
    <w:name w:val="Текст примечания Знак"/>
    <w:link w:val="983"/>
    <w:semiHidden/>
    <w:pPr>
      <w:pBdr/>
      <w:spacing/>
      <w:ind/>
    </w:pPr>
  </w:style>
  <w:style w:type="paragraph" w:styleId="1049" w:customStyle="1">
    <w:name w:val="Стиль Заголовок 1 + по ширине"/>
    <w:basedOn w:val="941"/>
    <w:pPr>
      <w:keepLines w:val="true"/>
      <w:numPr>
        <w:numId w:val="0"/>
      </w:numPr>
      <w:pBdr/>
      <w:tabs>
        <w:tab w:val="num" w:leader="none" w:pos="567"/>
      </w:tabs>
      <w:spacing w:after="240" w:before="48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1050">
    <w:name w:val="endnote text"/>
    <w:basedOn w:val="940"/>
    <w:link w:val="1051"/>
    <w:pPr>
      <w:pBdr/>
      <w:spacing/>
      <w:ind/>
    </w:pPr>
    <w:rPr>
      <w:sz w:val="20"/>
      <w:szCs w:val="20"/>
    </w:rPr>
  </w:style>
  <w:style w:type="character" w:styleId="1051" w:customStyle="1">
    <w:name w:val="Текст концевой сноски Знак"/>
    <w:basedOn w:val="950"/>
    <w:link w:val="1050"/>
    <w:pPr>
      <w:pBdr/>
      <w:spacing/>
      <w:ind/>
    </w:pPr>
  </w:style>
  <w:style w:type="character" w:styleId="1052">
    <w:name w:val="endnote reference"/>
    <w:basedOn w:val="950"/>
    <w:pPr>
      <w:pBdr/>
      <w:spacing/>
      <w:ind/>
    </w:pPr>
    <w:rPr>
      <w:vertAlign w:val="superscript"/>
    </w:rPr>
  </w:style>
  <w:style w:type="paragraph" w:styleId="1053" w:customStyle="1">
    <w:name w:val="Заголовок 2 КВВ"/>
    <w:basedOn w:val="940"/>
    <w:qFormat/>
    <w:pPr>
      <w:keepNext w:val="true"/>
      <w:numPr>
        <w:numId w:val="7"/>
      </w:numPr>
      <w:pBdr/>
      <w:spacing w:after="120" w:before="120"/>
      <w:ind/>
      <w:jc w:val="both"/>
      <w:outlineLvl w:val="0"/>
    </w:pPr>
    <w:rPr>
      <w:b/>
      <w:sz w:val="24"/>
      <w:szCs w:val="20"/>
    </w:rPr>
  </w:style>
  <w:style w:type="character" w:styleId="1054" w:customStyle="1">
    <w:name w:val="Пункт2 Знак"/>
    <w:link w:val="973"/>
    <w:pPr>
      <w:pBdr/>
      <w:spacing/>
      <w:ind/>
    </w:pPr>
    <w:rPr>
      <w:b/>
      <w:sz w:val="28"/>
    </w:rPr>
  </w:style>
  <w:style w:type="paragraph" w:styleId="1055" w:customStyle="1">
    <w:name w:val="Таблица текст"/>
    <w:basedOn w:val="940"/>
    <w:pPr>
      <w:pBdr/>
      <w:spacing w:after="40" w:before="40"/>
      <w:ind w:right="57" w:left="57"/>
    </w:pPr>
    <w:rPr>
      <w:sz w:val="24"/>
      <w:szCs w:val="26"/>
    </w:rPr>
  </w:style>
  <w:style w:type="paragraph" w:styleId="1056">
    <w:name w:val="Normal (Web)"/>
    <w:basedOn w:val="940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057" w:customStyle="1">
    <w:name w:val="УРОВЕНЬ_1."/>
    <w:basedOn w:val="1007"/>
    <w:link w:val="1058"/>
    <w:qFormat/>
    <w:pPr>
      <w:keepNext w:val="true"/>
      <w:keepLines w:val="true"/>
      <w:pBdr/>
      <w:spacing w:after="120" w:before="240" w:line="276" w:lineRule="auto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character" w:styleId="1058" w:customStyle="1">
    <w:name w:val="УРОВЕНЬ_1. Знак"/>
    <w:link w:val="1057"/>
    <w:pPr>
      <w:pBdr/>
      <w:spacing/>
      <w:ind/>
    </w:pPr>
    <w:rPr>
      <w:rFonts w:eastAsia="Calibri"/>
      <w:caps/>
      <w:sz w:val="28"/>
      <w:szCs w:val="28"/>
      <w:lang w:eastAsia="en-US"/>
    </w:rPr>
  </w:style>
  <w:style w:type="table" w:styleId="1059" w:customStyle="1">
    <w:name w:val="Сетка таблицы1"/>
    <w:basedOn w:val="951"/>
    <w:next w:val="964"/>
    <w:uiPriority w:val="39"/>
    <w:pPr>
      <w:pBdr/>
      <w:spacing/>
      <w:ind/>
    </w:pPr>
    <w:rPr>
      <w:rFonts w:asciiTheme="minorHAnsi" w:hAnsiTheme="minorHAnsi" w:eastAsiaTheme="minorHAnsi" w:cstheme="minorBidi"/>
      <w:sz w:val="24"/>
      <w:szCs w:val="24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60">
    <w:name w:val="toc 6"/>
    <w:basedOn w:val="940"/>
    <w:next w:val="940"/>
    <w:unhideWhenUsed/>
    <w:pPr>
      <w:pBdr/>
      <w:spacing/>
      <w:ind w:left="1120"/>
    </w:pPr>
    <w:rPr>
      <w:rFonts w:asciiTheme="minorHAnsi" w:hAnsiTheme="minorHAnsi" w:cstheme="minorHAnsi"/>
      <w:sz w:val="20"/>
      <w:szCs w:val="20"/>
    </w:rPr>
  </w:style>
  <w:style w:type="paragraph" w:styleId="1061">
    <w:name w:val="toc 7"/>
    <w:basedOn w:val="940"/>
    <w:next w:val="940"/>
    <w:unhideWhenUsed/>
    <w:pPr>
      <w:pBdr/>
      <w:spacing/>
      <w:ind w:left="1400"/>
    </w:pPr>
    <w:rPr>
      <w:rFonts w:asciiTheme="minorHAnsi" w:hAnsiTheme="minorHAnsi" w:cstheme="minorHAnsi"/>
      <w:sz w:val="20"/>
      <w:szCs w:val="20"/>
    </w:rPr>
  </w:style>
  <w:style w:type="paragraph" w:styleId="1062">
    <w:name w:val="toc 8"/>
    <w:basedOn w:val="940"/>
    <w:next w:val="940"/>
    <w:unhideWhenUsed/>
    <w:pPr>
      <w:pBdr/>
      <w:spacing/>
      <w:ind w:left="1680"/>
    </w:pPr>
    <w:rPr>
      <w:rFonts w:asciiTheme="minorHAnsi" w:hAnsiTheme="minorHAnsi" w:cstheme="minorHAnsi"/>
      <w:sz w:val="20"/>
      <w:szCs w:val="20"/>
    </w:rPr>
  </w:style>
  <w:style w:type="character" w:styleId="1063" w:customStyle="1">
    <w:name w:val="Неразрешенное упоминание1"/>
    <w:basedOn w:val="95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64" w:customStyle="1">
    <w:name w:val="Основной текст с отступом 3 Знак"/>
    <w:link w:val="969"/>
    <w:pPr>
      <w:pBdr/>
      <w:spacing/>
      <w:ind/>
    </w:pPr>
    <w:rPr>
      <w:sz w:val="16"/>
      <w:szCs w:val="16"/>
    </w:rPr>
  </w:style>
  <w:style w:type="table" w:styleId="1065" w:customStyle="1">
    <w:name w:val="Table Grid"/>
    <w:pPr>
      <w:pBdr/>
      <w:spacing/>
      <w:ind/>
    </w:pPr>
    <w:rPr>
      <w:rFonts w:ascii="Calibri" w:hAnsi="Calibri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66" w:customStyle="1">
    <w:name w:val="Нижний колонтитул Знак"/>
    <w:basedOn w:val="950"/>
    <w:link w:val="965"/>
    <w:uiPriority w:val="99"/>
    <w:pPr>
      <w:pBdr/>
      <w:spacing/>
      <w:ind/>
    </w:pPr>
    <w:rPr>
      <w:sz w:val="28"/>
      <w:szCs w:val="28"/>
    </w:rPr>
  </w:style>
  <w:style w:type="character" w:styleId="1067" w:customStyle="1">
    <w:name w:val="Основной текст (5)_"/>
    <w:basedOn w:val="950"/>
    <w:link w:val="1073"/>
    <w:pPr>
      <w:pBdr/>
      <w:spacing/>
      <w:ind/>
    </w:pPr>
    <w:rPr>
      <w:shd w:val="clear" w:color="auto" w:fill="ffffff"/>
    </w:rPr>
  </w:style>
  <w:style w:type="character" w:styleId="1068" w:customStyle="1">
    <w:name w:val="Основной текст (11)_"/>
    <w:basedOn w:val="950"/>
    <w:link w:val="1074"/>
    <w:pPr>
      <w:pBdr/>
      <w:spacing/>
      <w:ind/>
    </w:pPr>
    <w:rPr>
      <w:sz w:val="19"/>
      <w:szCs w:val="19"/>
      <w:shd w:val="clear" w:color="auto" w:fill="ffffff"/>
    </w:rPr>
  </w:style>
  <w:style w:type="character" w:styleId="1069" w:customStyle="1">
    <w:name w:val="Заголовок №2_"/>
    <w:basedOn w:val="950"/>
    <w:link w:val="1075"/>
    <w:pPr>
      <w:pBdr/>
      <w:spacing/>
      <w:ind/>
    </w:pPr>
    <w:rPr>
      <w:sz w:val="26"/>
      <w:szCs w:val="26"/>
      <w:shd w:val="clear" w:color="auto" w:fill="ffffff"/>
    </w:rPr>
  </w:style>
  <w:style w:type="character" w:styleId="1070" w:customStyle="1">
    <w:name w:val="Основной текст (12)_"/>
    <w:basedOn w:val="950"/>
    <w:link w:val="1076"/>
    <w:pPr>
      <w:pBdr/>
      <w:spacing/>
      <w:ind/>
    </w:pPr>
    <w:rPr>
      <w:b/>
      <w:bCs/>
      <w:sz w:val="30"/>
      <w:szCs w:val="30"/>
      <w:shd w:val="clear" w:color="auto" w:fill="ffffff"/>
    </w:rPr>
  </w:style>
  <w:style w:type="character" w:styleId="1071" w:customStyle="1">
    <w:name w:val="Основной текст (13)_"/>
    <w:basedOn w:val="950"/>
    <w:link w:val="1077"/>
    <w:pPr>
      <w:pBdr/>
      <w:spacing/>
      <w:ind/>
    </w:pPr>
    <w:rPr>
      <w:b/>
      <w:bCs/>
      <w:shd w:val="clear" w:color="auto" w:fill="ffffff"/>
    </w:rPr>
  </w:style>
  <w:style w:type="character" w:styleId="1072" w:customStyle="1">
    <w:name w:val="Основной текст (13) + Интервал 1 pt"/>
    <w:basedOn w:val="1071"/>
    <w:pPr>
      <w:pBdr/>
      <w:spacing/>
      <w:ind/>
    </w:pPr>
    <w:rPr>
      <w:b/>
      <w:bCs/>
      <w:color w:val="000000"/>
      <w:spacing w:val="30"/>
      <w:position w:val="0"/>
      <w:shd w:val="clear" w:color="auto" w:fill="ffffff"/>
      <w:lang w:val="ru-RU" w:eastAsia="ru-RU" w:bidi="ru-RU"/>
    </w:rPr>
  </w:style>
  <w:style w:type="paragraph" w:styleId="1073" w:customStyle="1">
    <w:name w:val="Основной текст (5)"/>
    <w:basedOn w:val="940"/>
    <w:link w:val="1067"/>
    <w:pPr>
      <w:widowControl w:val="false"/>
      <w:pBdr/>
      <w:shd w:val="clear" w:color="auto" w:fill="ffffff"/>
      <w:spacing w:after="120" w:before="120" w:line="0" w:lineRule="atLeast"/>
      <w:ind/>
      <w:jc w:val="both"/>
    </w:pPr>
    <w:rPr>
      <w:sz w:val="20"/>
      <w:szCs w:val="20"/>
    </w:rPr>
  </w:style>
  <w:style w:type="paragraph" w:styleId="1074" w:customStyle="1">
    <w:name w:val="Основной текст (11)"/>
    <w:basedOn w:val="940"/>
    <w:link w:val="1068"/>
    <w:pPr>
      <w:widowControl w:val="false"/>
      <w:pBdr/>
      <w:shd w:val="clear" w:color="auto" w:fill="ffffff"/>
      <w:spacing w:after="60" w:line="0" w:lineRule="atLeast"/>
      <w:ind/>
    </w:pPr>
    <w:rPr>
      <w:sz w:val="19"/>
      <w:szCs w:val="19"/>
    </w:rPr>
  </w:style>
  <w:style w:type="paragraph" w:styleId="1075" w:customStyle="1">
    <w:name w:val="Заголовок №2"/>
    <w:basedOn w:val="940"/>
    <w:link w:val="1069"/>
    <w:pPr>
      <w:widowControl w:val="false"/>
      <w:pBdr/>
      <w:shd w:val="clear" w:color="auto" w:fill="ffffff"/>
      <w:spacing w:line="0" w:lineRule="atLeast"/>
      <w:ind/>
      <w:outlineLvl w:val="1"/>
    </w:pPr>
    <w:rPr>
      <w:sz w:val="26"/>
      <w:szCs w:val="26"/>
    </w:rPr>
  </w:style>
  <w:style w:type="paragraph" w:styleId="1076" w:customStyle="1">
    <w:name w:val="Основной текст (12)"/>
    <w:basedOn w:val="940"/>
    <w:link w:val="1070"/>
    <w:pPr>
      <w:widowControl w:val="false"/>
      <w:pBdr/>
      <w:shd w:val="clear" w:color="auto" w:fill="ffffff"/>
      <w:spacing w:after="300" w:before="360" w:line="0" w:lineRule="atLeast"/>
      <w:ind/>
    </w:pPr>
    <w:rPr>
      <w:b/>
      <w:bCs/>
      <w:sz w:val="30"/>
      <w:szCs w:val="30"/>
    </w:rPr>
  </w:style>
  <w:style w:type="paragraph" w:styleId="1077" w:customStyle="1">
    <w:name w:val="Основной текст (13)"/>
    <w:basedOn w:val="940"/>
    <w:link w:val="1071"/>
    <w:pPr>
      <w:widowControl w:val="false"/>
      <w:pBdr/>
      <w:shd w:val="clear" w:color="auto" w:fill="ffffff"/>
      <w:spacing w:after="120" w:before="300" w:line="264" w:lineRule="exact"/>
      <w:ind/>
      <w:jc w:val="center"/>
    </w:pPr>
    <w:rPr>
      <w:b/>
      <w:bCs/>
      <w:sz w:val="20"/>
      <w:szCs w:val="20"/>
    </w:rPr>
  </w:style>
  <w:style w:type="character" w:styleId="1078">
    <w:name w:val="line number"/>
    <w:basedOn w:val="950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FF0B4-0597-468D-8160-E2A1E14C5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Microsoft</Company>
  <DocSecurity>4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revision>4</cp:revision>
  <dcterms:created xsi:type="dcterms:W3CDTF">2024-09-04T06:43:00Z</dcterms:created>
  <dcterms:modified xsi:type="dcterms:W3CDTF">2026-09-23T06:54:28Z</dcterms:modified>
</cp:coreProperties>
</file>