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word/header4.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clear" w:pos="709"/>
          <w:tab w:val="left" w:pos="3148" w:leader="none"/>
          <w:tab w:val="center" w:pos="4818" w:leader="none"/>
          <w:tab w:val="left" w:pos="6926" w:leader="none"/>
        </w:tabs>
        <w:spacing w:lineRule="auto" w:line="240"/>
        <w:ind w:hanging="0"/>
        <w:jc w:val="center"/>
        <w:rPr>
          <w:b/>
          <w:b/>
          <w:sz w:val="24"/>
          <w:szCs w:val="24"/>
        </w:rPr>
      </w:pPr>
      <w:r>
        <w:rPr>
          <w:b/>
          <w:bCs/>
          <w:color w:val="000000"/>
          <w:sz w:val="24"/>
          <w:szCs w:val="24"/>
        </w:rPr>
        <w:t>Договор субподряда № ____</w:t>
      </w:r>
    </w:p>
    <w:p>
      <w:pPr>
        <w:pStyle w:val="Normal"/>
        <w:shd w:val="clear" w:color="auto" w:fill="FFFFFF"/>
        <w:spacing w:lineRule="auto" w:line="240"/>
        <w:ind w:hanging="0"/>
        <w:rPr>
          <w:b/>
          <w:b/>
          <w:bCs/>
          <w:color w:val="000000"/>
          <w:sz w:val="24"/>
          <w:szCs w:val="24"/>
        </w:rPr>
      </w:pPr>
      <w:r>
        <w:rPr>
          <w:b/>
          <w:bCs/>
          <w:color w:val="000000"/>
          <w:sz w:val="24"/>
          <w:szCs w:val="24"/>
        </w:rPr>
      </w:r>
    </w:p>
    <w:p>
      <w:pPr>
        <w:pStyle w:val="Normal"/>
        <w:shd w:val="clear" w:color="auto" w:fill="FFFFFF"/>
        <w:tabs>
          <w:tab w:val="clear" w:pos="709"/>
          <w:tab w:val="right" w:pos="993" w:leader="none"/>
        </w:tabs>
        <w:spacing w:lineRule="auto" w:line="240"/>
        <w:ind w:hanging="0"/>
        <w:rPr>
          <w:bCs/>
          <w:color w:val="000000"/>
          <w:sz w:val="24"/>
          <w:szCs w:val="24"/>
        </w:rPr>
      </w:pPr>
      <w:r>
        <w:rPr>
          <w:bCs/>
          <w:color w:val="000000"/>
          <w:sz w:val="24"/>
          <w:szCs w:val="24"/>
        </w:rPr>
        <w:t xml:space="preserve">г. Санкт-Петербург </w:t>
        <w:tab/>
        <w:tab/>
        <w:tab/>
        <w:tab/>
        <w:tab/>
        <w:tab/>
        <w:t xml:space="preserve">                    </w:t>
      </w:r>
      <w:r>
        <w:rPr>
          <w:bCs/>
          <w:sz w:val="24"/>
          <w:szCs w:val="24"/>
        </w:rPr>
        <w:t>«___» ___________ 2026 г.</w:t>
      </w:r>
    </w:p>
    <w:p>
      <w:pPr>
        <w:pStyle w:val="Normal"/>
        <w:shd w:val="clear" w:color="auto" w:fill="FFFFFF"/>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auto"/>
        </w:rPr>
      </w:pPr>
      <w:r>
        <w:rPr>
          <w:b/>
          <w:color w:val="auto"/>
        </w:rPr>
        <w:t>Акционерное общество «Всероссийский научно-исследовательский институт гидротехники имени Б.Е. Веденеева» (АО «ВНИИГ им. Б.Е. Веденеева»)</w:t>
      </w:r>
      <w:r>
        <w:rPr>
          <w:b/>
          <w:color w:val="auto"/>
          <w:lang w:val="ru-RU"/>
        </w:rPr>
        <w:t xml:space="preserve">, </w:t>
      </w:r>
      <w:r>
        <w:rPr>
          <w:color w:val="auto"/>
        </w:rPr>
        <w:t xml:space="preserve">  (далее – «Генподрядч</w:t>
      </w:r>
      <w:r>
        <w:rPr>
          <w:color w:val="000000"/>
          <w:shd w:fill="auto" w:val="clear"/>
        </w:rPr>
        <w:t xml:space="preserve">ик»), в лице _______________ действующего на основании ______________, с одной стороны, и </w:t>
      </w:r>
    </w:p>
    <w:p>
      <w:pPr>
        <w:pStyle w:val="BodyText3"/>
        <w:ind w:firstLine="708"/>
        <w:rPr>
          <w:shd w:fill="auto" w:val="clear"/>
        </w:rPr>
      </w:pPr>
      <w:r>
        <w:rPr>
          <w:color w:val="000000"/>
          <w:shd w:fill="auto" w:val="clear"/>
        </w:rPr>
        <w:t xml:space="preserve">________________________ (далее – «Субподрядчик»), в лице ________________, действующего на основании ______________, с другой стороны, </w:t>
      </w:r>
    </w:p>
    <w:p>
      <w:pPr>
        <w:pStyle w:val="BodyText3"/>
        <w:rPr>
          <w:shd w:fill="auto" w:val="clear"/>
        </w:rPr>
      </w:pPr>
      <w:r>
        <w:rPr>
          <w:color w:val="000000"/>
          <w:shd w:fill="auto" w:val="clear"/>
        </w:rPr>
        <w:t>совместно в дальнейшем именуемые «Стороны», а по отдельности – «Сторона», заключили настоящий договор (далее – «Договор») о нижеследующем:</w:t>
      </w:r>
    </w:p>
    <w:p>
      <w:pPr>
        <w:pStyle w:val="ListParagraph"/>
        <w:shd w:val="clear" w:color="auto" w:fill="FFFFFF"/>
        <w:tabs>
          <w:tab w:val="clear" w:pos="709"/>
          <w:tab w:val="left" w:pos="284" w:leader="none"/>
        </w:tabs>
        <w:ind w:left="0" w:hanging="0"/>
        <w:jc w:val="center"/>
        <w:rPr>
          <w:b/>
          <w:b/>
          <w:bCs/>
        </w:rPr>
      </w:pPr>
      <w:r>
        <w:rPr>
          <w:b/>
          <w:bCs/>
        </w:rPr>
      </w:r>
    </w:p>
    <w:p>
      <w:pPr>
        <w:pStyle w:val="ListParagraph"/>
        <w:shd w:val="clear" w:color="auto" w:fill="FFFFFF"/>
        <w:tabs>
          <w:tab w:val="clear" w:pos="709"/>
          <w:tab w:val="left" w:pos="284" w:leader="none"/>
        </w:tabs>
        <w:ind w:left="0" w:hanging="0"/>
        <w:jc w:val="center"/>
        <w:rPr>
          <w:b/>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9"/>
          <w:tab w:val="left" w:pos="567" w:leader="none"/>
          <w:tab w:val="left" w:pos="1134" w:leader="none"/>
        </w:tabs>
        <w:ind w:left="0" w:firstLine="708"/>
        <w:jc w:val="both"/>
        <w:rPr>
          <w:lang w:eastAsia="en-US"/>
        </w:rPr>
      </w:pPr>
      <w:r>
        <w:rPr>
          <w:b/>
          <w:lang w:eastAsia="en-US"/>
        </w:rPr>
        <w:t>«Договор»</w:t>
      </w:r>
      <w:r>
        <w:rPr>
          <w:lang w:eastAsia="en-US"/>
        </w:rPr>
        <w:t xml:space="preserve"> – настоящий договор, подписанный Генподрядчиком и Субподрядчиком,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ind w:left="0" w:firstLine="709"/>
        <w:jc w:val="both"/>
        <w:rPr>
          <w:lang w:eastAsia="en-US"/>
        </w:rPr>
      </w:pPr>
      <w:r>
        <w:rPr>
          <w:b/>
          <w:lang w:eastAsia="en-US"/>
        </w:rPr>
        <w:t>«Исходно-разрешительная документация»</w:t>
      </w:r>
      <w:r>
        <w:rP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проведения Инженерных изысканий и обеспечения разработки Проектной документации. </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lang w:eastAsia="en-US"/>
        </w:rPr>
      </w:pPr>
      <w:r>
        <w:rPr>
          <w:sz w:val="24"/>
          <w:szCs w:val="24"/>
          <w:lang w:eastAsia="en-US"/>
        </w:rPr>
        <w:t>К Исходно-разрешительной документации относятся:</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документы кадастрового учета и т.п.);  </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технические условия на подключение к инженерным сетям и / или коммуникациям;</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разрешительные и / или распорядительные документы;</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справки, заключения, согласования.</w:t>
      </w:r>
    </w:p>
    <w:p>
      <w:pPr>
        <w:pStyle w:val="ListParagraph"/>
        <w:widowControl w:val="false"/>
        <w:shd w:val="clear" w:color="auto" w:fill="FFFFFF"/>
        <w:tabs>
          <w:tab w:val="clear" w:pos="709"/>
          <w:tab w:val="left" w:pos="567" w:leader="none"/>
          <w:tab w:val="left" w:pos="1134" w:leader="none"/>
        </w:tabs>
        <w:ind w:left="0" w:firstLine="708"/>
        <w:jc w:val="both"/>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9"/>
          <w:tab w:val="left" w:pos="567" w:leader="none"/>
          <w:tab w:val="left" w:pos="1134" w:leader="none"/>
        </w:tabs>
        <w:ind w:left="0" w:firstLine="708"/>
        <w:jc w:val="both"/>
        <w:rPr>
          <w:lang w:eastAsia="en-US"/>
        </w:rPr>
      </w:pPr>
      <w:r>
        <w:rPr>
          <w:b/>
          <w:lang w:eastAsia="en-US"/>
        </w:rPr>
        <w:t>«Лимит на непредвиденные работы и затраты»</w:t>
      </w:r>
      <w:r>
        <w:rPr>
          <w:lang w:eastAsia="en-US"/>
        </w:rPr>
        <w:t xml:space="preserve"> – резерв средств на работы </w:t>
        <w:br/>
        <w:t xml:space="preserve">и затраты, предназначенный для возмещения стоимости работ и затрат, потребность </w:t>
        <w:br/>
        <w:t>в которых возникает у Субподрядчика в процессе выполнения Работ по Договору в результате уточнения проектных решений и / или условий выполнения Работ.</w:t>
      </w:r>
    </w:p>
    <w:p>
      <w:pPr>
        <w:pStyle w:val="ListParagraph"/>
        <w:widowControl w:val="false"/>
        <w:shd w:val="clear" w:color="auto" w:fill="FFFFFF"/>
        <w:tabs>
          <w:tab w:val="clear" w:pos="709"/>
          <w:tab w:val="left" w:pos="567" w:leader="none"/>
          <w:tab w:val="left" w:pos="1134" w:leader="none"/>
        </w:tabs>
        <w:ind w:left="0" w:firstLine="708"/>
        <w:jc w:val="both"/>
        <w:rPr>
          <w:lang w:eastAsia="en-US"/>
        </w:rPr>
      </w:pPr>
      <w:r>
        <w:rPr>
          <w:b/>
          <w:lang w:eastAsia="en-US"/>
        </w:rPr>
        <w:t xml:space="preserve"> </w:t>
      </w: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spacing w:lineRule="auto" w:line="240"/>
        <w:ind w:firstLine="709"/>
        <w:rPr>
          <w:sz w:val="24"/>
          <w:szCs w:val="24"/>
        </w:rPr>
      </w:pPr>
      <w:r>
        <w:rPr>
          <w:b/>
          <w:sz w:val="24"/>
          <w:szCs w:val="24"/>
        </w:rPr>
        <w:t xml:space="preserve"> </w:t>
      </w:r>
      <w:r>
        <w:rPr>
          <w:b/>
          <w:sz w:val="24"/>
          <w:szCs w:val="24"/>
        </w:rPr>
        <w:t>«Предварительная смета»</w:t>
      </w:r>
      <w:r>
        <w:rPr>
          <w:sz w:val="24"/>
          <w:szCs w:val="24"/>
        </w:rPr>
        <w:t xml:space="preserve"> </w:t>
      </w:r>
      <w:r>
        <w:rPr>
          <w:sz w:val="24"/>
          <w:szCs w:val="24"/>
          <w:lang w:eastAsia="en-US"/>
        </w:rPr>
        <w:t>–</w:t>
      </w:r>
      <w:r>
        <w:rPr>
          <w:sz w:val="24"/>
          <w:szCs w:val="24"/>
        </w:rPr>
        <w:t xml:space="preserve"> </w:t>
      </w:r>
      <w:r>
        <w:rPr>
          <w:color w:val="000000"/>
          <w:sz w:val="24"/>
          <w:szCs w:val="24"/>
        </w:rPr>
        <w:t>сметный расчет стоимости планируемых изыскательских работ, составляемый на основе технического задания Генподрядчика и программы изысканий в соответствии с действующим порядком ценообразования в инженерных изысканиях, составленный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r>
        <w:rPr/>
        <w:t xml:space="preserve"> </w:t>
      </w:r>
      <w:r>
        <w:rPr>
          <w:color w:val="000000"/>
          <w:sz w:val="24"/>
          <w:szCs w:val="24"/>
        </w:rPr>
        <w:t>и подлежащий корректировке в соответствии с фактически выполненными объемами работ.</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«Проектная документация»</w:t>
      </w:r>
      <w:r>
        <w:rPr>
          <w:b w:val="false"/>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b w:val="false"/>
          <w:sz w:val="24"/>
          <w:szCs w:val="24"/>
          <w:lang w:val="ru-RU" w:eastAsia="en-US"/>
        </w:rPr>
        <w:t xml:space="preserve">Состав разделов Проектной документации определяется Применимым правом. </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b w:val="false"/>
          <w:sz w:val="24"/>
          <w:szCs w:val="24"/>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Генподрядчика.</w:t>
      </w:r>
    </w:p>
    <w:p>
      <w:pPr>
        <w:pStyle w:val="3"/>
        <w:keepNext w:val="false"/>
        <w:widowControl w:val="false"/>
        <w:tabs>
          <w:tab w:val="clear" w:pos="709"/>
          <w:tab w:val="left" w:pos="567" w:leader="none"/>
        </w:tabs>
        <w:spacing w:before="0" w:after="0"/>
        <w:ind w:firstLine="708"/>
        <w:jc w:val="both"/>
        <w:rPr>
          <w:sz w:val="24"/>
          <w:szCs w:val="24"/>
          <w:lang w:eastAsia="ru-RU"/>
        </w:rPr>
      </w:pPr>
      <w:r>
        <w:rPr>
          <w:sz w:val="24"/>
          <w:szCs w:val="24"/>
          <w:lang w:val="ru-RU" w:eastAsia="en-US"/>
        </w:rPr>
        <w:t>«Работы»</w:t>
      </w:r>
      <w:r>
        <w:rPr>
          <w:b w:val="false"/>
          <w:sz w:val="24"/>
          <w:szCs w:val="24"/>
          <w:lang w:val="ru-RU" w:eastAsia="en-US"/>
        </w:rPr>
        <w:t xml:space="preserve"> – все выполняемые Субподрядчиком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в </w:t>
      </w:r>
      <w:r>
        <w:rPr>
          <w:b w:val="false"/>
          <w:sz w:val="24"/>
          <w:szCs w:val="24"/>
          <w:lang w:val="ru-RU" w:eastAsia="ru-RU"/>
        </w:rPr>
        <w:t>Результате</w:t>
      </w:r>
      <w:r>
        <w:rPr>
          <w:b w:val="false"/>
          <w:sz w:val="24"/>
          <w:szCs w:val="24"/>
          <w:lang w:eastAsia="ru-RU"/>
        </w:rPr>
        <w:t xml:space="preserve"> </w:t>
      </w:r>
      <w:r>
        <w:rPr>
          <w:b w:val="false"/>
          <w:sz w:val="24"/>
          <w:szCs w:val="24"/>
          <w:lang w:val="ru-RU" w:eastAsia="ru-RU"/>
        </w:rPr>
        <w:t>Работ</w:t>
      </w:r>
      <w:r>
        <w:rPr>
          <w:b w:val="false"/>
          <w:sz w:val="24"/>
          <w:szCs w:val="24"/>
          <w:lang w:eastAsia="ru-RU"/>
        </w:rPr>
        <w:t xml:space="preserve">, а также любые иные работы, необходимые для выполнения Субподрядчиком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Субподрядчика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sz w:val="24"/>
          <w:szCs w:val="24"/>
        </w:rPr>
      </w:pPr>
      <w:r>
        <w:rPr>
          <w:b/>
          <w:sz w:val="24"/>
          <w:szCs w:val="24"/>
        </w:rPr>
        <w:t xml:space="preserve"> </w:t>
      </w:r>
      <w:r>
        <w:rPr>
          <w:b/>
          <w:sz w:val="24"/>
          <w:szCs w:val="24"/>
        </w:rPr>
        <w:t>«Рабочий день»</w:t>
      </w:r>
      <w:r>
        <w:rPr>
          <w:sz w:val="24"/>
          <w:szCs w:val="24"/>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«Результ</w:t>
      </w:r>
      <w:r>
        <w:rPr>
          <w:sz w:val="24"/>
          <w:szCs w:val="24"/>
          <w:shd w:fill="auto" w:val="clear"/>
          <w:lang w:val="ru-RU" w:eastAsia="en-US"/>
        </w:rPr>
        <w:t>ат Работ»</w:t>
      </w:r>
      <w:r>
        <w:rPr>
          <w:b w:val="false"/>
          <w:sz w:val="24"/>
          <w:szCs w:val="24"/>
          <w:shd w:fill="auto" w:val="clear"/>
          <w:lang w:val="ru-RU" w:eastAsia="en-US"/>
        </w:rPr>
        <w:t xml:space="preserve"> – выполненная Субподрядчиком и принятая Генподрядчиком по Акту сдачи-приемки выполненных работ Рабочей документации или иной результат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Субподрядчиком Генподрядчику в составе Результата Работ.</w:t>
      </w:r>
    </w:p>
    <w:p>
      <w:pPr>
        <w:pStyle w:val="Normal"/>
        <w:widowControl w:val="false"/>
        <w:tabs>
          <w:tab w:val="clear" w:pos="709"/>
          <w:tab w:val="left" w:pos="567" w:leader="none"/>
        </w:tabs>
        <w:spacing w:lineRule="auto" w:line="240"/>
        <w:ind w:firstLine="708"/>
        <w:rPr>
          <w:shd w:fill="auto" w:val="clear"/>
        </w:rPr>
      </w:pPr>
      <w:r>
        <w:rPr>
          <w:b/>
          <w:sz w:val="24"/>
          <w:szCs w:val="24"/>
          <w:shd w:fill="auto" w:val="clear"/>
          <w:lang w:eastAsia="en-US"/>
        </w:rPr>
        <w:t xml:space="preserve">«Рабочая документация» – </w:t>
      </w:r>
      <w:r>
        <w:rPr>
          <w:sz w:val="24"/>
          <w:szCs w:val="24"/>
          <w:shd w:fill="auto" w:val="clear"/>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pPr>
        <w:pStyle w:val="ListParagraph"/>
        <w:widowControl w:val="false"/>
        <w:numPr>
          <w:ilvl w:val="0"/>
          <w:numId w:val="8"/>
        </w:numPr>
        <w:shd w:val="clear" w:color="auto" w:fill="FFFFFF"/>
        <w:tabs>
          <w:tab w:val="clear" w:pos="709"/>
          <w:tab w:val="left" w:pos="567" w:leader="none"/>
          <w:tab w:val="left" w:pos="1134" w:leader="none"/>
        </w:tabs>
        <w:overflowPunct w:val="false"/>
        <w:ind w:left="0" w:firstLine="708"/>
        <w:jc w:val="both"/>
        <w:textAlignment w:val="baseline"/>
        <w:rPr>
          <w:shd w:fill="auto" w:val="clear"/>
        </w:rPr>
      </w:pPr>
      <w:r>
        <w:rPr>
          <w:shd w:fill="auto" w:val="clear"/>
          <w:lang w:eastAsia="en-US"/>
        </w:rPr>
        <w:t>рабочие чертежи основного комплекта, спецификации оборудования и изделий;</w:t>
      </w:r>
    </w:p>
    <w:p>
      <w:pPr>
        <w:pStyle w:val="ListParagraph"/>
        <w:widowControl w:val="false"/>
        <w:numPr>
          <w:ilvl w:val="0"/>
          <w:numId w:val="8"/>
        </w:numPr>
        <w:shd w:val="clear" w:color="auto" w:fill="FFFFFF"/>
        <w:tabs>
          <w:tab w:val="clear" w:pos="709"/>
          <w:tab w:val="left" w:pos="567" w:leader="none"/>
          <w:tab w:val="left" w:pos="1134" w:leader="none"/>
        </w:tabs>
        <w:overflowPunct w:val="false"/>
        <w:ind w:left="0" w:firstLine="708"/>
        <w:jc w:val="both"/>
        <w:textAlignment w:val="baseline"/>
        <w:rPr>
          <w:shd w:fill="auto" w:val="clear"/>
        </w:rPr>
      </w:pPr>
      <w:r>
        <w:rPr>
          <w:shd w:fill="auto" w:val="clear"/>
          <w:lang w:eastAsia="en-US"/>
        </w:rPr>
        <w:t>документы, разработанные в дополнение к рабочим чертежам основного комплекта;</w:t>
      </w:r>
    </w:p>
    <w:p>
      <w:pPr>
        <w:pStyle w:val="ListParagraph"/>
        <w:widowControl w:val="false"/>
        <w:numPr>
          <w:ilvl w:val="0"/>
          <w:numId w:val="8"/>
        </w:numPr>
        <w:shd w:val="clear" w:color="auto" w:fill="FFFFFF"/>
        <w:tabs>
          <w:tab w:val="clear" w:pos="709"/>
          <w:tab w:val="left" w:pos="567" w:leader="none"/>
          <w:tab w:val="left" w:pos="1134" w:leader="none"/>
        </w:tabs>
        <w:overflowPunct w:val="false"/>
        <w:ind w:left="0" w:firstLine="708"/>
        <w:jc w:val="both"/>
        <w:textAlignment w:val="baseline"/>
        <w:rPr>
          <w:shd w:fill="auto" w:val="clear"/>
        </w:rPr>
      </w:pPr>
      <w:r>
        <w:rPr>
          <w:b w:val="false"/>
          <w:sz w:val="24"/>
          <w:szCs w:val="24"/>
          <w:shd w:fill="auto" w:val="clear"/>
          <w:lang w:val="ru-RU" w:eastAsia="en-US"/>
        </w:rPr>
        <w:t>сметную документацию.</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 xml:space="preserve"> </w:t>
      </w:r>
      <w:r>
        <w:rPr>
          <w:sz w:val="24"/>
          <w:szCs w:val="24"/>
          <w:lang w:val="ru-RU" w:eastAsia="en-US"/>
        </w:rPr>
        <w:t>«Смета»</w:t>
      </w:r>
      <w:r>
        <w:rPr>
          <w:b w:val="false"/>
          <w:sz w:val="24"/>
          <w:szCs w:val="24"/>
          <w:lang w:val="ru-RU" w:eastAsia="en-US"/>
        </w:rPr>
        <w:t xml:space="preserve"> – сметный расчет стоимости Работ, составляемый в соответствии с требованиями Генподрядчика к оформлению и составлению сметной документации на выполнение Проектных работ.</w:t>
      </w:r>
    </w:p>
    <w:p>
      <w:pPr>
        <w:pStyle w:val="3"/>
        <w:keepNext w:val="false"/>
        <w:widowControl w:val="false"/>
        <w:tabs>
          <w:tab w:val="clear" w:pos="709"/>
          <w:tab w:val="left" w:pos="567" w:leader="none"/>
        </w:tabs>
        <w:spacing w:before="0" w:after="0"/>
        <w:ind w:firstLine="708"/>
        <w:jc w:val="both"/>
        <w:rPr>
          <w:sz w:val="24"/>
          <w:szCs w:val="24"/>
          <w:lang w:eastAsia="en-US"/>
        </w:rPr>
      </w:pPr>
      <w:r>
        <w:rPr>
          <w:sz w:val="24"/>
          <w:szCs w:val="24"/>
          <w:lang w:val="ru-RU" w:eastAsia="en-US"/>
        </w:rPr>
        <w:t>«Сводная смета»</w:t>
      </w:r>
      <w:r>
        <w:rPr>
          <w:b w:val="false"/>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Normal"/>
        <w:spacing w:lineRule="auto" w:line="240"/>
        <w:ind w:firstLine="709"/>
        <w:rPr>
          <w:sz w:val="24"/>
          <w:szCs w:val="24"/>
          <w:lang w:eastAsia="en-US"/>
        </w:rPr>
      </w:pPr>
      <w:r>
        <w:rPr>
          <w:b/>
          <w:sz w:val="24"/>
          <w:szCs w:val="24"/>
          <w:lang w:eastAsia="en-US"/>
        </w:rPr>
        <w:t>«Субъект МСП»</w:t>
      </w:r>
      <w:r>
        <w:rPr>
          <w:sz w:val="24"/>
          <w:szCs w:val="24"/>
          <w:lang w:eastAsia="en-US"/>
        </w:rPr>
        <w:t xml:space="preserve"> – субъект малого и среднего предпринимательства.</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 xml:space="preserve"> </w:t>
      </w:r>
      <w:r>
        <w:rPr>
          <w:sz w:val="24"/>
          <w:szCs w:val="24"/>
          <w:lang w:val="ru-RU" w:eastAsia="en-US"/>
        </w:rPr>
        <w:t>«Субсубподрядчик»</w:t>
      </w:r>
      <w:r>
        <w:rPr>
          <w:b w:val="false"/>
          <w:sz w:val="24"/>
          <w:szCs w:val="24"/>
          <w:lang w:val="ru-RU" w:eastAsia="en-US"/>
        </w:rPr>
        <w:t xml:space="preserve"> – юридическое лицо или индивидуальный предприниматель, нанятые Субподрядчиком посредством заключения договора для выполнения части обязательств Субподрядчика по Договору, в том числе для выполнения любых Работ по Договору.</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указание на состав исходных данных, объем и состав Работ по Договору, а также требования Генподрядчика к выполнению Субподрядчиком Работ по Договору в целом.</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 xml:space="preserve"> </w:t>
      </w: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Генподрядчик обязуется уплатить Субподрядчику в порядке и на условиях, установленных Договором, включающая компенсацию всех издержек Субподрядчика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3"/>
        <w:keepNext w:val="false"/>
        <w:widowControl w:val="false"/>
        <w:tabs>
          <w:tab w:val="clear" w:pos="709"/>
          <w:tab w:val="left" w:pos="567" w:leader="none"/>
        </w:tabs>
        <w:spacing w:before="0" w:after="0"/>
        <w:ind w:firstLine="708"/>
        <w:jc w:val="both"/>
        <w:textAlignment w:val="baseline"/>
        <w:rPr>
          <w:shd w:fill="auto" w:val="clear"/>
        </w:rPr>
      </w:pPr>
      <w:r>
        <w:rPr>
          <w:b/>
          <w:bCs/>
          <w:sz w:val="24"/>
          <w:szCs w:val="24"/>
          <w:shd w:fill="auto" w:val="clear"/>
          <w:lang w:val="ru-RU" w:eastAsia="en-US"/>
        </w:rPr>
        <w:t>«УПД»</w:t>
      </w:r>
      <w:r>
        <w:rPr>
          <w:b w:val="false"/>
          <w:bCs/>
          <w:sz w:val="24"/>
          <w:szCs w:val="24"/>
          <w:shd w:fill="auto" w:val="clear"/>
          <w:lang w:val="ru-RU" w:eastAsia="en-US"/>
        </w:rPr>
        <w:t xml:space="preserve"> – </w:t>
      </w:r>
      <w:r>
        <w:rPr>
          <w:b w:val="false"/>
          <w:sz w:val="24"/>
          <w:szCs w:val="24"/>
          <w:shd w:fill="auto" w:val="clear"/>
          <w:lang w:val="ru-RU" w:eastAsia="en-US"/>
        </w:rPr>
        <w:t>форма документа, рекомендованная для применения письмом ФНС России от 21.10.2013 № ММВ-20-3/96@ и приказом ФНС России от 19 декабря 2023 года № ЕД-7-26/970@</w:t>
      </w:r>
      <w:r>
        <w:rPr>
          <w:rStyle w:val="Style6"/>
          <w:b w:val="false"/>
          <w:sz w:val="24"/>
          <w:szCs w:val="24"/>
          <w:shd w:fill="auto" w:val="clear"/>
          <w:lang w:val="ru-RU" w:eastAsia="en-US"/>
        </w:rPr>
        <w:footnoteReference w:id="2"/>
      </w:r>
      <w:r>
        <w:rPr>
          <w:b w:val="false"/>
          <w:sz w:val="24"/>
          <w:szCs w:val="24"/>
          <w:shd w:fill="auto" w:val="clear"/>
          <w:lang w:val="ru-RU" w:eastAsia="en-US"/>
        </w:rPr>
        <w:t xml:space="preserve"> (объединяет реквизиты счета-фактуры и первичного документа о передаче товаров, работ, услуг).</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b/>
          <w:sz w:val="24"/>
          <w:szCs w:val="24"/>
          <w:lang w:val="ru-RU" w:eastAsia="en-US"/>
        </w:rPr>
        <w:t>«Генеральный договор»</w:t>
      </w:r>
      <w:r>
        <w:rPr>
          <w:b w:val="false"/>
          <w:sz w:val="24"/>
          <w:szCs w:val="24"/>
          <w:lang w:val="ru-RU" w:eastAsia="en-US"/>
        </w:rPr>
        <w:t xml:space="preserve"> – договор САХ-24/1357/1-273-2293 от 28.11.2024г</w:t>
      </w:r>
      <w:r>
        <w:rPr>
          <w:b w:val="false"/>
          <w:sz w:val="24"/>
          <w:lang w:val="ru-RU" w:eastAsia="en-US"/>
        </w:rPr>
        <w:t>.</w:t>
      </w:r>
      <w:r>
        <w:rPr>
          <w:b w:val="false"/>
          <w:sz w:val="24"/>
          <w:szCs w:val="24"/>
          <w:lang w:val="ru-RU" w:eastAsia="en-US"/>
        </w:rPr>
        <w:t>, заключенный между ПАО «Сахалинэнерго» (далее – Заказчик) и Акционерным обществом «Всероссийский научно-исследовательский институт гидротехники имени Б.Е. Веденеева (Генподрядчик).</w:t>
      </w:r>
    </w:p>
    <w:p>
      <w:pPr>
        <w:pStyle w:val="Normal"/>
        <w:shd w:val="clear" w:color="auto" w:fill="FFFFFF"/>
        <w:tabs>
          <w:tab w:val="left" w:pos="567" w:leader="none"/>
          <w:tab w:val="left" w:pos="709" w:leader="none"/>
        </w:tabs>
        <w:spacing w:lineRule="auto" w:line="240"/>
        <w:rPr>
          <w:sz w:val="24"/>
          <w:szCs w:val="24"/>
        </w:rPr>
      </w:pPr>
      <w:r>
        <w:rPr>
          <w:b/>
          <w:sz w:val="24"/>
          <w:szCs w:val="24"/>
        </w:rPr>
        <w:t>«Заказчик» ПАО «Сахалинэнерго».</w:t>
      </w:r>
    </w:p>
    <w:p>
      <w:pPr>
        <w:pStyle w:val="Normal"/>
        <w:spacing w:lineRule="auto" w:line="240"/>
        <w:rPr/>
      </w:pPr>
      <w:r>
        <w:rPr/>
      </w:r>
    </w:p>
    <w:p>
      <w:pPr>
        <w:pStyle w:val="ListParagraph"/>
        <w:numPr>
          <w:ilvl w:val="0"/>
          <w:numId w:val="3"/>
        </w:numPr>
        <w:shd w:val="clear" w:color="auto" w:fill="FFFFFF"/>
        <w:tabs>
          <w:tab w:val="clear" w:pos="709"/>
          <w:tab w:val="left" w:pos="284" w:leader="none"/>
        </w:tabs>
        <w:ind w:left="0" w:hanging="0"/>
        <w:jc w:val="center"/>
        <w:rPr>
          <w:b/>
          <w:b/>
          <w:bCs/>
        </w:rPr>
      </w:pPr>
      <w:r>
        <w:rPr>
          <w:b/>
          <w:bCs/>
        </w:rPr>
        <w:t>Предмет Договора</w:t>
      </w:r>
    </w:p>
    <w:p>
      <w:pPr>
        <w:pStyle w:val="ListParagraph"/>
        <w:numPr>
          <w:ilvl w:val="1"/>
          <w:numId w:val="3"/>
        </w:numPr>
        <w:shd w:val="clear" w:color="auto" w:fill="FFFFFF"/>
        <w:tabs>
          <w:tab w:val="clear" w:pos="709"/>
          <w:tab w:val="left" w:pos="1134" w:leader="none"/>
        </w:tabs>
        <w:ind w:left="0" w:firstLine="567"/>
        <w:jc w:val="both"/>
        <w:rPr>
          <w:bCs/>
        </w:rPr>
      </w:pPr>
      <w:bookmarkStart w:id="0" w:name="_Ref361410951"/>
      <w:r>
        <w:rPr>
          <w:bCs/>
        </w:rPr>
        <w:t xml:space="preserve">Субподрядчик обязуется по заданию Генподрядчика в соответствии с Техническим заданием (Приложение № 1 к Договору) выполнить следующие работы: </w:t>
      </w:r>
      <w:r>
        <w:rPr>
          <w:bCs/>
          <w:sz w:val="24"/>
          <w:szCs w:val="24"/>
        </w:rPr>
        <w:t>«</w:t>
      </w:r>
      <w:r>
        <w:rPr>
          <w:rFonts w:eastAsia="Calibri"/>
          <w:b/>
          <w:bCs/>
          <w:color w:val="000000"/>
          <w:kern w:val="0"/>
          <w:sz w:val="24"/>
          <w:szCs w:val="24"/>
          <w:shd w:fill="auto" w:val="clear"/>
          <w:lang w:val="ru-RU" w:eastAsia="en-US" w:bidi="ar-SA"/>
        </w:rPr>
        <w:t>ОКПД2 71.12.3.  Проведение инженерно-геофизических исследований на прибрежной морской акватории по титулу: «Прямоточная система технического водоснабжения с морским водозабором ковшового типа по объекту «Строительство Сахалинской ГРЭС-2 (расширение)</w:t>
      </w:r>
      <w:r>
        <w:rPr>
          <w:b/>
          <w:bCs/>
          <w:i w:val="false"/>
          <w:strike w:val="false"/>
          <w:dstrike w:val="false"/>
          <w:outline w:val="false"/>
          <w:shadow w:val="false"/>
          <w:sz w:val="24"/>
          <w:szCs w:val="24"/>
          <w:u w:val="none"/>
          <w:em w:val="none"/>
        </w:rPr>
        <w:t>»</w:t>
      </w:r>
      <w:r>
        <w:rPr>
          <w:b/>
          <w:bCs/>
          <w:sz w:val="24"/>
          <w:szCs w:val="24"/>
        </w:rPr>
        <w:t xml:space="preserve"> </w:t>
      </w:r>
      <w:r>
        <w:rPr>
          <w:bCs/>
        </w:rPr>
        <w:t>(далее по тексту – «Работы»), а также сдать Результат работ Генподрядчику, а Генподрядчик обязуется создать Субподрядчику указанные в Договоре условия для выполнения Работ, принять Результат Работ и уплатить Цену Договора.</w:t>
      </w:r>
      <w:bookmarkEnd w:id="0"/>
    </w:p>
    <w:p>
      <w:pPr>
        <w:pStyle w:val="ListParagraph"/>
        <w:numPr>
          <w:ilvl w:val="1"/>
          <w:numId w:val="3"/>
        </w:numPr>
        <w:shd w:val="clear" w:color="auto" w:fill="FFFFFF"/>
        <w:tabs>
          <w:tab w:val="clear" w:pos="709"/>
          <w:tab w:val="left" w:pos="1134" w:leader="none"/>
        </w:tabs>
        <w:ind w:left="0" w:firstLine="567"/>
        <w:jc w:val="both"/>
        <w:rPr>
          <w:bCs/>
        </w:rPr>
      </w:pPr>
      <w:r>
        <w:rPr>
          <w:bCs/>
        </w:rPr>
        <w:t>В состав Работ по Договору входят:</w:t>
      </w:r>
    </w:p>
    <w:p>
      <w:pPr>
        <w:pStyle w:val="ListParagraph"/>
        <w:numPr>
          <w:ilvl w:val="2"/>
          <w:numId w:val="3"/>
        </w:numPr>
        <w:shd w:val="clear" w:color="auto" w:fill="FFFFFF"/>
        <w:tabs>
          <w:tab w:val="clear" w:pos="709"/>
          <w:tab w:val="left" w:pos="1418" w:leader="none"/>
        </w:tabs>
        <w:ind w:left="0" w:firstLine="709"/>
        <w:jc w:val="both"/>
        <w:rPr>
          <w:b w:val="false"/>
          <w:b w:val="false"/>
          <w:bCs w:val="false"/>
        </w:rPr>
      </w:pPr>
      <w:r>
        <w:rPr>
          <w:rFonts w:eastAsia="Calibri"/>
          <w:b w:val="false"/>
          <w:bCs w:val="false"/>
          <w:color w:val="000000"/>
          <w:kern w:val="0"/>
          <w:sz w:val="24"/>
          <w:szCs w:val="24"/>
          <w:shd w:fill="auto" w:val="clear"/>
          <w:lang w:val="ru-RU" w:eastAsia="en-US" w:bidi="ar-SA"/>
        </w:rPr>
        <w:t>Проведение инженерно-геофизических исследований.</w:t>
      </w:r>
    </w:p>
    <w:p>
      <w:pPr>
        <w:pStyle w:val="ListParagraph"/>
        <w:numPr>
          <w:ilvl w:val="1"/>
          <w:numId w:val="3"/>
        </w:numPr>
        <w:shd w:val="clear" w:color="auto" w:fill="FFFFFF"/>
        <w:tabs>
          <w:tab w:val="clear" w:pos="709"/>
          <w:tab w:val="left" w:pos="1134" w:leader="none"/>
        </w:tabs>
        <w:ind w:left="0" w:firstLine="709"/>
        <w:jc w:val="both"/>
        <w:rPr>
          <w:bCs/>
        </w:rPr>
      </w:pPr>
      <w:r>
        <w:rPr>
          <w:bCs/>
        </w:rPr>
        <w:t>Объем и состав Работ по Договору определяется Техническим заданием (Приложение № 1 к Договору). Работы по Договору подлежат выполнению Субподрядчиком в строгом соответствии с требованиями Применимого права и указаниями Генподрядчика.</w:t>
      </w:r>
    </w:p>
    <w:p>
      <w:pPr>
        <w:pStyle w:val="ListParagraph"/>
        <w:numPr>
          <w:ilvl w:val="1"/>
          <w:numId w:val="3"/>
        </w:numPr>
        <w:shd w:val="clear" w:color="auto" w:fill="FFFFFF"/>
        <w:tabs>
          <w:tab w:val="clear" w:pos="709"/>
          <w:tab w:val="left" w:pos="1134" w:leader="none"/>
        </w:tabs>
        <w:ind w:left="0" w:firstLine="709"/>
        <w:jc w:val="both"/>
        <w:rPr>
          <w:bCs/>
        </w:rPr>
      </w:pPr>
      <w:bookmarkStart w:id="1" w:name="_Ref361320424"/>
      <w:r>
        <w:rPr>
          <w:bCs/>
        </w:rPr>
        <w:t>Работы выполняются Субподрядчиком в следующие сроки:</w:t>
      </w:r>
      <w:bookmarkEnd w:id="1"/>
    </w:p>
    <w:p>
      <w:pPr>
        <w:pStyle w:val="ListParagraph"/>
        <w:numPr>
          <w:ilvl w:val="2"/>
          <w:numId w:val="3"/>
        </w:numPr>
        <w:shd w:val="clear" w:color="auto" w:fill="FFFFFF"/>
        <w:tabs>
          <w:tab w:val="clear" w:pos="709"/>
          <w:tab w:val="left" w:pos="1418" w:leader="none"/>
        </w:tabs>
        <w:jc w:val="both"/>
        <w:rPr>
          <w:b/>
          <w:b/>
        </w:rPr>
      </w:pPr>
      <w:r>
        <w:rPr>
          <w:bCs/>
        </w:rPr>
        <w:t xml:space="preserve">начало выполнения Работ: </w:t>
      </w:r>
      <w:r>
        <w:rPr>
          <w:b/>
        </w:rPr>
        <w:t>с даты, следующей за датой заключения Договора.</w:t>
      </w:r>
    </w:p>
    <w:p>
      <w:pPr>
        <w:pStyle w:val="ListParagraph"/>
        <w:numPr>
          <w:ilvl w:val="2"/>
          <w:numId w:val="3"/>
        </w:numPr>
        <w:shd w:val="clear" w:color="auto" w:fill="FFFFFF"/>
        <w:tabs>
          <w:tab w:val="clear" w:pos="709"/>
          <w:tab w:val="left" w:pos="1418" w:leader="none"/>
        </w:tabs>
        <w:jc w:val="both"/>
        <w:rPr/>
      </w:pPr>
      <w:bookmarkStart w:id="2" w:name="_Ref158824684"/>
      <w:r>
        <w:rPr>
          <w:bCs/>
        </w:rPr>
        <w:t>окончание выполнения Работ</w:t>
      </w:r>
      <w:r>
        <w:rPr>
          <w:b/>
          <w:bCs/>
        </w:rPr>
        <w:t xml:space="preserve">: </w:t>
      </w:r>
      <w:r>
        <w:rPr>
          <w:b/>
          <w:bCs/>
          <w:color w:val="000000"/>
          <w:sz w:val="24"/>
          <w:szCs w:val="24"/>
        </w:rPr>
        <w:t>1 месяц с даты заключения Договора</w:t>
      </w:r>
      <w:r>
        <w:rPr>
          <w:b/>
        </w:rPr>
        <w:t>.</w:t>
      </w:r>
      <w:bookmarkEnd w:id="2"/>
    </w:p>
    <w:p>
      <w:pPr>
        <w:pStyle w:val="ListParagraph"/>
        <w:numPr>
          <w:ilvl w:val="1"/>
          <w:numId w:val="3"/>
        </w:numPr>
        <w:shd w:val="clear" w:color="auto" w:fill="FFFFFF"/>
        <w:tabs>
          <w:tab w:val="clear" w:pos="709"/>
          <w:tab w:val="left" w:pos="1134" w:leader="none"/>
        </w:tabs>
        <w:ind w:left="0" w:firstLine="709"/>
        <w:jc w:val="both"/>
        <w:rPr>
          <w:bCs/>
        </w:rPr>
      </w:pPr>
      <w:r>
        <w:rPr>
          <w:bCs/>
        </w:rPr>
        <w:t>Работы выполняются в один этап.</w:t>
      </w:r>
    </w:p>
    <w:p>
      <w:pPr>
        <w:pStyle w:val="Normal"/>
        <w:widowControl w:val="false"/>
        <w:shd w:val="clear" w:color="auto" w:fill="FFFFFF"/>
        <w:spacing w:lineRule="auto" w:line="240"/>
        <w:ind w:left="567" w:hanging="0"/>
        <w:rPr>
          <w:sz w:val="24"/>
          <w:szCs w:val="24"/>
        </w:rPr>
      </w:pPr>
      <w:r>
        <w:rPr>
          <w:sz w:val="24"/>
          <w:szCs w:val="24"/>
        </w:rPr>
      </w:r>
    </w:p>
    <w:p>
      <w:pPr>
        <w:pStyle w:val="ListParagraph"/>
        <w:numPr>
          <w:ilvl w:val="0"/>
          <w:numId w:val="3"/>
        </w:numPr>
        <w:shd w:val="clear" w:color="auto" w:fill="FFFFFF"/>
        <w:tabs>
          <w:tab w:val="clear" w:pos="709"/>
          <w:tab w:val="left" w:pos="284" w:leader="none"/>
        </w:tabs>
        <w:ind w:left="0" w:hanging="0"/>
        <w:jc w:val="center"/>
        <w:rPr>
          <w:b/>
          <w:b/>
          <w:bCs/>
        </w:rPr>
      </w:pPr>
      <w:r>
        <w:rPr>
          <w:b/>
          <w:bCs/>
        </w:rPr>
        <w:t xml:space="preserve">Права и обязанности Сторон </w:t>
      </w:r>
    </w:p>
    <w:p>
      <w:pPr>
        <w:pStyle w:val="ListParagraph"/>
        <w:numPr>
          <w:ilvl w:val="1"/>
          <w:numId w:val="3"/>
        </w:numPr>
        <w:shd w:val="clear" w:color="auto" w:fill="FFFFFF"/>
        <w:tabs>
          <w:tab w:val="clear" w:pos="709"/>
          <w:tab w:val="left" w:pos="1134" w:leader="none"/>
        </w:tabs>
        <w:ind w:left="0" w:firstLine="709"/>
        <w:jc w:val="both"/>
        <w:rPr>
          <w:bCs/>
        </w:rPr>
      </w:pPr>
      <w:r>
        <w:rPr>
          <w:bCs/>
          <w:u w:val="single"/>
        </w:rPr>
        <w:t>Генподрядчик обязан</w:t>
      </w:r>
      <w:r>
        <w:rPr>
          <w:bCs/>
        </w:rPr>
        <w:t>:</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Сообщить Субподрядчику контакты и должность представителей Генподрядчика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3"/>
        </w:numPr>
        <w:shd w:val="clear" w:color="auto" w:fill="FFFFFF"/>
        <w:tabs>
          <w:tab w:val="clear" w:pos="709"/>
          <w:tab w:val="left" w:pos="1418" w:leader="none"/>
        </w:tabs>
        <w:ind w:left="0" w:firstLine="709"/>
        <w:jc w:val="both"/>
        <w:rPr/>
      </w:pPr>
      <w:bookmarkStart w:id="3" w:name="_Ref158824639"/>
      <w:bookmarkStart w:id="4" w:name="_Ref361396847"/>
      <w:bookmarkStart w:id="5" w:name="_Ref361320734"/>
      <w:bookmarkStart w:id="6" w:name="_Ref361401696"/>
      <w:bookmarkEnd w:id="4"/>
      <w:bookmarkEnd w:id="5"/>
      <w:bookmarkEnd w:id="6"/>
      <w:r>
        <w:rPr>
          <w:bCs/>
        </w:rPr>
        <w:t>В течение 3 (трех) рабочих дней от даты вступления Договора в силу, но не ранее получения соответствующего письменного запроса Субподрядчика, передать (предоставить) последнему:</w:t>
      </w:r>
      <w:bookmarkEnd w:id="3"/>
    </w:p>
    <w:p>
      <w:pPr>
        <w:pStyle w:val="ListParagraph"/>
        <w:numPr>
          <w:ilvl w:val="0"/>
          <w:numId w:val="6"/>
        </w:numPr>
        <w:shd w:val="clear" w:color="auto" w:fill="FFFFFF"/>
        <w:tabs>
          <w:tab w:val="left" w:pos="709" w:leader="none"/>
          <w:tab w:val="left" w:pos="1418" w:leader="none"/>
        </w:tabs>
        <w:ind w:left="0" w:firstLine="709"/>
        <w:jc w:val="both"/>
        <w:rPr/>
      </w:pPr>
      <w:r>
        <w:rPr/>
        <w:t>техническую и иную документацию, указанную в Техническом задании (Приложение № 1 к Договору), содержащую исходные данные для выполнения Субподрядчиком Работ по Договору, по Акту сдачи-приемки технической и иной документации (Приложение № 4.2 к Договору).</w:t>
      </w:r>
    </w:p>
    <w:p>
      <w:pPr>
        <w:pStyle w:val="ListParagraph"/>
        <w:numPr>
          <w:ilvl w:val="2"/>
          <w:numId w:val="3"/>
        </w:numPr>
        <w:shd w:val="clear" w:color="auto" w:fill="FFFFFF"/>
        <w:tabs>
          <w:tab w:val="clear" w:pos="709"/>
          <w:tab w:val="left" w:pos="1418" w:leader="none"/>
        </w:tabs>
        <w:ind w:left="0" w:firstLine="709"/>
        <w:jc w:val="both"/>
        <w:rPr>
          <w:bCs/>
        </w:rPr>
      </w:pPr>
      <w:bookmarkStart w:id="7" w:name="_Ref158824665"/>
      <w:bookmarkStart w:id="8" w:name="_Ref3613968471"/>
      <w:bookmarkStart w:id="9" w:name="_Ref3613207341"/>
      <w:bookmarkStart w:id="10" w:name="_Ref3614016961"/>
      <w:bookmarkEnd w:id="8"/>
      <w:bookmarkEnd w:id="9"/>
      <w:bookmarkEnd w:id="10"/>
      <w:r>
        <w:rPr>
          <w:bCs/>
        </w:rPr>
        <w:t>При наличии технической возможности обеспечить Субподрядчику возможность подключения к имеющимся у Генподрядчика бытовым источникам электроснабжения, водоснабжения, канализации для целей выполнения Работ по Договору (в части Инженерных изысканий).</w:t>
      </w:r>
      <w:bookmarkEnd w:id="7"/>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Ознакомить Субподрядчика с локальными нормативными актами Генподрядчика, устанавливающими требования по охране труда, промышленной и пожарной безопасности, правилами пропускного и внутриобъектового режима Генподрядчика. </w:t>
      </w:r>
    </w:p>
    <w:p>
      <w:pPr>
        <w:pStyle w:val="ListParagraph"/>
        <w:numPr>
          <w:ilvl w:val="2"/>
          <w:numId w:val="3"/>
        </w:numPr>
        <w:shd w:val="clear" w:color="auto" w:fill="FFFFFF"/>
        <w:tabs>
          <w:tab w:val="left" w:pos="709" w:leader="none"/>
        </w:tabs>
        <w:ind w:left="0" w:firstLine="709"/>
        <w:jc w:val="both"/>
        <w:rPr>
          <w:bCs/>
        </w:rPr>
      </w:pPr>
      <w:r>
        <w:rPr>
          <w:bCs/>
        </w:rPr>
        <w:t>Принять и оплатить выполненные Субподрядчиком Работы на условиях, по цене и в сроки, предусмотренные Договором.</w:t>
      </w:r>
    </w:p>
    <w:p>
      <w:pPr>
        <w:pStyle w:val="ListParagraph"/>
        <w:numPr>
          <w:ilvl w:val="2"/>
          <w:numId w:val="3"/>
        </w:numPr>
        <w:shd w:val="clear" w:color="auto" w:fill="FFFFFF"/>
        <w:tabs>
          <w:tab w:val="left" w:pos="709" w:leader="none"/>
        </w:tabs>
        <w:ind w:left="0" w:firstLine="710"/>
        <w:jc w:val="both"/>
        <w:rPr>
          <w:bCs/>
        </w:rPr>
      </w:pPr>
      <w:r>
        <w:rPr>
          <w:bCs/>
        </w:rPr>
        <w:t>В случае необходимости выдать Субподрядчику доверенность на совершение действий, необходимых для выполнения последним своих обязательств по Договору.</w:t>
      </w:r>
    </w:p>
    <w:p>
      <w:pPr>
        <w:pStyle w:val="ListParagraph"/>
        <w:numPr>
          <w:ilvl w:val="2"/>
          <w:numId w:val="3"/>
        </w:numPr>
        <w:shd w:val="clear" w:color="auto" w:fill="FFFFFF"/>
        <w:tabs>
          <w:tab w:val="left" w:pos="709" w:leader="none"/>
        </w:tabs>
        <w:ind w:left="0" w:firstLine="709"/>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b/>
          <w:sz w:val="24"/>
          <w:szCs w:val="24"/>
        </w:rPr>
      </w:pPr>
      <w:r>
        <w:rPr>
          <w:b/>
          <w:sz w:val="24"/>
          <w:szCs w:val="24"/>
        </w:rPr>
      </w:r>
    </w:p>
    <w:p>
      <w:pPr>
        <w:pStyle w:val="ListParagraph"/>
        <w:numPr>
          <w:ilvl w:val="1"/>
          <w:numId w:val="3"/>
        </w:numPr>
        <w:shd w:val="clear" w:color="auto" w:fill="FFFFFF"/>
        <w:tabs>
          <w:tab w:val="clear" w:pos="709"/>
          <w:tab w:val="left" w:pos="1134" w:leader="none"/>
        </w:tabs>
        <w:ind w:left="0" w:firstLine="709"/>
        <w:jc w:val="both"/>
        <w:rPr>
          <w:bCs/>
        </w:rPr>
      </w:pPr>
      <w:r>
        <w:rPr>
          <w:bCs/>
          <w:u w:val="single"/>
        </w:rPr>
        <w:t>Генподрядчик имеет право</w:t>
      </w:r>
      <w:r>
        <w:rPr>
          <w:bCs/>
        </w:rPr>
        <w:t>:</w:t>
      </w:r>
    </w:p>
    <w:p>
      <w:pPr>
        <w:pStyle w:val="ListParagraph"/>
        <w:numPr>
          <w:ilvl w:val="2"/>
          <w:numId w:val="3"/>
        </w:numPr>
        <w:shd w:val="clear" w:color="auto" w:fill="FFFFFF"/>
        <w:tabs>
          <w:tab w:val="clear" w:pos="709"/>
          <w:tab w:val="left" w:pos="1418" w:leader="none"/>
        </w:tabs>
        <w:ind w:left="0" w:firstLine="709"/>
        <w:jc w:val="both"/>
        <w:rPr>
          <w:bCs/>
        </w:rPr>
      </w:pPr>
      <w:r>
        <w:rPr>
          <w:bCs/>
        </w:rPr>
        <w:t>Самостоятельно или с привлечением третьих лиц осуществлять контроль и надзор за ходом и качеством выполняемых Субподрядчиком и СубСубподрядчиками по Договору Работ, соблюдением сроков выполнения, не вмешиваясь при этом в их оперативно-хозяйственную деятельность. Проведение Генподрядчиком контроля не снимает с Субподрядчика ответственности за ненадлежащее выполнение Работ.</w:t>
      </w:r>
    </w:p>
    <w:p>
      <w:pPr>
        <w:pStyle w:val="ListParagraph"/>
        <w:numPr>
          <w:ilvl w:val="2"/>
          <w:numId w:val="3"/>
        </w:numPr>
        <w:shd w:val="clear" w:color="auto" w:fill="FFFFFF"/>
        <w:tabs>
          <w:tab w:val="clear" w:pos="709"/>
          <w:tab w:val="left" w:pos="1418" w:leader="none"/>
        </w:tabs>
        <w:ind w:left="0" w:firstLine="709"/>
        <w:jc w:val="both"/>
        <w:rPr>
          <w:bCs/>
        </w:rPr>
      </w:pPr>
      <w:r>
        <w:rPr>
          <w:bCs/>
        </w:rPr>
        <w:t>Круглосуточно осуществлять доступ к месту производства Работ.</w:t>
      </w:r>
    </w:p>
    <w:p>
      <w:pPr>
        <w:pStyle w:val="ListParagraph"/>
        <w:numPr>
          <w:ilvl w:val="2"/>
          <w:numId w:val="3"/>
        </w:numPr>
        <w:shd w:val="clear" w:color="auto" w:fill="FFFFFF"/>
        <w:tabs>
          <w:tab w:val="clear" w:pos="709"/>
          <w:tab w:val="left" w:pos="1418" w:leader="none"/>
        </w:tabs>
        <w:ind w:left="0" w:firstLine="709"/>
        <w:jc w:val="both"/>
        <w:rPr>
          <w:bCs/>
        </w:rPr>
      </w:pPr>
      <w:bookmarkStart w:id="11" w:name="_Ref361334652"/>
      <w:bookmarkStart w:id="12" w:name="_Ref158824704"/>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Субподрядчику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Генподрядчик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Субподрядчиком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Генподрядчик вправе отказаться от его исполнения и потребовать возмещения причиненных убытков.</w:t>
      </w:r>
      <w:bookmarkEnd w:id="11"/>
      <w:bookmarkEnd w:id="12"/>
      <w:r>
        <w:rPr>
          <w:bCs/>
        </w:rPr>
        <w:t xml:space="preserve"> </w:t>
      </w:r>
    </w:p>
    <w:p>
      <w:pPr>
        <w:pStyle w:val="ListParagraph"/>
        <w:numPr>
          <w:ilvl w:val="2"/>
          <w:numId w:val="3"/>
        </w:numPr>
        <w:shd w:val="clear" w:color="auto" w:fill="FFFFFF"/>
        <w:tabs>
          <w:tab w:val="clear" w:pos="709"/>
          <w:tab w:val="left" w:pos="1418" w:leader="none"/>
        </w:tabs>
        <w:ind w:left="0" w:firstLine="709"/>
        <w:jc w:val="both"/>
        <w:rPr>
          <w:bCs/>
        </w:rPr>
      </w:pPr>
      <w:bookmarkStart w:id="13" w:name="_Ref361334468"/>
      <w:r>
        <w:rPr>
          <w:bCs/>
        </w:rPr>
        <w:t>Изымать пропуска и не допускать на территорию Заказчика работников Субподрядчика и / или привлеченных им СубСубподрядчиков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13"/>
    </w:p>
    <w:p>
      <w:pPr>
        <w:pStyle w:val="ListParagraph"/>
        <w:numPr>
          <w:ilvl w:val="2"/>
          <w:numId w:val="3"/>
        </w:numPr>
        <w:shd w:val="clear" w:color="auto" w:fill="FFFFFF"/>
        <w:tabs>
          <w:tab w:val="clear" w:pos="709"/>
          <w:tab w:val="left" w:pos="1418" w:leader="none"/>
        </w:tabs>
        <w:ind w:left="0" w:firstLine="709"/>
        <w:jc w:val="both"/>
        <w:rPr>
          <w:bCs/>
        </w:rPr>
      </w:pPr>
      <w:bookmarkStart w:id="14"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Генподрядчика потребовало бы от Субподрядчика получения отсутствующих у него допусков, разрешений и / или лицензий. В целях внесения соответствующих изменений Генподрядчик обязан направить Субподрядчику письменное распоряжение, обязательное к выполнению Субподрядчиком.</w:t>
      </w:r>
      <w:bookmarkEnd w:id="14"/>
      <w:r>
        <w:rPr>
          <w:bCs/>
        </w:rPr>
        <w:t xml:space="preserve"> </w:t>
      </w:r>
    </w:p>
    <w:p>
      <w:pPr>
        <w:pStyle w:val="ListParagraph"/>
        <w:numPr>
          <w:ilvl w:val="2"/>
          <w:numId w:val="3"/>
        </w:numPr>
        <w:shd w:val="clear" w:color="auto" w:fill="FFFFFF"/>
        <w:tabs>
          <w:tab w:val="clear" w:pos="709"/>
          <w:tab w:val="left" w:pos="1418" w:leader="none"/>
        </w:tabs>
        <w:ind w:left="0" w:firstLine="709"/>
        <w:jc w:val="both"/>
        <w:rPr>
          <w:bCs/>
        </w:rPr>
      </w:pPr>
      <w:r>
        <w:rPr>
          <w:bCs/>
        </w:rPr>
        <w:t>Давать Субподрядчику указания о способе выполнения Работ, если такие указания не противоречат условиям Договора и не являются вмешательством в деятельность Субподрядчика.</w:t>
      </w:r>
    </w:p>
    <w:p>
      <w:pPr>
        <w:pStyle w:val="ListParagraph"/>
        <w:numPr>
          <w:ilvl w:val="2"/>
          <w:numId w:val="3"/>
        </w:numPr>
        <w:shd w:val="clear" w:color="auto" w:fill="FFFFFF"/>
        <w:tabs>
          <w:tab w:val="clear" w:pos="709"/>
          <w:tab w:val="left" w:pos="1418" w:leader="none"/>
        </w:tabs>
        <w:ind w:left="0" w:firstLine="710"/>
        <w:jc w:val="both"/>
        <w:rPr>
          <w:bCs/>
        </w:rPr>
      </w:pPr>
      <w:r>
        <w:rPr>
          <w:bCs/>
        </w:rPr>
        <w:t>В течение действия Договора обращаться к Субподрядчику с устными и письменными запросами с целью разъяснения (уточнения, конкретизации) расчетов, заключений, выводов, содержащихся в Результате Работ.</w:t>
      </w:r>
    </w:p>
    <w:p>
      <w:pPr>
        <w:pStyle w:val="ListParagraph"/>
        <w:numPr>
          <w:ilvl w:val="2"/>
          <w:numId w:val="3"/>
        </w:numPr>
        <w:shd w:val="clear" w:color="auto" w:fill="FFFFFF"/>
        <w:tabs>
          <w:tab w:val="clear" w:pos="709"/>
          <w:tab w:val="left" w:pos="1418" w:leader="none"/>
        </w:tabs>
        <w:ind w:left="0" w:firstLine="709"/>
        <w:jc w:val="both"/>
        <w:rPr>
          <w:bCs/>
        </w:rPr>
      </w:pPr>
      <w:r>
        <w:rPr>
          <w:bCs/>
        </w:rPr>
        <w:t>Требовать от Субподрядчика представления информации и пояснений о ходе выполнения Работ, требовать представления Генподрядчику документов, полученных Субподрядчиком в ходе выполнения своих обязательств по Договору, в том числе копий предписаний контролирующих и надзорных органов, выданных Субподрядчику и/или привлеченным им СубСубподрядчикам.</w:t>
      </w:r>
    </w:p>
    <w:p>
      <w:pPr>
        <w:pStyle w:val="ListParagraph"/>
        <w:numPr>
          <w:ilvl w:val="2"/>
          <w:numId w:val="3"/>
        </w:numPr>
        <w:shd w:val="clear" w:color="auto" w:fill="FFFFFF"/>
        <w:tabs>
          <w:tab w:val="left" w:pos="709" w:leader="none"/>
        </w:tabs>
        <w:ind w:left="0" w:firstLine="709"/>
        <w:jc w:val="both"/>
        <w:rPr>
          <w:bCs/>
        </w:rPr>
      </w:pPr>
      <w:r>
        <w:rPr>
          <w:bCs/>
        </w:rPr>
        <w:t>Использовать Результат Работ по своему усмотрению, в том числе передавать Результат Работ третьим лицам без письменного согласия Субподрядчика.</w:t>
      </w:r>
    </w:p>
    <w:p>
      <w:pPr>
        <w:pStyle w:val="ListParagraph"/>
        <w:numPr>
          <w:ilvl w:val="2"/>
          <w:numId w:val="3"/>
        </w:numPr>
        <w:shd w:val="clear" w:color="auto" w:fill="FFFFFF"/>
        <w:tabs>
          <w:tab w:val="left" w:pos="709" w:leader="none"/>
        </w:tabs>
        <w:ind w:left="0" w:firstLine="709"/>
        <w:jc w:val="both"/>
        <w:rPr>
          <w:bCs/>
        </w:rPr>
      </w:pPr>
      <w:r>
        <w:rPr>
          <w:bCs/>
        </w:rPr>
        <w:t xml:space="preserve">Приостановить действие договора в случае приостановки Генерального договора </w:t>
      </w:r>
    </w:p>
    <w:p>
      <w:pPr>
        <w:pStyle w:val="Normal"/>
        <w:numPr>
          <w:ilvl w:val="0"/>
          <w:numId w:val="0"/>
        </w:numPr>
        <w:shd w:val="clear" w:color="auto" w:fill="FFFFFF"/>
        <w:tabs>
          <w:tab w:val="clear" w:pos="709"/>
          <w:tab w:val="left" w:pos="0" w:leader="none"/>
        </w:tabs>
        <w:spacing w:lineRule="auto" w:line="240" w:before="0" w:after="0"/>
        <w:ind w:left="0" w:hanging="0"/>
        <w:contextualSpacing/>
        <w:rPr>
          <w:bCs/>
          <w:sz w:val="24"/>
          <w:szCs w:val="24"/>
        </w:rPr>
      </w:pPr>
      <w:r>
        <w:rPr>
          <w:bCs/>
          <w:sz w:val="24"/>
          <w:szCs w:val="24"/>
        </w:rPr>
      </w:r>
    </w:p>
    <w:p>
      <w:pPr>
        <w:pStyle w:val="ListParagraph"/>
        <w:numPr>
          <w:ilvl w:val="1"/>
          <w:numId w:val="3"/>
        </w:numPr>
        <w:shd w:val="clear" w:color="auto" w:fill="FFFFFF"/>
        <w:tabs>
          <w:tab w:val="clear" w:pos="709"/>
          <w:tab w:val="left" w:pos="1134" w:leader="none"/>
        </w:tabs>
        <w:ind w:left="0" w:firstLine="709"/>
        <w:jc w:val="both"/>
        <w:rPr>
          <w:bCs/>
        </w:rPr>
      </w:pPr>
      <w:r>
        <w:rPr>
          <w:bCs/>
          <w:u w:val="single"/>
        </w:rPr>
        <w:t>Субподрядчик обязан</w:t>
      </w:r>
      <w:r>
        <w:rPr>
          <w:bCs/>
        </w:rPr>
        <w:t>:</w:t>
      </w:r>
    </w:p>
    <w:p>
      <w:pPr>
        <w:pStyle w:val="ListParagraph"/>
        <w:numPr>
          <w:ilvl w:val="2"/>
          <w:numId w:val="3"/>
        </w:numPr>
        <w:shd w:val="clear" w:color="auto" w:fill="FFFFFF"/>
        <w:tabs>
          <w:tab w:val="clear" w:pos="709"/>
          <w:tab w:val="left" w:pos="1418" w:leader="none"/>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Генподрядчику.</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В срок, указанный в пункте </w:t>
      </w:r>
      <w:r>
        <w:rPr>
          <w:bCs/>
        </w:rPr>
        <w:fldChar w:fldCharType="begin"/>
      </w:r>
      <w:r>
        <w:rPr>
          <w:bCs/>
        </w:rPr>
        <w:instrText> REF _Ref158824639 \r \h </w:instrText>
      </w:r>
      <w:r>
        <w:rPr>
          <w:bCs/>
        </w:rPr>
        <w:fldChar w:fldCharType="separate"/>
      </w:r>
      <w:r>
        <w:rPr>
          <w:bCs/>
        </w:rPr>
        <w:t>2.1.2.</w:t>
      </w:r>
      <w:r>
        <w:rPr>
          <w:bCs/>
        </w:rPr>
        <w:fldChar w:fldCharType="end"/>
      </w:r>
      <w:r>
        <w:rPr>
          <w:bCs/>
        </w:rPr>
        <w:t xml:space="preserve"> Договора, принять от Генподрядчика/Заказчика на время выполнения Работ по Договору: </w:t>
      </w:r>
    </w:p>
    <w:p>
      <w:pPr>
        <w:pStyle w:val="ListParagraph"/>
        <w:numPr>
          <w:ilvl w:val="0"/>
          <w:numId w:val="14"/>
        </w:numPr>
        <w:shd w:val="clear" w:color="auto" w:fill="FFFFFF"/>
        <w:tabs>
          <w:tab w:val="clear" w:pos="709"/>
          <w:tab w:val="left" w:pos="1418" w:leader="none"/>
        </w:tabs>
        <w:ind w:left="0" w:firstLine="709"/>
        <w:jc w:val="both"/>
        <w:rPr>
          <w:bCs/>
        </w:rPr>
      </w:pPr>
      <w:r>
        <w:rPr>
          <w:bCs/>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4.2 к Договору).</w:t>
      </w:r>
    </w:p>
    <w:p>
      <w:pPr>
        <w:pStyle w:val="ListParagraph"/>
        <w:shd w:val="clear" w:color="auto" w:fill="FFFFFF"/>
        <w:tabs>
          <w:tab w:val="left" w:pos="709" w:leader="none"/>
        </w:tabs>
        <w:ind w:left="0" w:firstLine="709"/>
        <w:jc w:val="both"/>
        <w:rPr>
          <w:bCs/>
        </w:rPr>
      </w:pPr>
      <w:r>
        <w:rPr/>
        <w:t>В случае невыполнения данной обязанности Субподрядчик лишается права предъявлять Генподрядчику какие-либо претензии, в том числе относительно увеличения объема или сроков выполнения Работ, вызванные наличием у Субподрядчика замечаний к переданным Генподрядчиком местам (помещению).</w:t>
      </w:r>
    </w:p>
    <w:p>
      <w:pPr>
        <w:pStyle w:val="ListParagraph"/>
        <w:numPr>
          <w:ilvl w:val="2"/>
          <w:numId w:val="3"/>
        </w:numPr>
        <w:shd w:val="clear" w:color="auto" w:fill="FFFFFF"/>
        <w:tabs>
          <w:tab w:val="clear" w:pos="709"/>
          <w:tab w:val="left" w:pos="1418" w:leader="none"/>
        </w:tabs>
        <w:ind w:left="0" w:firstLine="709"/>
        <w:jc w:val="both"/>
        <w:rPr>
          <w:bCs/>
        </w:rPr>
      </w:pPr>
      <w:r>
        <w:rPr>
          <w:bCs/>
        </w:rPr>
        <w:t>Выдать замечания в отношении технической и иной документации, предоставленной Генподрядчиком, в течение 10 (десяти) рабочих дней от даты принятия ее по Акту сдачи-приемки технической и иной документации (Приложение № 4.2 к Договору). Отсутствие таких замечаний в указанный срок свидетельствует о проверке Субподрядчиком технической и иной документации и лишает Субподрядчика права ссылаться на недостатки данной документации в дальнейшем.</w:t>
      </w:r>
    </w:p>
    <w:p>
      <w:pPr>
        <w:pStyle w:val="Normal"/>
        <w:widowControl w:val="false"/>
        <w:numPr>
          <w:ilvl w:val="2"/>
          <w:numId w:val="3"/>
        </w:numPr>
        <w:tabs>
          <w:tab w:val="left" w:pos="709" w:leader="none"/>
          <w:tab w:val="left" w:pos="1430" w:leader="none"/>
        </w:tabs>
        <w:spacing w:lineRule="auto" w:line="240"/>
        <w:ind w:left="0" w:firstLine="709"/>
        <w:rPr>
          <w:bCs/>
          <w:sz w:val="24"/>
          <w:szCs w:val="24"/>
        </w:rPr>
      </w:pPr>
      <w:r>
        <w:rPr>
          <w:bCs/>
          <w:sz w:val="24"/>
          <w:szCs w:val="24"/>
        </w:rPr>
        <w:t xml:space="preserve">В случае недостаточности для производства Работ по Договору в части Инженерных изысканий источников электроснабжения, водоснабжения или канализации, предоставленных Генподрядчиком в соответствии с пунктом </w:t>
      </w:r>
      <w:r>
        <w:rPr>
          <w:bCs/>
          <w:sz w:val="24"/>
          <w:szCs w:val="24"/>
        </w:rPr>
        <w:fldChar w:fldCharType="begin"/>
      </w:r>
      <w:r>
        <w:rPr>
          <w:sz w:val="24"/>
          <w:szCs w:val="24"/>
          <w:bCs/>
        </w:rPr>
        <w:instrText> REF _Ref158824665 \r \h </w:instrText>
      </w:r>
      <w:r>
        <w:rPr>
          <w:sz w:val="24"/>
          <w:szCs w:val="24"/>
          <w:bCs/>
        </w:rPr>
        <w:fldChar w:fldCharType="separate"/>
      </w:r>
      <w:r>
        <w:rPr>
          <w:sz w:val="24"/>
          <w:szCs w:val="24"/>
          <w:bCs/>
        </w:rPr>
        <w:t>2.1.3.</w:t>
      </w:r>
      <w:r>
        <w:rPr>
          <w:sz w:val="24"/>
          <w:szCs w:val="24"/>
          <w:bCs/>
        </w:rPr>
        <w:fldChar w:fldCharType="end"/>
      </w:r>
      <w:r>
        <w:rPr>
          <w:bCs/>
          <w:sz w:val="24"/>
          <w:szCs w:val="24"/>
        </w:rPr>
        <w:t xml:space="preserve">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pPr>
        <w:pStyle w:val="Normal"/>
        <w:widowControl w:val="false"/>
        <w:numPr>
          <w:ilvl w:val="2"/>
          <w:numId w:val="3"/>
        </w:numPr>
        <w:tabs>
          <w:tab w:val="left" w:pos="709" w:leader="none"/>
          <w:tab w:val="left" w:pos="1430" w:leader="none"/>
        </w:tabs>
        <w:spacing w:lineRule="auto" w:line="240"/>
        <w:ind w:left="0" w:firstLine="709"/>
        <w:rPr>
          <w:sz w:val="24"/>
          <w:szCs w:val="24"/>
        </w:rPr>
      </w:pPr>
      <w:r>
        <w:rPr>
          <w:sz w:val="24"/>
          <w:szCs w:val="24"/>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Генподрядчик.</w:t>
      </w:r>
    </w:p>
    <w:p>
      <w:pPr>
        <w:pStyle w:val="ListParagraph"/>
        <w:numPr>
          <w:ilvl w:val="2"/>
          <w:numId w:val="3"/>
        </w:numPr>
        <w:shd w:val="clear" w:color="auto" w:fill="FFFFFF"/>
        <w:tabs>
          <w:tab w:val="clear" w:pos="709"/>
          <w:tab w:val="left" w:pos="1418" w:leader="none"/>
        </w:tabs>
        <w:ind w:left="0" w:firstLine="709"/>
        <w:jc w:val="both"/>
        <w:rPr>
          <w:bCs/>
        </w:rPr>
      </w:pPr>
      <w:r>
        <w:rPr/>
        <w:t>До фактического начала выполнения Работ предоставить Генподрядчику</w:t>
      </w:r>
      <w:r>
        <w:rPr>
          <w:bCs/>
        </w:rPr>
        <w:t>:</w:t>
      </w:r>
    </w:p>
    <w:p>
      <w:pPr>
        <w:pStyle w:val="ListParagraph"/>
        <w:numPr>
          <w:ilvl w:val="0"/>
          <w:numId w:val="12"/>
        </w:numPr>
        <w:shd w:val="clear" w:color="auto" w:fill="FFFFFF"/>
        <w:tabs>
          <w:tab w:val="clear" w:pos="709"/>
          <w:tab w:val="left" w:pos="1418" w:leader="none"/>
        </w:tabs>
        <w:ind w:left="0" w:firstLine="709"/>
        <w:jc w:val="both"/>
        <w:rPr/>
      </w:pPr>
      <w:r>
        <w:rPr/>
        <w:t>контакты и должность представителей Субподрядчика, уполномоченных на оперативное рассмотрение и решение технических и организационных вопросов, связанных с выполнением Работ</w:t>
      </w:r>
      <w:r>
        <w:rPr>
          <w:bCs/>
        </w:rPr>
        <w:t xml:space="preserve">; </w:t>
      </w:r>
    </w:p>
    <w:p>
      <w:pPr>
        <w:pStyle w:val="ListParagraph"/>
        <w:numPr>
          <w:ilvl w:val="0"/>
          <w:numId w:val="12"/>
        </w:numPr>
        <w:shd w:val="clear" w:color="auto" w:fill="FFFFFF"/>
        <w:tabs>
          <w:tab w:val="clear" w:pos="709"/>
          <w:tab w:val="left" w:pos="1418" w:leader="none"/>
        </w:tabs>
        <w:ind w:left="0" w:firstLine="709"/>
        <w:jc w:val="both"/>
        <w:rPr>
          <w:bCs/>
        </w:rPr>
      </w:pPr>
      <w:r>
        <w:rPr>
          <w:bCs/>
        </w:rPr>
        <w:t>контакты и должность представителя Субподрядчика,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Субподрядчик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Обеспечить сохранность переданной Генподрядчиком по соответствующим актам сдачи-приемки Места выполнения Работ, технической и иной документации, а также возврат ее Генподрядчику не позднее даты окончания выполнения Работ, указанной в пункте </w:t>
      </w:r>
      <w:r>
        <w:rPr>
          <w:bCs/>
        </w:rPr>
        <w:fldChar w:fldCharType="begin"/>
      </w:r>
      <w:r>
        <w:rPr>
          <w:bCs/>
        </w:rPr>
        <w:instrText> REF _Ref158824684 \r \h </w:instrText>
      </w:r>
      <w:r>
        <w:rPr>
          <w:bCs/>
        </w:rPr>
        <w:fldChar w:fldCharType="separate"/>
      </w:r>
      <w:r>
        <w:rPr>
          <w:bCs/>
        </w:rPr>
        <w:t>1.4.2.</w:t>
      </w:r>
      <w:r>
        <w:rPr>
          <w:bCs/>
        </w:rPr>
        <w:fldChar w:fldCharType="end"/>
      </w:r>
      <w:r>
        <w:rPr>
          <w:bCs/>
        </w:rPr>
        <w:t xml:space="preserve"> Договора, либо, в случаях прекращения (расторжения) Договора, указанных в пункте </w:t>
      </w:r>
      <w:r>
        <w:rPr>
          <w:bCs/>
        </w:rPr>
        <w:fldChar w:fldCharType="begin"/>
      </w:r>
      <w:r>
        <w:rPr>
          <w:bCs/>
        </w:rPr>
        <w:instrText> REF _Ref158824704 \r \h </w:instrText>
      </w:r>
      <w:r>
        <w:rPr>
          <w:bCs/>
        </w:rPr>
        <w:fldChar w:fldCharType="separate"/>
      </w:r>
      <w:r>
        <w:rPr>
          <w:bCs/>
        </w:rPr>
        <w:t>2.2.3.</w:t>
      </w:r>
      <w:r>
        <w:rPr>
          <w:bCs/>
        </w:rPr>
        <w:fldChar w:fldCharType="end"/>
      </w:r>
      <w:r>
        <w:rPr>
          <w:bCs/>
        </w:rPr>
        <w:t xml:space="preserve"> и разделе 15 Договора, – не позднее 3 (трех) рабочих дней с даты получения соответствующего требования Генподрядчика. </w:t>
      </w:r>
    </w:p>
    <w:p>
      <w:pPr>
        <w:pStyle w:val="ListParagraph"/>
        <w:numPr>
          <w:ilvl w:val="2"/>
          <w:numId w:val="3"/>
        </w:numPr>
        <w:shd w:val="clear" w:color="auto" w:fill="FFFFFF"/>
        <w:tabs>
          <w:tab w:val="clear" w:pos="709"/>
          <w:tab w:val="left" w:pos="1418" w:leader="none"/>
        </w:tabs>
        <w:ind w:left="0" w:firstLine="709"/>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left="0" w:firstLine="709"/>
        <w:jc w:val="both"/>
        <w:rPr/>
      </w:pPr>
      <w:r>
        <w:rPr/>
        <w:t>Субподрядчик обязан незамедлительно, но в любом случае не позднее рабочего дня, следующего за днем наступлением соответствующего обстоятельства, сообщать Генподрядчику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Субподрядчиком своих обязательств по Договору</w:t>
      </w:r>
      <w:r>
        <w:rPr>
          <w:bCs/>
        </w:rPr>
        <w:t>, в том числе указанных в Приложении № 5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Субподрядчиком обязательств по Договору. </w:t>
      </w:r>
    </w:p>
    <w:p>
      <w:pPr>
        <w:pStyle w:val="ListParagraph"/>
        <w:shd w:val="clear" w:color="auto" w:fill="FFFFFF"/>
        <w:tabs>
          <w:tab w:val="clear" w:pos="709"/>
          <w:tab w:val="left" w:pos="1418" w:leader="none"/>
        </w:tabs>
        <w:ind w:left="0" w:firstLine="709"/>
        <w:jc w:val="both"/>
        <w:rPr/>
      </w:pPr>
      <w:r>
        <w:rPr/>
        <w:t>Если в процессе выполнения Работ по Договору законом или иным нормативным правовым актом будет установлена обязанность Субподрядчика получить дополнительные допуски, разрешения и / или лицензии, Субподрядчик обязан направить Генподрядчику соответствующее письменное уведомление, а также в разумный срок получить необходимые допуски, разрешения и / или лицензии и направить их копии Генподрядчику.</w:t>
      </w:r>
    </w:p>
    <w:p>
      <w:pPr>
        <w:pStyle w:val="ListParagraph"/>
        <w:shd w:val="clear" w:color="auto" w:fill="FFFFFF"/>
        <w:tabs>
          <w:tab w:val="clear" w:pos="709"/>
          <w:tab w:val="left" w:pos="1418" w:leader="none"/>
        </w:tabs>
        <w:ind w:left="0" w:firstLine="709"/>
        <w:jc w:val="both"/>
        <w:rPr/>
      </w:pPr>
      <w:r>
        <w:rPr/>
        <w:t xml:space="preserve">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w:t>
      </w:r>
      <w:r>
        <w:rPr/>
        <w:fldChar w:fldCharType="begin"/>
      </w:r>
      <w:r>
        <w:rPr/>
        <w:instrText> REF _Ref158824754 \r \h </w:instrText>
      </w:r>
      <w:r>
        <w:rPr/>
        <w:fldChar w:fldCharType="separate"/>
      </w:r>
      <w:r>
        <w:rPr/>
        <w:t>11.1.</w:t>
      </w:r>
      <w:r>
        <w:rPr/>
        <w:fldChar w:fldCharType="end"/>
      </w:r>
      <w:r>
        <w:rPr/>
        <w:t xml:space="preserve"> Договора, и Субподрядчик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3"/>
        </w:numPr>
        <w:shd w:val="clear" w:color="auto" w:fill="FFFFFF"/>
        <w:tabs>
          <w:tab w:val="clear" w:pos="709"/>
          <w:tab w:val="left" w:pos="1418" w:leader="none"/>
        </w:tabs>
        <w:ind w:left="0" w:firstLine="709"/>
        <w:jc w:val="both"/>
        <w:rPr>
          <w:bCs/>
        </w:rPr>
      </w:pPr>
      <w:r>
        <w:rPr/>
        <w:t>Выполнять</w:t>
      </w:r>
      <w:r>
        <w:rPr>
          <w:bCs/>
        </w:rPr>
        <w:t xml:space="preserve"> Работы силами квалифицированных специалистов ,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3"/>
        </w:numPr>
        <w:shd w:val="clear" w:color="auto" w:fill="FFFFFF"/>
        <w:tabs>
          <w:tab w:val="clear" w:pos="709"/>
          <w:tab w:val="left" w:pos="1418" w:leader="none"/>
        </w:tabs>
        <w:ind w:left="0" w:firstLine="709"/>
        <w:jc w:val="both"/>
        <w:rPr>
          <w:bCs/>
        </w:rPr>
      </w:pPr>
      <w:r>
        <w:rPr>
          <w:bCs/>
        </w:rPr>
        <w:t>В случаях, установленных правилами пропускного и внутриобъектового режима Генподрядчика /Заказчика, предварительно согласовать с Генподрядчиком /Заказчиком пофамильные списки персонала, задействованного при производстве Работ.</w:t>
      </w:r>
    </w:p>
    <w:p>
      <w:pPr>
        <w:pStyle w:val="ListParagraph"/>
        <w:numPr>
          <w:ilvl w:val="2"/>
          <w:numId w:val="3"/>
        </w:numPr>
        <w:shd w:val="clear" w:color="auto" w:fill="FFFFFF"/>
        <w:tabs>
          <w:tab w:val="clear" w:pos="709"/>
          <w:tab w:val="left" w:pos="1418" w:leader="none"/>
        </w:tabs>
        <w:ind w:left="0" w:firstLine="709"/>
        <w:jc w:val="both"/>
        <w:rPr>
          <w:bCs/>
        </w:rPr>
      </w:pPr>
      <w:r>
        <w:rPr>
          <w:bCs/>
        </w:rPr>
        <w:t>Провести инструктаж персонала, задействованного при выполнении Работ на территории Генподрядчика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Генподрядчика.</w:t>
      </w:r>
    </w:p>
    <w:p>
      <w:pPr>
        <w:pStyle w:val="ListParagraph"/>
        <w:numPr>
          <w:ilvl w:val="2"/>
          <w:numId w:val="3"/>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Генподрядчику /Заказчику по условиям Договора, на такую передачу, а также осуществление Генподрядчиком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Генподрядчика /Заказчика предоставить документы, подтверждающие получение такого согласия.</w:t>
      </w:r>
    </w:p>
    <w:p>
      <w:pPr>
        <w:pStyle w:val="ListParagraph"/>
        <w:numPr>
          <w:ilvl w:val="2"/>
          <w:numId w:val="3"/>
        </w:numPr>
        <w:shd w:val="clear" w:color="auto" w:fill="FFFFFF"/>
        <w:tabs>
          <w:tab w:val="clear" w:pos="709"/>
          <w:tab w:val="left" w:pos="1418" w:leader="none"/>
        </w:tabs>
        <w:ind w:left="0" w:firstLine="709"/>
        <w:jc w:val="both"/>
        <w:rPr>
          <w:bCs/>
        </w:rPr>
      </w:pPr>
      <w:r>
        <w:rPr>
          <w:bCs/>
        </w:rPr>
        <w:t>В случае применения контролирующими органами штрафных санкций к Генподрядчику, Заказчику по фактам нарушения Субподрядчиком/ Субсубподрядчиком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Генподрядчику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Передать Генподрядчику Результат Работ, соответствующий требованиям Договора. </w:t>
      </w:r>
    </w:p>
    <w:p>
      <w:pPr>
        <w:pStyle w:val="ListParagraph"/>
        <w:numPr>
          <w:ilvl w:val="2"/>
          <w:numId w:val="3"/>
        </w:numPr>
        <w:shd w:val="clear" w:color="auto" w:fill="FFFFFF"/>
        <w:tabs>
          <w:tab w:val="clear" w:pos="709"/>
          <w:tab w:val="left" w:pos="1418" w:leader="none"/>
        </w:tabs>
        <w:ind w:left="0" w:firstLine="709"/>
        <w:jc w:val="both"/>
        <w:rPr>
          <w:bCs/>
        </w:rPr>
      </w:pPr>
      <w:bookmarkStart w:id="15" w:name="_Ref158828229"/>
      <w:r>
        <w:rPr>
          <w:bCs/>
        </w:rPr>
        <w:t>Выполнять полученные в ходе исполнения Договора указания Генподрядчика</w:t>
      </w:r>
      <w:r>
        <w:rPr/>
        <w:t xml:space="preserve"> </w:t>
      </w:r>
      <w:r>
        <w:rPr>
          <w:bCs/>
        </w:rPr>
        <w:t>если такие указания не противоречат условиям Договора и не представляют собой вмешательства в деятельность Субподрядчика.</w:t>
      </w:r>
      <w:bookmarkEnd w:id="15"/>
      <w:r>
        <w:rPr>
          <w:bCs/>
        </w:rPr>
        <w:t xml:space="preserve">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В случае, если такие указания могут привести к увеличению Цены Договора и сроков выполнения Работ, Субподрядчик обязан письменно сообщить об этом Генподрядчику не позднее 5 (пяти) календарных дней с даты получения соответствующего указания Генподрядчика,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Субподрядчик не несет ответственности за возможные убытки, возникшие в результате исполнения указаний Генподрядчика, только если Субподрядчик письменно известил Генподрядчика о возможных негативных последствиях исполнения таких указаний в соответствии с пунктом 2.3.16.1 Договора. </w:t>
      </w:r>
    </w:p>
    <w:p>
      <w:pPr>
        <w:pStyle w:val="ListParagraph"/>
        <w:shd w:val="clear" w:color="auto" w:fill="FFFFFF"/>
        <w:tabs>
          <w:tab w:val="clear" w:pos="709"/>
          <w:tab w:val="left" w:pos="1418" w:leader="none"/>
        </w:tabs>
        <w:ind w:left="0" w:firstLine="709"/>
        <w:jc w:val="both"/>
        <w:rPr>
          <w:bCs/>
        </w:rPr>
      </w:pPr>
      <w:r>
        <w:rPr>
          <w:bCs/>
        </w:rPr>
        <w:t xml:space="preserve">Субподрядчик не вправе отказаться от выполнения или задержать выполнение указаний Генподрядчика в части сокращения объемов Работ, прекращения и / или исключения отдельных видов Работ, кроме случая, указанного в пункте 2.3.16.1 Договора. </w:t>
      </w:r>
    </w:p>
    <w:p>
      <w:pPr>
        <w:pStyle w:val="ListParagraph"/>
        <w:numPr>
          <w:ilvl w:val="2"/>
          <w:numId w:val="3"/>
        </w:numPr>
        <w:shd w:val="clear" w:color="auto" w:fill="FFFFFF"/>
        <w:tabs>
          <w:tab w:val="clear" w:pos="709"/>
          <w:tab w:val="left" w:pos="1418" w:leader="none"/>
        </w:tabs>
        <w:ind w:left="0" w:firstLine="709"/>
        <w:jc w:val="both"/>
        <w:rPr>
          <w:bCs/>
        </w:rPr>
      </w:pPr>
      <w:bookmarkStart w:id="16" w:name="_Ref158825059"/>
      <w:r>
        <w:rPr>
          <w:bCs/>
        </w:rPr>
        <w:t>Письменно известить Генподрядчика и до получения от него необходимых указаний приостановить Работу при обнаружении:</w:t>
      </w:r>
      <w:bookmarkEnd w:id="16"/>
    </w:p>
    <w:p>
      <w:pPr>
        <w:pStyle w:val="ListParagraph"/>
        <w:numPr>
          <w:ilvl w:val="3"/>
          <w:numId w:val="3"/>
        </w:numPr>
        <w:shd w:val="clear" w:color="auto" w:fill="FFFFFF"/>
        <w:tabs>
          <w:tab w:val="clear" w:pos="709"/>
          <w:tab w:val="left" w:pos="1701" w:leader="none"/>
        </w:tabs>
        <w:ind w:left="0" w:firstLine="709"/>
        <w:jc w:val="both"/>
        <w:rPr>
          <w:bCs/>
        </w:rPr>
      </w:pPr>
      <w:bookmarkStart w:id="17" w:name="_Ref158825003"/>
      <w:r>
        <w:rPr>
          <w:bCs/>
        </w:rPr>
        <w:t>возможных неблагоприятных для Генподрядчика /Заказчика последствий выполнения его указаний – в любом случае не позднее момента начала выполнения таких указаний;</w:t>
      </w:r>
      <w:bookmarkEnd w:id="17"/>
      <w:r>
        <w:rPr>
          <w:bCs/>
        </w:rPr>
        <w:t xml:space="preserve"> </w:t>
      </w:r>
    </w:p>
    <w:p>
      <w:pPr>
        <w:pStyle w:val="ListParagraph"/>
        <w:numPr>
          <w:ilvl w:val="3"/>
          <w:numId w:val="3"/>
        </w:numPr>
        <w:shd w:val="clear" w:color="auto" w:fill="FFFFFF"/>
        <w:tabs>
          <w:tab w:val="clear" w:pos="709"/>
          <w:tab w:val="left" w:pos="1701" w:leader="none"/>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Генподрядчика,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3"/>
        </w:numPr>
        <w:shd w:val="clear" w:color="auto" w:fill="FFFFFF"/>
        <w:tabs>
          <w:tab w:val="clear" w:pos="709"/>
          <w:tab w:val="left" w:pos="1701" w:leader="none"/>
        </w:tabs>
        <w:ind w:left="0" w:firstLine="709"/>
        <w:jc w:val="both"/>
        <w:rPr>
          <w:bCs/>
        </w:rPr>
      </w:pPr>
      <w:r>
        <w:rPr>
          <w:bCs/>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s>
        <w:ind w:left="0" w:firstLine="709"/>
        <w:jc w:val="both"/>
        <w:rPr>
          <w:bCs/>
        </w:rPr>
      </w:pPr>
      <w:r>
        <w:rPr>
          <w:bCs/>
        </w:rPr>
        <w:t>Невыполнение Субподрядчиком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3"/>
        </w:numPr>
        <w:shd w:val="clear" w:color="auto" w:fill="FFFFFF"/>
        <w:tabs>
          <w:tab w:val="clear" w:pos="709"/>
          <w:tab w:val="left" w:pos="1418" w:leader="none"/>
        </w:tabs>
        <w:ind w:left="0" w:firstLine="709"/>
        <w:jc w:val="both"/>
        <w:rPr>
          <w:bCs/>
        </w:rPr>
      </w:pPr>
      <w:r>
        <w:rPr>
          <w:bCs/>
        </w:rPr>
        <w:t>Письменно уведомлять</w:t>
      </w:r>
      <w:r>
        <w:rPr/>
        <w:t xml:space="preserve"> Генподрядчика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tabs>
          <w:tab w:val="clear" w:pos="709"/>
          <w:tab w:val="left" w:pos="1134" w:leader="none"/>
        </w:tabs>
        <w:ind w:left="0" w:right="23" w:firstLine="709"/>
        <w:jc w:val="both"/>
        <w:rPr/>
      </w:pPr>
      <w:r>
        <w:rPr/>
        <w:t>аварии – в течение 2 (двух) часов;</w:t>
      </w:r>
    </w:p>
    <w:p>
      <w:pPr>
        <w:pStyle w:val="ListParagraph"/>
        <w:numPr>
          <w:ilvl w:val="0"/>
          <w:numId w:val="13"/>
        </w:numPr>
        <w:tabs>
          <w:tab w:val="clear" w:pos="709"/>
          <w:tab w:val="left" w:pos="1134" w:leader="none"/>
        </w:tabs>
        <w:ind w:left="0" w:right="23"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3"/>
        </w:numPr>
        <w:tabs>
          <w:tab w:val="clear" w:pos="709"/>
          <w:tab w:val="left" w:pos="1134" w:leader="none"/>
        </w:tabs>
        <w:ind w:left="0" w:right="23" w:firstLine="709"/>
        <w:jc w:val="both"/>
        <w:rPr/>
      </w:pPr>
      <w:r>
        <w:rPr/>
        <w:t>хищении и иных противоправных действиях – в течение 24 (двадцати четырех) часов;</w:t>
      </w:r>
    </w:p>
    <w:p>
      <w:pPr>
        <w:pStyle w:val="ListParagraph"/>
        <w:numPr>
          <w:ilvl w:val="0"/>
          <w:numId w:val="13"/>
        </w:numPr>
        <w:tabs>
          <w:tab w:val="clear" w:pos="709"/>
          <w:tab w:val="left" w:pos="1134" w:leader="none"/>
        </w:tabs>
        <w:ind w:left="0" w:right="23"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tabs>
          <w:tab w:val="clear" w:pos="709"/>
          <w:tab w:val="left" w:pos="1134" w:leader="none"/>
        </w:tabs>
        <w:ind w:left="0" w:right="23" w:firstLine="709"/>
        <w:jc w:val="both"/>
        <w:rPr/>
      </w:pPr>
      <w:r>
        <w:rPr/>
        <w:t>забастовке персонала СубСубподрядчика,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tabs>
          <w:tab w:val="clear" w:pos="709"/>
          <w:tab w:val="left" w:pos="1134" w:leader="none"/>
        </w:tabs>
        <w:ind w:left="0" w:right="23" w:firstLine="709"/>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3"/>
        </w:numPr>
        <w:shd w:val="clear" w:color="auto" w:fill="FFFFFF"/>
        <w:tabs>
          <w:tab w:val="clear" w:pos="709"/>
          <w:tab w:val="left" w:pos="1418" w:leader="none"/>
        </w:tabs>
        <w:ind w:left="0" w:firstLine="709"/>
        <w:jc w:val="both"/>
        <w:rPr>
          <w:bCs/>
        </w:rPr>
      </w:pPr>
      <w:r>
        <w:rPr/>
        <w:t xml:space="preserve">По требованию и в сроки, установленные Генподрядчиком, своими силами, средствами и за свой счет устранять недостатки, несоответствия, выявленные Генподрядчиком /Заказчиком, а также недостатки и несоответствия, связанные с несогласованными с Генподрядчиком отступлениями от </w:t>
      </w:r>
      <w:r>
        <w:rPr>
          <w:bCs/>
        </w:rPr>
        <w:t>требований Договора.</w:t>
      </w:r>
    </w:p>
    <w:p>
      <w:pPr>
        <w:pStyle w:val="ListParagraph"/>
        <w:numPr>
          <w:ilvl w:val="2"/>
          <w:numId w:val="3"/>
        </w:numPr>
        <w:shd w:val="clear" w:color="auto" w:fill="FFFFFF"/>
        <w:tabs>
          <w:tab w:val="clear" w:pos="709"/>
          <w:tab w:val="left" w:pos="1418" w:leader="none"/>
        </w:tabs>
        <w:ind w:left="0" w:firstLine="709"/>
        <w:jc w:val="both"/>
        <w:rPr>
          <w:bCs/>
        </w:rPr>
      </w:pPr>
      <w:r>
        <w:rPr>
          <w:bCs/>
        </w:rPr>
        <w:t>Незамедлительно приступить к устранению недостатков Результата Работ, о которых ему стало известно.</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Субподрядчик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Генподрядчиком или полученным Субподрядчиком в рамках исполнения Договора исходным данным для </w:t>
      </w:r>
      <w:r>
        <w:rPr>
          <w:bCs/>
          <w:shd w:fill="auto" w:val="clear"/>
        </w:rPr>
        <w:t xml:space="preserve">проектирования, положениям Применимого права. Субподрядчик несет ответственность за недостатки Рабочей </w:t>
      </w:r>
      <w:r>
        <w:rPr>
          <w:shd w:fill="auto" w:val="clear"/>
          <w:lang w:eastAsia="en-US"/>
        </w:rPr>
        <w:t xml:space="preserve"> документации, </w:t>
      </w:r>
      <w:r>
        <w:rPr>
          <w:bCs/>
          <w:shd w:fill="auto" w:val="clear"/>
        </w:rPr>
        <w:t>включая обнаруженные в последствии в ходе строительства / реконструкции, а также в процессе эксплуатации Объекта, созданного на основе Рабочей</w:t>
      </w:r>
      <w:r>
        <w:rPr>
          <w:shd w:fill="auto" w:val="clear"/>
          <w:lang w:eastAsia="en-US"/>
        </w:rPr>
        <w:t xml:space="preserve"> документации</w:t>
      </w:r>
      <w:r>
        <w:rPr>
          <w:bCs/>
          <w:shd w:fill="auto" w:val="clear"/>
        </w:rPr>
        <w:t>.</w:t>
      </w:r>
    </w:p>
    <w:p>
      <w:pPr>
        <w:pStyle w:val="ListParagraph"/>
        <w:numPr>
          <w:ilvl w:val="2"/>
          <w:numId w:val="3"/>
        </w:numPr>
        <w:shd w:val="clear" w:color="auto" w:fill="FFFFFF"/>
        <w:tabs>
          <w:tab w:val="clear" w:pos="709"/>
          <w:tab w:val="left" w:pos="1418" w:leader="none"/>
        </w:tabs>
        <w:ind w:left="0" w:firstLine="709"/>
        <w:jc w:val="both"/>
        <w:rPr>
          <w:bCs/>
        </w:rPr>
      </w:pPr>
      <w:r>
        <w:rPr>
          <w:bCs/>
          <w:shd w:fill="auto" w:val="clear"/>
        </w:rPr>
        <w:t>В случае предъявления налоговыми органами претензий и требований к Генподрядчику, связанных с недобросовестностью СубСубподрядчиков (любого лица из цепочки субСубподрядчиков),</w:t>
      </w:r>
      <w:r>
        <w:rPr>
          <w:shd w:fill="auto" w:val="clear"/>
        </w:rPr>
        <w:t xml:space="preserve"> </w:t>
      </w:r>
      <w:r>
        <w:rPr>
          <w:bCs/>
          <w:shd w:fill="auto" w:val="clear"/>
        </w:rPr>
        <w:t>привлеченных Субподрядчиком к выполнению</w:t>
      </w:r>
      <w:r>
        <w:rPr>
          <w:bCs/>
        </w:rPr>
        <w:t xml:space="preserve"> Работ по Договору, компенсировать все убытки Генподрядчика, вызванные такими претензиями и требованиями.  </w:t>
      </w:r>
    </w:p>
    <w:p>
      <w:pPr>
        <w:pStyle w:val="ListParagraph"/>
        <w:numPr>
          <w:ilvl w:val="2"/>
          <w:numId w:val="3"/>
        </w:numPr>
        <w:shd w:val="clear" w:color="auto" w:fill="FFFFFF"/>
        <w:tabs>
          <w:tab w:val="clear" w:pos="709"/>
          <w:tab w:val="left" w:pos="1418" w:leader="none"/>
        </w:tabs>
        <w:ind w:left="0" w:firstLine="710"/>
        <w:jc w:val="both"/>
        <w:rPr/>
      </w:pPr>
      <w:r>
        <w:rPr/>
        <w:t>Не передавать Результат Работ, а также иные документы, оформленные или полученные в ходе выполнения Субподрядчиком обязательств по Договору, третьим лицам без письменного согласия Генподрядчика,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3"/>
        </w:numPr>
        <w:shd w:val="clear" w:color="auto" w:fill="FFFFFF"/>
        <w:tabs>
          <w:tab w:val="clear" w:pos="709"/>
          <w:tab w:val="left" w:pos="1418" w:leader="none"/>
        </w:tabs>
        <w:ind w:left="0" w:firstLine="710"/>
        <w:jc w:val="both"/>
        <w:rPr/>
      </w:pPr>
      <w:r>
        <w:rPr/>
        <w:t>Подписать акты сверки взаимных расчетов, направленные Генподрядчиком в 2 (двух) экземплярах, и вернуть 1 (один) экземпляр Генподрядчику в течение 5 (пяти) рабочих дней с даты получения экземпляров актов сверки расчетов от Генподрядчика.</w:t>
      </w:r>
    </w:p>
    <w:p>
      <w:pPr>
        <w:pStyle w:val="ListParagraph"/>
        <w:numPr>
          <w:ilvl w:val="2"/>
          <w:numId w:val="3"/>
        </w:numPr>
        <w:shd w:val="clear" w:color="auto" w:fill="FFFFFF"/>
        <w:tabs>
          <w:tab w:val="clear" w:pos="709"/>
          <w:tab w:val="left" w:pos="1418" w:leader="none"/>
        </w:tabs>
        <w:ind w:left="0" w:firstLine="709"/>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3"/>
        </w:numPr>
        <w:shd w:val="clear" w:color="auto" w:fill="FFFFFF"/>
        <w:tabs>
          <w:tab w:val="clear" w:pos="709"/>
          <w:tab w:val="left" w:pos="1134" w:leader="none"/>
        </w:tabs>
        <w:ind w:left="0" w:firstLine="709"/>
        <w:jc w:val="both"/>
        <w:rPr>
          <w:bCs/>
        </w:rPr>
      </w:pPr>
      <w:r>
        <w:rPr>
          <w:bCs/>
          <w:u w:val="single"/>
        </w:rPr>
        <w:t>Субподрядчик имеет право</w:t>
      </w:r>
      <w:r>
        <w:rPr>
          <w:bCs/>
        </w:rPr>
        <w:t>:</w:t>
      </w:r>
    </w:p>
    <w:p>
      <w:pPr>
        <w:pStyle w:val="ListParagraph"/>
        <w:numPr>
          <w:ilvl w:val="2"/>
          <w:numId w:val="3"/>
        </w:numPr>
        <w:shd w:val="clear" w:color="auto" w:fill="FFFFFF"/>
        <w:tabs>
          <w:tab w:val="clear" w:pos="709"/>
          <w:tab w:val="left" w:pos="1418" w:leader="none"/>
        </w:tabs>
        <w:ind w:left="0" w:firstLine="709"/>
        <w:jc w:val="both"/>
        <w:rPr>
          <w:bCs/>
        </w:rPr>
      </w:pPr>
      <w:r>
        <w:rPr>
          <w:bCs/>
        </w:rPr>
        <w:t>Самостоятельно организовать выполнение Работ.</w:t>
      </w:r>
    </w:p>
    <w:p>
      <w:pPr>
        <w:pStyle w:val="ListParagraph"/>
        <w:numPr>
          <w:ilvl w:val="2"/>
          <w:numId w:val="3"/>
        </w:numPr>
        <w:tabs>
          <w:tab w:val="left" w:pos="709" w:leader="none"/>
          <w:tab w:val="left" w:pos="851" w:leader="none"/>
        </w:tabs>
        <w:ind w:left="0" w:firstLine="709"/>
        <w:jc w:val="both"/>
        <w:rPr/>
      </w:pPr>
      <w:r>
        <w:rPr/>
        <w:t>В целях информационной безопасности стороны обязуются:</w:t>
      </w:r>
    </w:p>
    <w:p>
      <w:pPr>
        <w:pStyle w:val="ListParagraph"/>
        <w:numPr>
          <w:ilvl w:val="3"/>
          <w:numId w:val="3"/>
        </w:numPr>
        <w:tabs>
          <w:tab w:val="clear" w:pos="709"/>
          <w:tab w:val="left" w:pos="0" w:leader="none"/>
        </w:tabs>
        <w:spacing w:lineRule="auto" w:line="259" w:before="0" w:after="160"/>
        <w:ind w:left="0" w:firstLine="567"/>
        <w:contextualSpacing/>
        <w:jc w:val="both"/>
        <w:rPr/>
      </w:pPr>
      <w:r>
        <w:rPr/>
        <w:t>использовать отправку электронных писем с корпоративных почтовых доменов @vniig.ru и @__________, исключить использования общедоступных почтовых служб таких как  mail.ru, Yandex.ru, gmail.com, Hotmail.com, Outlook.com и т.п.</w:t>
      </w:r>
    </w:p>
    <w:p>
      <w:pPr>
        <w:pStyle w:val="ListParagraph"/>
        <w:numPr>
          <w:ilvl w:val="3"/>
          <w:numId w:val="3"/>
        </w:numPr>
        <w:tabs>
          <w:tab w:val="clear" w:pos="709"/>
          <w:tab w:val="left" w:pos="0" w:leader="none"/>
        </w:tabs>
        <w:spacing w:lineRule="auto" w:line="259" w:before="0" w:after="160"/>
        <w:ind w:left="0" w:firstLine="567"/>
        <w:contextualSpacing/>
        <w:jc w:val="both"/>
        <w:rPr/>
      </w:pPr>
      <w:r>
        <w:rPr/>
        <w:t xml:space="preserve">Обмен файлов больших объемов осуществлять через облачные хранилища расположенные на территории Генподрядчика  https://cloud.vniig.ru/, а так же исключить передачу файлов больших объемов через общедоступные облачные сервисы таких как  Яндекс диск, </w:t>
      </w:r>
      <w:r>
        <w:rPr>
          <w:lang w:val="en-US"/>
        </w:rPr>
        <w:t>google</w:t>
      </w:r>
      <w:r>
        <w:rPr/>
        <w:t xml:space="preserve"> диск, облако </w:t>
      </w:r>
      <w:r>
        <w:rPr>
          <w:lang w:val="en-US"/>
        </w:rPr>
        <w:t>mail</w:t>
      </w:r>
      <w:r>
        <w:rPr/>
        <w:t>.</w:t>
      </w:r>
      <w:r>
        <w:rPr>
          <w:lang w:val="en-US"/>
        </w:rPr>
        <w:t>ru</w:t>
      </w:r>
      <w:r>
        <w:rPr/>
        <w:t xml:space="preserve"> и т.п. </w:t>
      </w:r>
    </w:p>
    <w:p>
      <w:pPr>
        <w:pStyle w:val="ListParagraph"/>
        <w:numPr>
          <w:ilvl w:val="3"/>
          <w:numId w:val="3"/>
        </w:numPr>
        <w:tabs>
          <w:tab w:val="clear" w:pos="709"/>
          <w:tab w:val="left" w:pos="0" w:leader="none"/>
        </w:tabs>
        <w:spacing w:lineRule="auto" w:line="259" w:before="0" w:after="160"/>
        <w:ind w:left="0" w:firstLine="567"/>
        <w:contextualSpacing/>
        <w:jc w:val="both"/>
        <w:rPr/>
      </w:pPr>
      <w:r>
        <w:rPr/>
        <w:t>Проведения видеоконференций, совещаний (ВКС) осуществлять на оборудовании Генподрядчика или Субподрядчика при этом запрещается использование сервисов ZOOM, Skype</w:t>
      </w:r>
    </w:p>
    <w:p>
      <w:pPr>
        <w:pStyle w:val="Normal"/>
        <w:shd w:val="clear" w:color="auto" w:fill="FFFFFF"/>
        <w:tabs>
          <w:tab w:val="clear" w:pos="709"/>
          <w:tab w:val="left" w:pos="1418" w:leader="none"/>
        </w:tabs>
        <w:ind w:hanging="0"/>
        <w:rPr/>
      </w:pPr>
      <w:r>
        <w:rPr/>
      </w:r>
    </w:p>
    <w:p>
      <w:pPr>
        <w:pStyle w:val="ListParagraph"/>
        <w:numPr>
          <w:ilvl w:val="0"/>
          <w:numId w:val="3"/>
        </w:numPr>
        <w:shd w:val="clear" w:color="auto" w:fill="FFFFFF"/>
        <w:tabs>
          <w:tab w:val="clear" w:pos="709"/>
          <w:tab w:val="left" w:pos="284" w:leader="none"/>
        </w:tabs>
        <w:ind w:left="0" w:hanging="0"/>
        <w:jc w:val="center"/>
        <w:rPr/>
      </w:pPr>
      <w:r>
        <w:rPr>
          <w:b/>
          <w:bCs/>
        </w:rPr>
        <w:t>Цена Договора и порядок расчетов</w:t>
      </w:r>
    </w:p>
    <w:p>
      <w:pPr>
        <w:pStyle w:val="ListParagraph"/>
        <w:numPr>
          <w:ilvl w:val="1"/>
          <w:numId w:val="3"/>
        </w:numPr>
        <w:shd w:val="clear" w:color="auto" w:fill="FFFFFF"/>
        <w:tabs>
          <w:tab w:val="clear" w:pos="709"/>
          <w:tab w:val="left" w:pos="1134" w:leader="none"/>
        </w:tabs>
        <w:ind w:left="0" w:firstLine="567"/>
        <w:jc w:val="both"/>
        <w:rPr>
          <w:bCs/>
        </w:rPr>
      </w:pPr>
      <w:bookmarkStart w:id="18" w:name="_Ref361335465"/>
      <w:bookmarkStart w:id="19" w:name="_Ref158829439"/>
      <w:r>
        <w:rPr>
          <w:bCs/>
        </w:rPr>
        <w:t xml:space="preserve">Цена </w:t>
      </w:r>
      <w:r>
        <w:rPr/>
        <w:t xml:space="preserve">Договора </w:t>
      </w:r>
      <w:r>
        <w:rPr>
          <w:bCs/>
        </w:rPr>
        <w:t xml:space="preserve">в соответствии со сметой (Приложение № 3 к Договору) является твердой и составляет </w:t>
      </w:r>
      <w:r>
        <w:rPr>
          <w:b/>
        </w:rPr>
        <w:t xml:space="preserve">_________________ </w:t>
      </w:r>
      <w:r>
        <w:rPr>
          <w:b/>
          <w:bCs/>
        </w:rPr>
        <w:t xml:space="preserve"> (</w:t>
      </w:r>
      <w:r>
        <w:rPr>
          <w:b/>
        </w:rPr>
        <w:t>_____________</w:t>
      </w:r>
      <w:r>
        <w:rPr>
          <w:b/>
          <w:bCs/>
        </w:rPr>
        <w:t xml:space="preserve">) рублей </w:t>
      </w:r>
      <w:r>
        <w:rPr>
          <w:b/>
        </w:rPr>
        <w:t>____</w:t>
      </w:r>
      <w:r>
        <w:rPr>
          <w:b/>
          <w:bCs/>
        </w:rPr>
        <w:t xml:space="preserve"> копеек, без учёта НДС, </w:t>
      </w:r>
      <w:bookmarkEnd w:id="19"/>
      <w:r>
        <w:rPr>
          <w:rFonts w:eastAsia="Times New Roman" w:cs="Times New Roman"/>
          <w:b/>
          <w:bCs/>
          <w:sz w:val="24"/>
          <w:szCs w:val="24"/>
          <w:lang w:eastAsia="ru-RU"/>
        </w:rPr>
        <w:t>при этом НДС исчисляется дополнительно по ставке, установленной ст. 164 Налогового Кодекса РФ</w:t>
      </w:r>
      <w:bookmarkStart w:id="20" w:name="_Ref1588294391"/>
      <w:bookmarkStart w:id="21" w:name="_Ref5367208821"/>
      <w:bookmarkEnd w:id="20"/>
      <w:bookmarkEnd w:id="21"/>
      <w:r>
        <w:rPr>
          <w:b/>
          <w:bCs/>
        </w:rPr>
        <w:t>.</w:t>
      </w:r>
      <w:r>
        <w:rPr>
          <w:bCs/>
        </w:rPr>
        <w:t xml:space="preserve"> </w:t>
      </w:r>
      <w:bookmarkEnd w:id="18"/>
    </w:p>
    <w:p>
      <w:pPr>
        <w:pStyle w:val="ListParagraph"/>
        <w:numPr>
          <w:ilvl w:val="1"/>
          <w:numId w:val="3"/>
        </w:numPr>
        <w:shd w:val="clear" w:color="auto" w:fill="FFFFFF"/>
        <w:tabs>
          <w:tab w:val="clear" w:pos="709"/>
          <w:tab w:val="left" w:pos="1134" w:leader="none"/>
        </w:tabs>
        <w:ind w:left="0" w:firstLine="709"/>
        <w:jc w:val="both"/>
        <w:rPr/>
      </w:pPr>
      <w:r>
        <w:rPr>
          <w:bCs/>
        </w:rPr>
        <w:t>Цена Договора включает в себя прибыль Субподрядчика, а также все расходы и затраты Субподрядчика на:</w:t>
      </w:r>
    </w:p>
    <w:p>
      <w:pPr>
        <w:pStyle w:val="ListParagraph"/>
        <w:numPr>
          <w:ilvl w:val="2"/>
          <w:numId w:val="3"/>
        </w:numPr>
        <w:shd w:val="clear" w:color="auto" w:fill="FFFFFF"/>
        <w:tabs>
          <w:tab w:val="clear" w:pos="709"/>
          <w:tab w:val="left" w:pos="1418" w:leader="none"/>
        </w:tabs>
        <w:ind w:left="0" w:firstLine="709"/>
        <w:jc w:val="both"/>
        <w:rPr/>
      </w:pPr>
      <w:r>
        <w:rPr/>
        <w:t xml:space="preserve">Приобретение Материально-технических ресурсов </w:t>
      </w:r>
      <w:r>
        <w:rPr>
          <w:bCs/>
        </w:rPr>
        <w:t>и оборудования</w:t>
      </w:r>
      <w: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3"/>
        </w:numPr>
        <w:shd w:val="clear" w:color="auto" w:fill="FFFFFF"/>
        <w:tabs>
          <w:tab w:val="clear" w:pos="709"/>
          <w:tab w:val="left" w:pos="1418" w:leader="none"/>
        </w:tabs>
        <w:ind w:left="0" w:firstLine="709"/>
        <w:jc w:val="both"/>
        <w:rPr/>
      </w:pPr>
      <w:r>
        <w:rPr/>
        <w:t>Получение и оформление Исходно-разрешительной документации;</w:t>
      </w:r>
    </w:p>
    <w:p>
      <w:pPr>
        <w:pStyle w:val="ListParagraph"/>
        <w:numPr>
          <w:ilvl w:val="2"/>
          <w:numId w:val="3"/>
        </w:numPr>
        <w:shd w:val="clear" w:color="auto" w:fill="FFFFFF"/>
        <w:tabs>
          <w:tab w:val="clear" w:pos="709"/>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Субподрядчика; </w:t>
      </w:r>
    </w:p>
    <w:p>
      <w:pPr>
        <w:pStyle w:val="ListParagraph"/>
        <w:numPr>
          <w:ilvl w:val="2"/>
          <w:numId w:val="3"/>
        </w:numPr>
        <w:shd w:val="clear" w:color="auto" w:fill="FFFFFF"/>
        <w:tabs>
          <w:tab w:val="clear" w:pos="709"/>
          <w:tab w:val="left" w:pos="1418" w:leader="none"/>
        </w:tabs>
        <w:ind w:left="0" w:firstLine="709"/>
        <w:jc w:val="both"/>
        <w:rPr/>
      </w:pPr>
      <w:r>
        <w:rPr/>
        <w:t>Подлежащие уплате налоги, сборы и пошлины (в том числе по таможенному оформлению Материально-технических ресурсов</w:t>
      </w:r>
      <w:r>
        <w:rPr>
          <w:bCs/>
        </w:rPr>
        <w:t xml:space="preserve"> и оборудования</w:t>
      </w:r>
      <w:r>
        <w:rPr/>
        <w:t xml:space="preserve">, если применимо); </w:t>
      </w:r>
    </w:p>
    <w:p>
      <w:pPr>
        <w:pStyle w:val="ListParagraph"/>
        <w:numPr>
          <w:ilvl w:val="2"/>
          <w:numId w:val="3"/>
        </w:numPr>
        <w:ind w:left="0" w:firstLine="710"/>
        <w:jc w:val="both"/>
        <w:rPr/>
      </w:pPr>
      <w:r>
        <w:rPr/>
        <w:t xml:space="preserve">Все прочие затраты и расходы Субподрядчика,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Генподрядчиком самостоятельно), а также все непредвиденные расходы, которые могут возникнуть у Субподрядчика в течение срока действия Договора. </w:t>
      </w:r>
    </w:p>
    <w:p>
      <w:pPr>
        <w:pStyle w:val="ListParagraph"/>
        <w:numPr>
          <w:ilvl w:val="1"/>
          <w:numId w:val="3"/>
        </w:numPr>
        <w:shd w:val="clear" w:color="auto" w:fill="FFFFFF"/>
        <w:tabs>
          <w:tab w:val="clear" w:pos="709"/>
          <w:tab w:val="left" w:pos="1134" w:leader="none"/>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Платеж в размере 100% (ста процентов) стоимости работ выплачивается в течение </w:t>
      </w:r>
      <w:r>
        <w:rPr>
          <w:bCs/>
          <w:highlight w:val="lightGray"/>
        </w:rPr>
        <w:t>30 (тридцати) календарных дней</w:t>
      </w:r>
      <w:r>
        <w:rPr>
          <w:bCs/>
        </w:rPr>
        <w:t xml:space="preserve"> </w:t>
      </w:r>
      <w:r>
        <w:rPr>
          <w:bCs/>
          <w:highlight w:val="lightGray"/>
        </w:rPr>
        <w:t>/ 7 (семи) рабочих дней</w:t>
      </w:r>
      <w:r>
        <w:rPr>
          <w:rStyle w:val="Style6"/>
          <w:bCs/>
          <w:highlight w:val="lightGray"/>
        </w:rPr>
        <w:footnoteReference w:id="3"/>
      </w:r>
      <w:r>
        <w:rPr>
          <w:bCs/>
        </w:rPr>
        <w:t xml:space="preserve">  с даты подписания Сторонами документов, указанных в пункте 4.1 Договора, на основании счёта, выставленного Субподрядчиком, и с учетом пункта </w:t>
      </w:r>
      <w:r>
        <w:rPr>
          <w:bCs/>
        </w:rPr>
        <w:fldChar w:fldCharType="begin"/>
      </w:r>
      <w:r>
        <w:rPr>
          <w:bCs/>
        </w:rPr>
        <w:instrText> REF _Ref158828059 \r \h </w:instrText>
      </w:r>
      <w:r>
        <w:rPr>
          <w:bCs/>
        </w:rPr>
        <w:fldChar w:fldCharType="separate"/>
      </w:r>
      <w:r>
        <w:rPr>
          <w:bCs/>
        </w:rPr>
        <w:t>3.4.1.</w:t>
      </w:r>
      <w:r>
        <w:rPr>
          <w:bCs/>
        </w:rPr>
        <w:fldChar w:fldCharType="end"/>
      </w:r>
      <w:r>
        <w:rPr>
          <w:bCs/>
        </w:rPr>
        <w:t xml:space="preserve"> Договора. </w:t>
      </w:r>
    </w:p>
    <w:p>
      <w:pPr>
        <w:pStyle w:val="ListParagraph"/>
        <w:numPr>
          <w:ilvl w:val="2"/>
          <w:numId w:val="3"/>
        </w:numPr>
        <w:shd w:val="clear" w:color="auto" w:fill="FFFFFF"/>
        <w:tabs>
          <w:tab w:val="clear" w:pos="709"/>
          <w:tab w:val="left" w:pos="1418" w:leader="none"/>
        </w:tabs>
        <w:ind w:left="0" w:firstLine="709"/>
        <w:jc w:val="both"/>
        <w:rPr/>
      </w:pPr>
      <w:bookmarkStart w:id="22" w:name="_Ref361834178"/>
      <w:bookmarkStart w:id="23" w:name="_Ref158828059"/>
      <w:r>
        <w:rPr/>
        <w:t>В случае выставления Субподрядчиком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Генподрядчиком не принимается и подлежит замене Субподрядчиком независимо от его фактического вручения Генподрядчику. В случае выставления Субподрядчиком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Генподрядчиком.</w:t>
      </w:r>
      <w:bookmarkEnd w:id="22"/>
      <w:bookmarkEnd w:id="23"/>
    </w:p>
    <w:p>
      <w:pPr>
        <w:pStyle w:val="ListParagraph"/>
        <w:numPr>
          <w:ilvl w:val="1"/>
          <w:numId w:val="3"/>
        </w:numPr>
        <w:shd w:val="clear" w:color="auto" w:fill="FFFFFF"/>
        <w:tabs>
          <w:tab w:val="clear" w:pos="709"/>
          <w:tab w:val="left" w:pos="1134" w:leader="none"/>
        </w:tabs>
        <w:ind w:left="0" w:firstLine="709"/>
        <w:jc w:val="both"/>
        <w:rPr>
          <w:bCs/>
        </w:rPr>
      </w:pPr>
      <w:r>
        <w:rPr>
          <w:bCs/>
        </w:rPr>
        <w:t>Расчеты по Договору осуществляются в валюте Российской Федерации. Оплата производится Генподрядчиком путем перечисления денежных средств на расчетный счет Субподрядчика, указанный в Договоре. Обязательство Генподрядчика по осуществлению платежа считается исполненным с даты списания денежных средств с расчетного счета Генподрядчика.</w:t>
      </w:r>
      <w:bookmarkStart w:id="24" w:name="_Ref361336647"/>
      <w:bookmarkEnd w:id="24"/>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За исключением случая, указанного в пункте </w:t>
      </w:r>
      <w:r>
        <w:rPr>
          <w:bCs/>
        </w:rPr>
        <w:fldChar w:fldCharType="begin"/>
      </w:r>
      <w:r>
        <w:rPr>
          <w:bCs/>
        </w:rPr>
        <w:instrText> REF _Ref158828229 \r \h </w:instrText>
      </w:r>
      <w:r>
        <w:rPr>
          <w:bCs/>
        </w:rPr>
        <w:fldChar w:fldCharType="separate"/>
      </w:r>
      <w:r>
        <w:rPr>
          <w:bCs/>
        </w:rPr>
        <w:t>2.3.15.</w:t>
      </w:r>
      <w:r>
        <w:rPr>
          <w:bCs/>
        </w:rPr>
        <w:fldChar w:fldCharType="end"/>
      </w:r>
      <w:r>
        <w:rPr>
          <w:bCs/>
        </w:rPr>
        <w:t xml:space="preserve"> Договора, любое превышение фактических объемов Работ над объемами Работ, предусмотренными Договором, к оплате Генподрядчиком не принимается и считается включенным в Цену Договора. </w:t>
      </w:r>
    </w:p>
    <w:p>
      <w:pPr>
        <w:pStyle w:val="ListParagraph"/>
        <w:numPr>
          <w:ilvl w:val="1"/>
          <w:numId w:val="3"/>
        </w:numPr>
        <w:shd w:val="clear" w:color="auto" w:fill="FFFFFF"/>
        <w:tabs>
          <w:tab w:val="clear" w:pos="709"/>
          <w:tab w:val="left" w:pos="1134" w:leader="none"/>
        </w:tabs>
        <w:ind w:left="0" w:firstLine="709"/>
        <w:jc w:val="both"/>
        <w:rPr>
          <w:bCs/>
        </w:rPr>
      </w:pPr>
      <w:bookmarkStart w:id="25" w:name="_Ref3613350231"/>
      <w:bookmarkEnd w:id="25"/>
      <w:r>
        <w:rPr>
          <w:bCs/>
        </w:rPr>
        <w:t>Индексация Цены Договора не допускается.</w:t>
      </w:r>
    </w:p>
    <w:p>
      <w:pPr>
        <w:pStyle w:val="ListParagraph"/>
        <w:numPr>
          <w:ilvl w:val="1"/>
          <w:numId w:val="3"/>
        </w:numPr>
        <w:shd w:val="clear" w:color="auto" w:fill="FFFFFF"/>
        <w:tabs>
          <w:tab w:val="clear" w:pos="709"/>
          <w:tab w:val="left" w:pos="1134" w:leader="none"/>
        </w:tabs>
        <w:ind w:left="0" w:firstLine="709"/>
        <w:jc w:val="both"/>
        <w:rPr>
          <w:bCs/>
        </w:rPr>
      </w:pPr>
      <w:r>
        <w:rPr/>
        <w:t>Генподрядчик вправе произвести сальдо взаимных обязательств Сторон путем уменьшения сумм причитающихся Субподрядчику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Субподрядчика перед Генподрядчиком,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Субподрядчиком Работ.</w:t>
      </w:r>
    </w:p>
    <w:p>
      <w:pPr>
        <w:pStyle w:val="ListParagraph"/>
        <w:shd w:val="clear" w:color="auto" w:fill="FFFFFF"/>
        <w:tabs>
          <w:tab w:val="clear" w:pos="709"/>
          <w:tab w:val="left" w:pos="1134" w:leader="none"/>
        </w:tabs>
        <w:ind w:left="0" w:firstLine="709"/>
        <w:jc w:val="both"/>
        <w:rPr>
          <w:bCs/>
        </w:rPr>
      </w:pPr>
      <w:bookmarkStart w:id="26" w:name="_Ref361834251"/>
      <w:r>
        <w:rPr>
          <w:bCs/>
        </w:rPr>
        <w:t>Генподрядчик направляет Субподрядчику уведомление о проведении сальдо взаимных обязательств Сторон по Договору.</w:t>
      </w:r>
      <w:bookmarkEnd w:id="26"/>
    </w:p>
    <w:p>
      <w:pPr>
        <w:pStyle w:val="ListParagraph"/>
        <w:shd w:val="clear" w:color="auto" w:fill="FFFFFF"/>
        <w:tabs>
          <w:tab w:val="clear" w:pos="709"/>
          <w:tab w:val="left" w:pos="1134" w:leader="none"/>
        </w:tabs>
        <w:ind w:left="0" w:firstLine="567"/>
        <w:jc w:val="both"/>
        <w:rPr>
          <w:bCs/>
        </w:rPr>
      </w:pPr>
      <w:r>
        <w:rPr>
          <w:bCs/>
        </w:rPr>
      </w:r>
    </w:p>
    <w:p>
      <w:pPr>
        <w:pStyle w:val="ListParagraph"/>
        <w:numPr>
          <w:ilvl w:val="0"/>
          <w:numId w:val="3"/>
        </w:numPr>
        <w:shd w:val="clear" w:color="auto" w:fill="FFFFFF"/>
        <w:tabs>
          <w:tab w:val="clear" w:pos="709"/>
          <w:tab w:val="left" w:pos="284" w:leader="none"/>
        </w:tabs>
        <w:ind w:left="0" w:hanging="0"/>
        <w:jc w:val="center"/>
        <w:rPr>
          <w:b/>
          <w:b/>
          <w:bCs/>
        </w:rPr>
      </w:pPr>
      <w:r>
        <w:rPr>
          <w:b/>
          <w:bCs/>
        </w:rPr>
        <w:t>Порядок сдачи-приемки Работ</w:t>
      </w:r>
    </w:p>
    <w:p>
      <w:pPr>
        <w:pStyle w:val="ListParagraph"/>
        <w:numPr>
          <w:ilvl w:val="1"/>
          <w:numId w:val="3"/>
        </w:numPr>
        <w:shd w:val="clear" w:color="auto" w:fill="FFFFFF"/>
        <w:tabs>
          <w:tab w:val="clear" w:pos="709"/>
          <w:tab w:val="left" w:pos="0" w:leader="none"/>
          <w:tab w:val="left" w:pos="1134" w:leader="none"/>
        </w:tabs>
        <w:ind w:left="0" w:firstLine="709"/>
        <w:jc w:val="both"/>
        <w:rPr>
          <w:bCs/>
        </w:rPr>
      </w:pPr>
      <w:bookmarkStart w:id="27" w:name="_Ref158828334"/>
      <w:r>
        <w:rPr>
          <w:bCs/>
        </w:rPr>
        <w:t>По завершении выполнения Работ, Субподрядчик представляет Генподрядчику подписанный со своей стороны в 2 (двух) экземплярах Акт сдачи-приемки выполненных работ по форме Приложения № 2 к Договору / УПД, с приложением Результата Работ.</w:t>
      </w:r>
      <w:bookmarkEnd w:id="27"/>
    </w:p>
    <w:p>
      <w:pPr>
        <w:pStyle w:val="ListParagraph"/>
        <w:shd w:val="clear" w:color="auto" w:fill="FFFFFF"/>
        <w:tabs>
          <w:tab w:val="clear" w:pos="709"/>
          <w:tab w:val="left" w:pos="0" w:leader="none"/>
        </w:tabs>
        <w:ind w:left="0" w:firstLine="709"/>
        <w:jc w:val="both"/>
        <w:rPr>
          <w:bCs/>
        </w:rPr>
      </w:pPr>
      <w:bookmarkStart w:id="28" w:name="_Ref373242517"/>
      <w:bookmarkStart w:id="29" w:name="_Ref361335138"/>
      <w:bookmarkStart w:id="30" w:name="_Ref361336754"/>
      <w:r>
        <w:rPr>
          <w:bCs/>
        </w:rPr>
        <w:t>Требования к отчетным документам (состав, количество, формат, носитель и т.д.), подлежащим передаче Субподрядчиком Генподрядчику в составе Результата Работ, устанавливаются Техническим заданием (Приложение № 1 к Договору).</w:t>
      </w:r>
      <w:bookmarkEnd w:id="28"/>
      <w:bookmarkEnd w:id="29"/>
      <w:bookmarkEnd w:id="30"/>
    </w:p>
    <w:p>
      <w:pPr>
        <w:pStyle w:val="ListParagraph"/>
        <w:widowControl/>
        <w:numPr>
          <w:ilvl w:val="0"/>
          <w:numId w:val="0"/>
        </w:numPr>
        <w:shd w:val="clear" w:color="auto" w:fill="FFFFFF"/>
        <w:tabs>
          <w:tab w:val="clear" w:pos="709"/>
          <w:tab w:val="left" w:pos="568" w:leader="none"/>
          <w:tab w:val="left" w:pos="1134" w:leader="none"/>
        </w:tabs>
        <w:suppressAutoHyphens w:val="true"/>
        <w:bidi w:val="0"/>
        <w:spacing w:lineRule="auto" w:line="240" w:before="0" w:after="0"/>
        <w:ind w:left="57" w:right="0" w:hanging="0"/>
        <w:contextualSpacing/>
        <w:jc w:val="both"/>
        <w:rPr>
          <w:rFonts w:ascii="Times New Roman" w:hAnsi="Times New Roman" w:eastAsia="Noto Serif CJK SC" w:cs="Lohit Devanagari"/>
          <w:bCs/>
          <w:color w:val="auto"/>
          <w:kern w:val="0"/>
          <w:sz w:val="24"/>
          <w:szCs w:val="24"/>
          <w:lang w:val="ru-RU" w:eastAsia="ru-RU" w:bidi="ar-SA"/>
        </w:rPr>
      </w:pPr>
      <w:r>
        <w:rPr>
          <w:rFonts w:eastAsia="Noto Serif CJK SC" w:cs="Lohit Devanagari"/>
          <w:bCs/>
          <w:color w:val="auto"/>
          <w:kern w:val="0"/>
          <w:sz w:val="24"/>
          <w:szCs w:val="24"/>
          <w:lang w:val="ru-RU" w:eastAsia="ru-RU" w:bidi="ar-SA"/>
        </w:rPr>
        <w:t xml:space="preserve">      </w:t>
      </w:r>
      <w:r>
        <w:rPr>
          <w:rFonts w:eastAsia="Noto Serif CJK SC" w:cs="Lohit Devanagari"/>
          <w:bCs/>
          <w:color w:val="auto"/>
          <w:kern w:val="0"/>
          <w:sz w:val="24"/>
          <w:szCs w:val="24"/>
          <w:lang w:val="ru-RU" w:eastAsia="ru-RU" w:bidi="ar-SA"/>
        </w:rPr>
        <w:t xml:space="preserve">4.2. </w:t>
      </w:r>
      <w:bookmarkStart w:id="31" w:name="_Ref158828682"/>
      <w:r>
        <w:rPr>
          <w:rFonts w:eastAsia="Noto Serif CJK SC" w:cs="Lohit Devanagari"/>
          <w:bCs/>
          <w:color w:val="auto"/>
          <w:kern w:val="0"/>
          <w:sz w:val="24"/>
          <w:szCs w:val="24"/>
          <w:lang w:val="ru-RU" w:eastAsia="ru-RU" w:bidi="ar-SA"/>
        </w:rPr>
        <w:t xml:space="preserve">В течение 15 (пятнадцати) рабочих дней с даты получения полного комплекта документов, указанных в пункте </w:t>
      </w:r>
      <w:r>
        <w:rPr>
          <w:rFonts w:eastAsia="Noto Serif CJK SC" w:cs="Lohit Devanagari"/>
          <w:bCs/>
          <w:color w:val="auto"/>
          <w:kern w:val="0"/>
          <w:sz w:val="24"/>
          <w:szCs w:val="24"/>
          <w:lang w:val="ru-RU" w:eastAsia="ru-RU" w:bidi="ar-SA"/>
        </w:rPr>
        <w:fldChar w:fldCharType="begin"/>
      </w:r>
      <w:r>
        <w:rPr>
          <w:sz w:val="24"/>
          <w:kern w:val="0"/>
          <w:szCs w:val="24"/>
          <w:bCs/>
          <w:rFonts w:eastAsia="Noto Serif CJK SC" w:cs="Lohit Devanagari"/>
          <w:color w:val="auto"/>
          <w:lang w:val="ru-RU" w:eastAsia="ru-RU" w:bidi="ar-SA"/>
        </w:rPr>
        <w:instrText> REF _Ref158828334 \r \h </w:instrText>
      </w:r>
      <w:r>
        <w:rPr>
          <w:sz w:val="24"/>
          <w:kern w:val="0"/>
          <w:szCs w:val="24"/>
          <w:bCs/>
          <w:rFonts w:eastAsia="Noto Serif CJK SC" w:cs="Lohit Devanagari"/>
          <w:color w:val="auto"/>
          <w:lang w:val="ru-RU" w:eastAsia="ru-RU" w:bidi="ar-SA"/>
        </w:rPr>
        <w:fldChar w:fldCharType="separate"/>
      </w:r>
      <w:r>
        <w:rPr>
          <w:sz w:val="24"/>
          <w:kern w:val="0"/>
          <w:szCs w:val="24"/>
          <w:bCs/>
          <w:rFonts w:eastAsia="Noto Serif CJK SC" w:cs="Lohit Devanagari"/>
          <w:color w:val="auto"/>
          <w:lang w:val="ru-RU" w:eastAsia="ru-RU" w:bidi="ar-SA"/>
        </w:rPr>
        <w:t>4.1.</w:t>
      </w:r>
      <w:r>
        <w:rPr>
          <w:sz w:val="24"/>
          <w:kern w:val="0"/>
          <w:szCs w:val="24"/>
          <w:bCs/>
          <w:rFonts w:eastAsia="Noto Serif CJK SC" w:cs="Lohit Devanagari"/>
          <w:color w:val="auto"/>
          <w:lang w:val="ru-RU" w:eastAsia="ru-RU" w:bidi="ar-SA"/>
        </w:rPr>
        <w:fldChar w:fldCharType="end"/>
      </w:r>
      <w:r>
        <w:rPr>
          <w:rFonts w:eastAsia="Noto Serif CJK SC" w:cs="Lohit Devanagari"/>
          <w:bCs/>
          <w:color w:val="auto"/>
          <w:kern w:val="0"/>
          <w:sz w:val="24"/>
          <w:szCs w:val="24"/>
          <w:lang w:val="ru-RU" w:eastAsia="ru-RU" w:bidi="ar-SA"/>
        </w:rPr>
        <w:t xml:space="preserve">  Договора, Генподрядчик подписывает и передает Субподрядчику 1 (один) экземпляр Акта сдачи-приемки выполненных работ/УПД, либо направляет Субподрядчику письменный мотивированный отказ от приемки Работ (далее – «Ведомость замечаний»), в котором отражает недостатки и / или несоответствия Результата Работ, а также срок на их устранение.</w:t>
      </w:r>
      <w:bookmarkEnd w:id="31"/>
      <w:r>
        <w:rPr>
          <w:rFonts w:eastAsia="Noto Serif CJK SC" w:cs="Lohit Devanagari"/>
          <w:bCs/>
          <w:color w:val="auto"/>
          <w:kern w:val="0"/>
          <w:sz w:val="24"/>
          <w:szCs w:val="24"/>
          <w:lang w:val="ru-RU" w:eastAsia="ru-RU" w:bidi="ar-SA"/>
        </w:rPr>
        <w:t xml:space="preserve"> При этом, </w:t>
      </w:r>
      <w:bookmarkStart w:id="32" w:name="_Ref144889018"/>
      <w:r>
        <w:rPr>
          <w:rFonts w:eastAsia="Noto Serif CJK SC" w:cs="Lohit Devanagari"/>
          <w:bCs/>
          <w:color w:val="auto"/>
          <w:kern w:val="0"/>
          <w:sz w:val="24"/>
          <w:szCs w:val="24"/>
          <w:lang w:val="ru-RU" w:eastAsia="ru-RU" w:bidi="ar-SA"/>
        </w:rPr>
        <w:t>если выполненные в рамках настоящего Договора Работы соответствуют отдельному этапу в рамках Генерального договора, Генподрядчик направляет на рассмотрение Заказчику. Генподрядчик подписывает Акт сдачи-приемки выполненных работ/УПД с Субподрядчиком в течение 10 (десяти) дней с даты получения положительного заключения Заказчика по разработанному в рамках настоящего Договора результату Работ и подписания Акта сдачи-приемки выполненных работ между Генподрядчиком и Заказчиком в рамках Генерального договора.</w:t>
      </w:r>
      <w:bookmarkEnd w:id="32"/>
      <w:r>
        <w:rPr>
          <w:rFonts w:eastAsia="Noto Serif CJK SC" w:cs="Lohit Devanagari"/>
          <w:bCs/>
          <w:color w:val="auto"/>
          <w:kern w:val="0"/>
          <w:sz w:val="24"/>
          <w:szCs w:val="24"/>
          <w:lang w:val="ru-RU" w:eastAsia="ru-RU" w:bidi="ar-SA"/>
        </w:rPr>
        <w:t xml:space="preserve"> </w:t>
      </w:r>
    </w:p>
    <w:p>
      <w:pPr>
        <w:pStyle w:val="ListParagraph"/>
        <w:numPr>
          <w:ilvl w:val="0"/>
          <w:numId w:val="0"/>
        </w:numPr>
        <w:shd w:val="clear" w:color="auto" w:fill="FFFFFF"/>
        <w:tabs>
          <w:tab w:val="clear" w:pos="709"/>
          <w:tab w:val="left" w:pos="568" w:leader="none"/>
          <w:tab w:val="left" w:pos="1134" w:leader="none"/>
        </w:tabs>
        <w:ind w:left="0" w:right="0" w:firstLine="567"/>
        <w:jc w:val="both"/>
        <w:rPr/>
      </w:pPr>
      <w:r>
        <w:rPr>
          <w:bCs/>
        </w:rPr>
        <w:t xml:space="preserve">4.3.Устранение указанных недостатков и / или несоответствий, выявленных Генподрядчиком /Заказчиком, осуществляется Субподрядчиком своими силами и за свой счет в срок, указанный в Ведомости замечаний. Указание Генподрядчиком срока новой приемки не влечет переноса установленного Договором срока выполнения Работ и не исключает ответственности Субподрядчика за его нарушение. </w:t>
      </w:r>
    </w:p>
    <w:p>
      <w:pPr>
        <w:pStyle w:val="ListParagraph"/>
        <w:numPr>
          <w:ilvl w:val="0"/>
          <w:numId w:val="0"/>
        </w:numPr>
        <w:shd w:val="clear" w:color="auto" w:fill="FFFFFF"/>
        <w:tabs>
          <w:tab w:val="clear" w:pos="709"/>
          <w:tab w:val="left" w:pos="1134" w:leader="none"/>
        </w:tabs>
        <w:ind w:left="0" w:right="0" w:firstLine="567"/>
        <w:jc w:val="both"/>
        <w:rPr/>
      </w:pPr>
      <w:r>
        <w:rPr>
          <w:bCs/>
        </w:rPr>
        <w:t xml:space="preserve">4.4. Повторная приемка Генподрядчиком выполненных Работ после устранения недостатков, указанных в Ведомости замечаний, осуществляется в порядке, предусмотренном пунктами </w:t>
      </w:r>
      <w:r>
        <w:rPr>
          <w:bCs/>
        </w:rPr>
        <w:fldChar w:fldCharType="begin"/>
      </w:r>
      <w:r>
        <w:rPr>
          <w:bCs/>
        </w:rPr>
        <w:instrText> REF _Ref158828334 \r \h </w:instrText>
      </w:r>
      <w:r>
        <w:rPr>
          <w:bCs/>
        </w:rPr>
        <w:fldChar w:fldCharType="separate"/>
      </w:r>
      <w:r>
        <w:rPr>
          <w:bCs/>
        </w:rPr>
        <w:t>4.1.</w:t>
      </w:r>
      <w:r>
        <w:rPr>
          <w:bCs/>
        </w:rPr>
        <w:fldChar w:fldCharType="end"/>
      </w:r>
      <w:r>
        <w:rPr>
          <w:bCs/>
        </w:rPr>
        <w:t>, 4,2, 4.3. Договора.</w:t>
      </w:r>
    </w:p>
    <w:p>
      <w:pPr>
        <w:pStyle w:val="ListParagraph"/>
        <w:numPr>
          <w:ilvl w:val="0"/>
          <w:numId w:val="0"/>
        </w:numPr>
        <w:shd w:val="clear" w:color="auto" w:fill="FFFFFF"/>
        <w:tabs>
          <w:tab w:val="clear" w:pos="709"/>
          <w:tab w:val="left" w:pos="1134" w:leader="none"/>
        </w:tabs>
        <w:ind w:left="0" w:right="0" w:firstLine="567"/>
        <w:jc w:val="both"/>
        <w:rPr/>
      </w:pPr>
      <w:r>
        <w:rPr>
          <w:bCs/>
        </w:rPr>
        <w:t xml:space="preserve">4.5. </w:t>
      </w:r>
      <w:bookmarkStart w:id="33" w:name="_Ref158828708"/>
      <w:r>
        <w:rPr>
          <w:bCs/>
        </w:rPr>
        <w:t>Если Субподрядчик не устранит недостатки и / или несоответствия Результата Работ в срок, установленный Генподрядчиком в соответствии с пунктом 4.1-4.4 Договора, Генподрядчик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Субподрядчика соответствующих расходов. Субподрядчик обязан возместить указанные расходы в течение 10 (десяти) рабочих дней с даты получения соответствующего письменного требования Генподрядчика.</w:t>
      </w:r>
      <w:bookmarkEnd w:id="33"/>
      <w:r>
        <w:rPr>
          <w:bCs/>
        </w:rPr>
        <w:t xml:space="preserve"> </w:t>
      </w:r>
    </w:p>
    <w:p>
      <w:pPr>
        <w:pStyle w:val="ListParagraph"/>
        <w:numPr>
          <w:ilvl w:val="0"/>
          <w:numId w:val="0"/>
        </w:numPr>
        <w:shd w:val="clear" w:color="auto" w:fill="FFFFFF"/>
        <w:tabs>
          <w:tab w:val="clear" w:pos="709"/>
          <w:tab w:val="left" w:pos="1134" w:leader="none"/>
        </w:tabs>
        <w:ind w:left="0" w:right="0" w:firstLine="567"/>
        <w:jc w:val="both"/>
        <w:rPr/>
      </w:pPr>
      <w:r>
        <w:rPr>
          <w:bCs/>
        </w:rPr>
        <w:t>4.6. Досрочное исполнение Субподрядчиком обязательств по Договору возможно только при условии предварительного письменного согласия Генподрядчика.</w:t>
      </w:r>
    </w:p>
    <w:p>
      <w:pPr>
        <w:pStyle w:val="ListParagraph"/>
        <w:numPr>
          <w:ilvl w:val="0"/>
          <w:numId w:val="0"/>
        </w:numPr>
        <w:shd w:val="clear" w:color="auto" w:fill="FFFFFF"/>
        <w:tabs>
          <w:tab w:val="clear" w:pos="709"/>
          <w:tab w:val="left" w:pos="1134" w:leader="none"/>
        </w:tabs>
        <w:ind w:left="0" w:right="0" w:firstLine="567"/>
        <w:jc w:val="both"/>
        <w:rPr/>
      </w:pPr>
      <w:r>
        <w:rPr>
          <w:bCs/>
        </w:rPr>
        <w:t xml:space="preserve">4.7. </w:t>
      </w:r>
      <w:bookmarkStart w:id="34" w:name="_Ref361337635"/>
      <w:r>
        <w:rPr>
          <w:bCs/>
        </w:rPr>
        <w:t xml:space="preserve">Субподрядчик обязан представить Генподрядчику счета-фактуры / УПД, выставленные в сроки и оформленные в порядке, установленном законодательством Российской Федерации. В случае нарушения Субподрядчиком указанной обязанности он обязан произвести замену счета-фактуры / УПД в течение 3 (трех) рабочих дней с даты получения соответствующего письменного требования Генподрядчика. </w:t>
      </w:r>
      <w:bookmarkEnd w:id="34"/>
    </w:p>
    <w:p>
      <w:pPr>
        <w:pStyle w:val="ListParagraph"/>
        <w:shd w:val="clear" w:color="auto" w:fill="FFFFFF"/>
        <w:tabs>
          <w:tab w:val="clear" w:pos="709"/>
          <w:tab w:val="left" w:pos="1134" w:leader="none"/>
        </w:tabs>
        <w:ind w:left="567" w:hanging="0"/>
        <w:jc w:val="both"/>
        <w:rPr>
          <w:bCs/>
          <w:shd w:fill="auto" w:val="clear"/>
        </w:rPr>
      </w:pPr>
      <w:r>
        <w:rPr>
          <w:bCs/>
          <w:shd w:fill="auto" w:val="clear"/>
        </w:rPr>
      </w:r>
    </w:p>
    <w:p>
      <w:pPr>
        <w:pStyle w:val="ListParagraph"/>
        <w:numPr>
          <w:ilvl w:val="0"/>
          <w:numId w:val="3"/>
        </w:numPr>
        <w:tabs>
          <w:tab w:val="clear" w:pos="709"/>
          <w:tab w:val="left" w:pos="284" w:leader="none"/>
        </w:tabs>
        <w:ind w:left="0" w:hanging="0"/>
        <w:jc w:val="center"/>
        <w:rPr/>
      </w:pPr>
      <w:r>
        <w:rPr>
          <w:b/>
          <w:bCs/>
          <w:shd w:fill="auto" w:val="clear"/>
        </w:rPr>
        <w:t xml:space="preserve">Право собственности и переход рисков. Гарантия </w:t>
      </w:r>
    </w:p>
    <w:p>
      <w:pPr>
        <w:pStyle w:val="ListParagraph"/>
        <w:numPr>
          <w:ilvl w:val="1"/>
          <w:numId w:val="3"/>
        </w:numPr>
        <w:shd w:val="clear" w:color="auto" w:fill="FFFFFF"/>
        <w:tabs>
          <w:tab w:val="clear" w:pos="709"/>
          <w:tab w:val="left" w:pos="1134" w:leader="none"/>
        </w:tabs>
        <w:ind w:left="0" w:firstLine="709"/>
        <w:jc w:val="both"/>
        <w:rPr>
          <w:shd w:fill="auto" w:val="clear"/>
        </w:rPr>
      </w:pPr>
      <w:bookmarkStart w:id="35" w:name="_Ref361405028"/>
      <w:r>
        <w:rPr>
          <w:bCs/>
          <w:shd w:fill="auto" w:val="clear"/>
        </w:rPr>
        <w:t>Право собственности, риск случайной гибели или повреждения Результата Работ переходит к Генподрядчику с момента подписания Сторонами Акта сдачи-приемки выполненных работ по форме Приложения № 2 к Договору / УПД.</w:t>
      </w:r>
      <w:bookmarkEnd w:id="35"/>
    </w:p>
    <w:p>
      <w:pPr>
        <w:pStyle w:val="ListParagraph"/>
        <w:shd w:val="clear" w:color="auto" w:fill="FFFFFF"/>
        <w:tabs>
          <w:tab w:val="clear" w:pos="709"/>
          <w:tab w:val="left" w:pos="0" w:leader="none"/>
          <w:tab w:val="left" w:pos="1134" w:leader="none"/>
        </w:tabs>
        <w:ind w:left="0" w:firstLine="709"/>
        <w:jc w:val="both"/>
        <w:rPr>
          <w:bCs/>
        </w:rPr>
      </w:pPr>
      <w:r>
        <w:rPr>
          <w:bCs/>
          <w:shd w:fill="auto" w:val="clear"/>
        </w:rPr>
        <w:t>5.3. Гарантийный срок на выполненные работы по договору составляет 3 года с момента подписания сторонами  Акта сдачи-приемки выполненных работ / УПД.</w:t>
      </w:r>
      <w:r>
        <w:rPr>
          <w:bCs/>
          <w:shd w:fill="FFFF00" w:val="clear"/>
        </w:rPr>
        <w:br/>
      </w:r>
    </w:p>
    <w:p>
      <w:pPr>
        <w:pStyle w:val="ListParagraph"/>
        <w:numPr>
          <w:ilvl w:val="0"/>
          <w:numId w:val="3"/>
        </w:numPr>
        <w:shd w:val="clear" w:color="auto" w:fill="FFFFFF"/>
        <w:tabs>
          <w:tab w:val="clear" w:pos="709"/>
          <w:tab w:val="left" w:pos="284" w:leader="none"/>
        </w:tabs>
        <w:ind w:left="0" w:hanging="0"/>
        <w:jc w:val="center"/>
        <w:rPr>
          <w:b/>
          <w:b/>
          <w:bCs/>
        </w:rPr>
      </w:pPr>
      <w:r>
        <w:rPr>
          <w:b/>
          <w:bCs/>
        </w:rPr>
        <w:t>Ответственность Сторон</w:t>
      </w:r>
    </w:p>
    <w:p>
      <w:pPr>
        <w:pStyle w:val="ListParagraph"/>
        <w:numPr>
          <w:ilvl w:val="1"/>
          <w:numId w:val="3"/>
        </w:numPr>
        <w:shd w:val="clear" w:color="auto" w:fill="FFFFFF"/>
        <w:tabs>
          <w:tab w:val="clear" w:pos="709"/>
          <w:tab w:val="left" w:pos="1134" w:leader="none"/>
        </w:tabs>
        <w:ind w:left="0" w:firstLine="709"/>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0"/>
          <w:numId w:val="0"/>
        </w:numPr>
        <w:tabs>
          <w:tab w:val="clear" w:pos="709"/>
          <w:tab w:val="left" w:pos="1276" w:leader="none"/>
        </w:tabs>
        <w:spacing w:lineRule="auto" w:line="240"/>
        <w:ind w:left="0" w:hanging="0"/>
        <w:rPr/>
      </w:pPr>
      <w:r>
        <w:rPr>
          <w:sz w:val="24"/>
        </w:rPr>
        <w:t xml:space="preserve">      </w:t>
      </w:r>
      <w:r>
        <w:rPr>
          <w:sz w:val="24"/>
        </w:rPr>
        <w:t xml:space="preserve">6.2. В случае нарушения Генподрядчиком сроков оплаты, установленных разделом 3 Договора  Субподрядчик вправе требовать уплаты Генподрядчиком исключительной неустойки в размере 0,05 (ноль целых и пять сотых) процента от несвоевременно оплаченной суммы за каждый день просрочки, </w:t>
      </w:r>
      <w:r>
        <w:rPr>
          <w:bCs/>
          <w:sz w:val="24"/>
          <w:szCs w:val="24"/>
        </w:rPr>
        <w:t xml:space="preserve">но не более 5 (пяти) процентов от неоплаченной суммы . </w:t>
      </w:r>
    </w:p>
    <w:p>
      <w:pPr>
        <w:pStyle w:val="Normal"/>
        <w:numPr>
          <w:ilvl w:val="0"/>
          <w:numId w:val="0"/>
        </w:numPr>
        <w:tabs>
          <w:tab w:val="clear" w:pos="709"/>
          <w:tab w:val="left" w:pos="1276" w:leader="none"/>
        </w:tabs>
        <w:spacing w:lineRule="auto" w:line="240"/>
        <w:ind w:left="0" w:hanging="0"/>
        <w:jc w:val="both"/>
        <w:rPr/>
      </w:pPr>
      <w:r>
        <w:rPr>
          <w:bCs/>
          <w:sz w:val="24"/>
          <w:szCs w:val="24"/>
        </w:rPr>
        <w:t xml:space="preserve">          </w:t>
      </w:r>
      <w:r>
        <w:rPr>
          <w:bCs/>
          <w:sz w:val="24"/>
          <w:szCs w:val="24"/>
        </w:rPr>
        <w:t xml:space="preserve">6.3. В случае </w:t>
      </w:r>
      <w:r>
        <w:rPr>
          <w:sz w:val="24"/>
          <w:szCs w:val="24"/>
        </w:rPr>
        <w:t>нарушения Субподрядчиком обязательств по выполнению Работ,  а также в случае несвоевременного устранения выявленных недостатков Результата работ, Генподрядчик вправе требовать уплаты Субподря</w:t>
      </w:r>
      <w:r>
        <w:rPr>
          <w:rFonts w:eastAsia="Noto Serif CJK SC" w:cs="Lohit Devanagari"/>
          <w:color w:val="auto"/>
          <w:kern w:val="0"/>
          <w:sz w:val="24"/>
          <w:szCs w:val="24"/>
          <w:lang w:val="ru-RU" w:eastAsia="ru-RU" w:bidi="ar-SA"/>
        </w:rPr>
        <w:t>дчиком: 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w:t>
      </w:r>
      <w:r>
        <w:rPr>
          <w:rFonts w:eastAsia="Calibri"/>
          <w:bCs/>
        </w:rPr>
        <w:t xml:space="preserve">; </w:t>
      </w:r>
    </w:p>
    <w:p>
      <w:pPr>
        <w:pStyle w:val="Normal"/>
        <w:numPr>
          <w:ilvl w:val="0"/>
          <w:numId w:val="0"/>
        </w:numPr>
        <w:tabs>
          <w:tab w:val="clear" w:pos="709"/>
          <w:tab w:val="left" w:pos="0" w:leader="none"/>
          <w:tab w:val="left" w:pos="1276" w:leader="none"/>
        </w:tabs>
        <w:spacing w:lineRule="auto" w:line="240"/>
        <w:ind w:left="0" w:hanging="0"/>
        <w:jc w:val="both"/>
        <w:rPr>
          <w:sz w:val="24"/>
          <w:szCs w:val="24"/>
        </w:rPr>
      </w:pPr>
      <w:r>
        <w:rPr>
          <w:bCs/>
          <w:sz w:val="24"/>
          <w:szCs w:val="24"/>
        </w:rPr>
        <w:t xml:space="preserve">        </w:t>
      </w:r>
      <w:r>
        <w:rPr>
          <w:bCs/>
          <w:sz w:val="24"/>
          <w:szCs w:val="24"/>
        </w:rPr>
        <w:t xml:space="preserve">6.4. В случае нарушения Субподрядчиком или привлеченными им СубСубподрядчиками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Генподрядчик, помимо возмещения убытков, вправе требовать уплаты Субподрядчиком штрафа в размерах, установленных Приложением № 6 к Договору. </w:t>
      </w:r>
    </w:p>
    <w:p>
      <w:pPr>
        <w:pStyle w:val="ListParagraph"/>
        <w:numPr>
          <w:ilvl w:val="0"/>
          <w:numId w:val="0"/>
        </w:numPr>
        <w:shd w:val="clear" w:color="auto" w:fill="FFFFFF"/>
        <w:tabs>
          <w:tab w:val="clear" w:pos="709"/>
          <w:tab w:val="left" w:pos="1134" w:leader="none"/>
        </w:tabs>
        <w:ind w:left="0" w:hanging="0"/>
        <w:jc w:val="both"/>
        <w:rPr/>
      </w:pPr>
      <w:r>
        <w:rPr>
          <w:bCs/>
        </w:rPr>
        <w:t xml:space="preserve">    </w:t>
      </w:r>
      <w:r>
        <w:rPr>
          <w:bCs/>
        </w:rPr>
        <w:t xml:space="preserve">6.5. Если в результате составления и выставления Субподрядчиком счетов-фактур / УПД с нарушением порядка и требований, установленных законодательством Российской Федерации, Генподрядчик понес расходы, связанные с начислением налоговыми органами по такому основанию сумм налога на добавленную стоимость, пеней и налоговых санкций, Субподрядчик обязан компенсировать Генподрядчику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Субподрядчиком в течение 10 (десяти) рабочих дней с даты получения соответствующего письменного требования Генподрядчика. В случае нарушения Субподрядчиком сроков предоставления счетов-фактур / УПД, установленных пунктом </w:t>
      </w:r>
      <w:r>
        <w:rPr>
          <w:bCs/>
        </w:rPr>
        <w:fldChar w:fldCharType="begin"/>
      </w:r>
      <w:r>
        <w:rPr>
          <w:bCs/>
        </w:rPr>
        <w:instrText> REF _Ref361337635 \r \h </w:instrText>
      </w:r>
      <w:r>
        <w:rPr>
          <w:bCs/>
        </w:rPr>
        <w:fldChar w:fldCharType="separate"/>
      </w:r>
      <w:r>
        <w:rPr>
          <w:bCs/>
        </w:rPr>
      </w:r>
      <w:r>
        <w:rPr>
          <w:bCs/>
        </w:rPr>
        <w:fldChar w:fldCharType="end"/>
      </w:r>
      <w:r>
        <w:rPr>
          <w:bCs/>
        </w:rPr>
        <w:t xml:space="preserve"> Договора, Генподрядчик вправе требовать уплаты Субподрядчиком штрафа в размере 50 000 (пятидесяти тысяч) рублей за каждый случай нарушения.</w:t>
      </w:r>
    </w:p>
    <w:p>
      <w:pPr>
        <w:pStyle w:val="ListParagraph"/>
        <w:numPr>
          <w:ilvl w:val="0"/>
          <w:numId w:val="0"/>
        </w:numPr>
        <w:shd w:val="clear" w:color="auto" w:fill="FFFFFF"/>
        <w:tabs>
          <w:tab w:val="clear" w:pos="709"/>
          <w:tab w:val="left" w:pos="1276" w:leader="none"/>
        </w:tabs>
        <w:ind w:left="0" w:hanging="0"/>
        <w:jc w:val="both"/>
        <w:rPr/>
      </w:pPr>
      <w:r>
        <w:rPr>
          <w:bCs/>
        </w:rPr>
        <w:t xml:space="preserve">      </w:t>
      </w:r>
      <w:r>
        <w:rPr>
          <w:bCs/>
        </w:rPr>
        <w:t>6.6. Субподрядчик несет ответственность перед Генподрядчиком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Субподрядчиком своих обязательств, произведенных для восстановления нарушенного права, а также упущенной выгоды.</w:t>
      </w:r>
    </w:p>
    <w:p>
      <w:pPr>
        <w:pStyle w:val="ListParagraph"/>
        <w:numPr>
          <w:ilvl w:val="0"/>
          <w:numId w:val="0"/>
        </w:numPr>
        <w:shd w:val="clear" w:color="auto" w:fill="FFFFFF"/>
        <w:tabs>
          <w:tab w:val="clear" w:pos="709"/>
          <w:tab w:val="left" w:pos="1134" w:leader="none"/>
        </w:tabs>
        <w:ind w:left="0" w:hanging="0"/>
        <w:jc w:val="both"/>
        <w:rPr/>
      </w:pPr>
      <w:r>
        <w:rPr>
          <w:bCs/>
        </w:rPr>
        <w:t xml:space="preserve">  </w:t>
      </w:r>
      <w:r>
        <w:rPr>
          <w:bCs/>
        </w:rPr>
        <w:t xml:space="preserve">6.7.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0"/>
          <w:numId w:val="0"/>
        </w:numPr>
        <w:shd w:val="clear" w:color="auto" w:fill="FFFFFF"/>
        <w:tabs>
          <w:tab w:val="clear" w:pos="709"/>
          <w:tab w:val="left" w:pos="1134" w:leader="none"/>
        </w:tabs>
        <w:ind w:left="0" w:hanging="0"/>
        <w:jc w:val="both"/>
        <w:rPr/>
      </w:pPr>
      <w:r>
        <w:rPr>
          <w:bCs/>
        </w:rPr>
        <w:t xml:space="preserve">    </w:t>
      </w:r>
      <w:r>
        <w:rPr>
          <w:bCs/>
        </w:rPr>
        <w:t>6.8.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0"/>
          <w:numId w:val="0"/>
        </w:numPr>
        <w:shd w:val="clear" w:color="auto" w:fill="FFFFFF"/>
        <w:tabs>
          <w:tab w:val="clear" w:pos="709"/>
          <w:tab w:val="left" w:pos="0" w:leader="none"/>
        </w:tabs>
        <w:ind w:left="0" w:hanging="0"/>
        <w:jc w:val="both"/>
        <w:rPr/>
      </w:pPr>
      <w:r>
        <w:rPr>
          <w:rFonts w:eastAsia="Calibri"/>
          <w:bCs/>
        </w:rPr>
        <w:t xml:space="preserve">        </w:t>
      </w:r>
      <w:r>
        <w:rPr>
          <w:rFonts w:eastAsia="Calibri"/>
          <w:bCs/>
        </w:rPr>
        <w:t>6.9. Убытки подлежат возмещению Субподрядчиком в полной сумме сверх неустойки.</w:t>
      </w:r>
    </w:p>
    <w:p>
      <w:pPr>
        <w:pStyle w:val="ListParagraph"/>
        <w:numPr>
          <w:ilvl w:val="0"/>
          <w:numId w:val="0"/>
        </w:numPr>
        <w:shd w:val="clear" w:color="auto" w:fill="FFFFFF"/>
        <w:tabs>
          <w:tab w:val="clear" w:pos="709"/>
          <w:tab w:val="left" w:pos="0" w:leader="none"/>
        </w:tabs>
        <w:ind w:left="0" w:hanging="0"/>
        <w:jc w:val="both"/>
        <w:rPr/>
      </w:pPr>
      <w:r>
        <w:rPr/>
        <w:t xml:space="preserve">  </w:t>
      </w:r>
      <w:r>
        <w:rPr/>
        <w:t>6.10. Ответственность Генподрядчика за причиненные Субподрядчику убытки ограничивается реальным ущербом, но не более Цены Договора.</w:t>
      </w:r>
    </w:p>
    <w:p>
      <w:pPr>
        <w:pStyle w:val="ListParagraph"/>
        <w:numPr>
          <w:ilvl w:val="0"/>
          <w:numId w:val="0"/>
        </w:numPr>
        <w:shd w:val="clear" w:color="auto" w:fill="FFFFFF"/>
        <w:tabs>
          <w:tab w:val="clear" w:pos="709"/>
          <w:tab w:val="left" w:pos="0" w:leader="none"/>
        </w:tabs>
        <w:ind w:left="0" w:hanging="0"/>
        <w:jc w:val="both"/>
        <w:rPr/>
      </w:pPr>
      <w:r>
        <w:rPr>
          <w:bCs/>
        </w:rPr>
        <w:t xml:space="preserve">   </w:t>
      </w:r>
      <w:r>
        <w:rPr>
          <w:bCs/>
        </w:rPr>
        <w:t>6.11. Учитывая, что для Генподрядчика надлежащее и своевременное выполнение Субподрядчиком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Субподрядчиком соответствующих обязательств по Договору.</w:t>
      </w:r>
    </w:p>
    <w:p>
      <w:pPr>
        <w:pStyle w:val="Normal"/>
        <w:shd w:val="clear" w:color="auto" w:fill="FFFFFF"/>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3"/>
        </w:numPr>
        <w:shd w:val="clear" w:color="auto" w:fill="FFFFFF"/>
        <w:tabs>
          <w:tab w:val="clear" w:pos="709"/>
          <w:tab w:val="left" w:pos="426" w:leader="none"/>
        </w:tabs>
        <w:ind w:left="0" w:hanging="0"/>
        <w:jc w:val="center"/>
        <w:rPr>
          <w:b/>
          <w:b/>
          <w:bCs/>
        </w:rPr>
      </w:pPr>
      <w:r>
        <w:rPr>
          <w:b/>
          <w:bCs/>
        </w:rPr>
        <w:t>Исключительные права и патенты</w:t>
      </w:r>
    </w:p>
    <w:p>
      <w:pPr>
        <w:pStyle w:val="ListParagraph"/>
        <w:numPr>
          <w:ilvl w:val="1"/>
          <w:numId w:val="3"/>
        </w:numPr>
        <w:shd w:val="clear" w:color="auto" w:fill="FFFFFF"/>
        <w:tabs>
          <w:tab w:val="clear" w:pos="709"/>
          <w:tab w:val="left" w:pos="1134" w:leader="none"/>
        </w:tabs>
        <w:ind w:left="0" w:firstLine="709"/>
        <w:jc w:val="both"/>
        <w:rPr>
          <w:bCs/>
        </w:rPr>
      </w:pPr>
      <w:r>
        <w:rPr>
          <w:bCs/>
        </w:rPr>
        <w:t>Субподрядчик гарантирует, что выполнение Работ, предусмотренных Договором, а также передача Генподрядчику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Субподрядчик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использования Генподрядчиком Результата работ. </w:t>
      </w:r>
    </w:p>
    <w:p>
      <w:pPr>
        <w:pStyle w:val="ListParagraph"/>
        <w:numPr>
          <w:ilvl w:val="1"/>
          <w:numId w:val="3"/>
        </w:numPr>
        <w:shd w:val="clear" w:color="auto" w:fill="FFFFFF"/>
        <w:tabs>
          <w:tab w:val="clear" w:pos="709"/>
          <w:tab w:val="left" w:pos="1134" w:leader="none"/>
        </w:tabs>
        <w:ind w:left="0" w:firstLine="709"/>
        <w:jc w:val="both"/>
        <w:rPr>
          <w:bCs/>
        </w:rPr>
      </w:pPr>
      <w:r>
        <w:rPr>
          <w:bCs/>
        </w:rPr>
        <w:t>В случае, если Генподрядчику будут предъявлены требования, связанные с нарушением Субподрядчиком при выполнении Работ по Договору исключительных и / или иных интеллектуальных прав третьих лиц, Субподрядчик обязан полностью возместить Генподрядчику все расходы и убытки, связанные с такими требованиями, включая расходы на юридических консультантов.</w:t>
      </w:r>
    </w:p>
    <w:p>
      <w:pPr>
        <w:pStyle w:val="ListParagraph"/>
        <w:numPr>
          <w:ilvl w:val="1"/>
          <w:numId w:val="3"/>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Субподрядчиком Договора, возникают непосредственно у Генподрядчика, либо, если в соответствии с законодательством Российской Федерации такие исключительные права возникают у Субподрядчика, эти права переходят к Генподрядчику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Субподрядчиком Договора, не могут переходить к Генподрядчику в порядке, указанном в настоящем пункте Договора, Стороны пришли к соглашению о том, что Субподрядчик передаст Генподрядчику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3"/>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Субподрядчик не позднее 10 (десяти) календарных дней обязуется письменно сообщить об этом Генподрядчику и в разумный срок заключить дополнительное соглашение к Договору о порядке регистрации прав Генподрядчика на такой результат интеллектуальной деятельности, без уплаты Генподрядчиком какого-либо дополнительного вознаграждения.</w:t>
      </w:r>
    </w:p>
    <w:p>
      <w:pPr>
        <w:pStyle w:val="ListParagraph"/>
        <w:numPr>
          <w:ilvl w:val="1"/>
          <w:numId w:val="3"/>
        </w:numPr>
        <w:shd w:val="clear" w:color="auto" w:fill="FFFFFF"/>
        <w:tabs>
          <w:tab w:val="clear" w:pos="709"/>
          <w:tab w:val="left" w:pos="1134" w:leader="none"/>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Субподрядчиком Договора, подтверждается подписанием Сторонами Акта сдачи-приемки выполненных работ.</w:t>
      </w:r>
    </w:p>
    <w:p>
      <w:pPr>
        <w:pStyle w:val="ListParagraph"/>
        <w:shd w:val="clear" w:color="auto" w:fill="FFFFFF"/>
        <w:tabs>
          <w:tab w:val="clear" w:pos="709"/>
          <w:tab w:val="left" w:pos="1134" w:leader="none"/>
        </w:tabs>
        <w:ind w:left="709" w:hanging="0"/>
        <w:jc w:val="both"/>
        <w:rPr>
          <w:bCs/>
        </w:rPr>
      </w:pPr>
      <w:r>
        <w:rPr>
          <w:bCs/>
        </w:rPr>
      </w:r>
    </w:p>
    <w:p>
      <w:pPr>
        <w:pStyle w:val="ListParagraph"/>
        <w:numPr>
          <w:ilvl w:val="0"/>
          <w:numId w:val="3"/>
        </w:numPr>
        <w:shd w:val="clear" w:color="auto" w:fill="FFFFFF"/>
        <w:tabs>
          <w:tab w:val="clear" w:pos="709"/>
          <w:tab w:val="left" w:pos="426" w:leader="none"/>
        </w:tabs>
        <w:ind w:left="0" w:hanging="0"/>
        <w:jc w:val="center"/>
        <w:rPr>
          <w:b/>
          <w:b/>
          <w:bCs/>
        </w:rPr>
      </w:pPr>
      <w:r>
        <w:rPr>
          <w:b/>
          <w:bCs/>
        </w:rPr>
        <w:t>Конфиденциальность</w:t>
      </w:r>
    </w:p>
    <w:p>
      <w:pPr>
        <w:pStyle w:val="ListParagraph"/>
        <w:numPr>
          <w:ilvl w:val="1"/>
          <w:numId w:val="3"/>
        </w:numPr>
        <w:shd w:val="clear" w:color="auto" w:fill="FFFFFF"/>
        <w:tabs>
          <w:tab w:val="clear" w:pos="709"/>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Генподрядчиком Субподрядчику в устной либо документарной форме, в виде электронного файла, в любом другом виде, а также полученная Субподрядчиком самостоятельно в ходе визитов на территорию Генподрядчика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5"/>
        </w:numPr>
        <w:tabs>
          <w:tab w:val="left" w:pos="709" w:leader="none"/>
          <w:tab w:val="left" w:pos="1418" w:leader="none"/>
        </w:tabs>
        <w:spacing w:lineRule="auto" w:line="240"/>
        <w:ind w:left="0" w:firstLine="709"/>
        <w:rPr>
          <w:bCs/>
          <w:sz w:val="24"/>
          <w:szCs w:val="24"/>
        </w:rPr>
      </w:pPr>
      <w:r>
        <w:rPr>
          <w:bCs/>
          <w:sz w:val="24"/>
          <w:szCs w:val="24"/>
        </w:rPr>
        <w:t>данная Информация имеет действительную или потенциальную коммерческую ценность для Генподрядчика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5"/>
        </w:numPr>
        <w:tabs>
          <w:tab w:val="left" w:pos="709" w:leader="none"/>
          <w:tab w:val="left" w:pos="1418" w:leader="none"/>
        </w:tabs>
        <w:spacing w:lineRule="auto" w:line="240"/>
        <w:ind w:left="0" w:firstLine="709"/>
        <w:rPr>
          <w:bCs/>
          <w:sz w:val="24"/>
          <w:szCs w:val="24"/>
        </w:rPr>
      </w:pPr>
      <w:r>
        <w:rPr>
          <w:bCs/>
          <w:sz w:val="24"/>
          <w:szCs w:val="24"/>
        </w:rPr>
        <w:t>данная Информация не относится к категории общедоступной или обязательной к раскрытию Генподрядчиком в соответствии с законодательством Российской Федерации.</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Генподрядчиком закупочных процедур. </w:t>
      </w:r>
    </w:p>
    <w:p>
      <w:pPr>
        <w:pStyle w:val="ListParagraph"/>
        <w:numPr>
          <w:ilvl w:val="1"/>
          <w:numId w:val="3"/>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3"/>
        </w:numPr>
        <w:shd w:val="clear" w:color="auto" w:fill="FFFFFF"/>
        <w:tabs>
          <w:tab w:val="clear" w:pos="709"/>
          <w:tab w:val="left" w:pos="1134" w:leader="none"/>
        </w:tabs>
        <w:ind w:left="0" w:firstLine="709"/>
        <w:jc w:val="both"/>
        <w:rPr>
          <w:bCs/>
        </w:rPr>
      </w:pPr>
      <w:r>
        <w:rPr>
          <w:bCs/>
        </w:rPr>
        <w:t>На документ, содержащий Информацию, Генподрядчиком может быть нанесен гриф «Коммерческая тайна» с указанием обладателя этой информации.</w:t>
      </w:r>
    </w:p>
    <w:p>
      <w:pPr>
        <w:pStyle w:val="ListParagraph"/>
        <w:numPr>
          <w:ilvl w:val="1"/>
          <w:numId w:val="3"/>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учетные регистры бухгалтерского учета;</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бизнес-планы;</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договоры (соглашения), заключаемые или заключенные непосредственно Генподрядчиком либо в его пользу, а также информацию и сведения, содержащиеся в данных договорах (соглашениях);</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сведения о финансовых, правовых, организационных и других взаимоотношениях между Генподрядчиком и третьими лицами;</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сведения о находящихся на регистрации товарных знаках Генподрядчика, а также об объектах интеллектуальной собственности Генподрядчика, сведения о которых не являются опубликованными;</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сведения о Субподрядчиках, поставщиках оборудования и материалов, а также о покупателях продукции Генподрядчика и их аффилированных лицах;</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сведения об объемах производства и / или реализации продукции и услуг Генподрядчика или его аффилированных лиц;</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3"/>
        </w:numPr>
        <w:shd w:val="clear" w:color="auto" w:fill="FFFFFF"/>
        <w:tabs>
          <w:tab w:val="clear" w:pos="709"/>
          <w:tab w:val="left" w:pos="1134" w:leader="none"/>
        </w:tabs>
        <w:ind w:left="0" w:firstLine="709"/>
        <w:jc w:val="both"/>
        <w:rPr>
          <w:bCs/>
        </w:rPr>
      </w:pPr>
      <w:bookmarkStart w:id="36" w:name="_Ref361337849"/>
      <w:r>
        <w:rPr>
          <w:bCs/>
        </w:rPr>
        <w:t>Субподрядчик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36"/>
      <w:r>
        <w:rPr>
          <w:bCs/>
        </w:rPr>
        <w:t xml:space="preserve"> </w:t>
      </w:r>
    </w:p>
    <w:p>
      <w:pPr>
        <w:pStyle w:val="ListParagraph"/>
        <w:numPr>
          <w:ilvl w:val="2"/>
          <w:numId w:val="3"/>
        </w:numPr>
        <w:shd w:val="clear" w:color="auto" w:fill="FFFFFF"/>
        <w:tabs>
          <w:tab w:val="clear" w:pos="709"/>
          <w:tab w:val="left" w:pos="1701" w:leader="none"/>
        </w:tabs>
        <w:ind w:left="0" w:firstLine="709"/>
        <w:jc w:val="both"/>
        <w:rPr>
          <w:bCs/>
        </w:rPr>
      </w:pPr>
      <w:r>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Генподрядчика, за исключением случаев, предусмотренных законодательством Российской Федерации и пунктом </w:t>
      </w:r>
      <w:r>
        <w:rPr>
          <w:bCs/>
        </w:rPr>
        <w:fldChar w:fldCharType="begin"/>
      </w:r>
      <w:r>
        <w:rPr>
          <w:bCs/>
        </w:rPr>
        <w:instrText> REF _Ref361337832 \r \h </w:instrText>
      </w:r>
      <w:r>
        <w:rPr>
          <w:bCs/>
        </w:rPr>
        <w:fldChar w:fldCharType="separate"/>
      </w:r>
      <w:r>
        <w:rPr>
          <w:bCs/>
        </w:rPr>
        <w:t>8.6.7.</w:t>
      </w:r>
      <w:r>
        <w:rPr>
          <w:bCs/>
        </w:rPr>
        <w:fldChar w:fldCharType="end"/>
      </w:r>
      <w:r>
        <w:rPr>
          <w:bCs/>
        </w:rPr>
        <w:t xml:space="preserve"> Договора;</w:t>
      </w:r>
    </w:p>
    <w:p>
      <w:pPr>
        <w:pStyle w:val="ListParagraph"/>
        <w:numPr>
          <w:ilvl w:val="2"/>
          <w:numId w:val="3"/>
        </w:numPr>
        <w:shd w:val="clear" w:color="auto" w:fill="FFFFFF"/>
        <w:tabs>
          <w:tab w:val="clear" w:pos="709"/>
          <w:tab w:val="left" w:pos="1701"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Субподрядчиком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Субподрядчик обязан использовать в отношении защиты Информации, обычно используемые им меры защиты;</w:t>
      </w:r>
    </w:p>
    <w:p>
      <w:pPr>
        <w:pStyle w:val="ListParagraph"/>
        <w:numPr>
          <w:ilvl w:val="2"/>
          <w:numId w:val="3"/>
        </w:numPr>
        <w:shd w:val="clear" w:color="auto" w:fill="FFFFFF"/>
        <w:tabs>
          <w:tab w:val="clear" w:pos="709"/>
          <w:tab w:val="left" w:pos="1701"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3"/>
        </w:numPr>
        <w:shd w:val="clear" w:color="auto" w:fill="FFFFFF"/>
        <w:tabs>
          <w:tab w:val="clear" w:pos="709"/>
          <w:tab w:val="left" w:pos="1701"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3"/>
        </w:numPr>
        <w:shd w:val="clear" w:color="auto" w:fill="FFFFFF"/>
        <w:tabs>
          <w:tab w:val="clear" w:pos="709"/>
          <w:tab w:val="left" w:pos="1701"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Генподрядчика, а также обеспечить содействие, которое потребует Генподрядчик для предотвращения такого несанкционированного раскрытия;</w:t>
      </w:r>
    </w:p>
    <w:p>
      <w:pPr>
        <w:pStyle w:val="ListParagraph"/>
        <w:numPr>
          <w:ilvl w:val="2"/>
          <w:numId w:val="3"/>
        </w:numPr>
        <w:shd w:val="clear" w:color="auto" w:fill="FFFFFF"/>
        <w:tabs>
          <w:tab w:val="clear" w:pos="709"/>
          <w:tab w:val="left" w:pos="1701" w:leader="none"/>
        </w:tabs>
        <w:ind w:left="0" w:firstLine="709"/>
        <w:jc w:val="both"/>
        <w:rPr>
          <w:bCs/>
        </w:rPr>
      </w:pPr>
      <w:r>
        <w:rPr>
          <w:bCs/>
        </w:rPr>
        <w:t xml:space="preserve">по требованию Генподрядчика уничтожить всю Информацию, которую будет невозможно передать Генподрядчику по его запросу или которая будет находиться на технических средствах Субподрядчика. При этом Генподрядчик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3"/>
        </w:numPr>
        <w:shd w:val="clear" w:color="auto" w:fill="FFFFFF"/>
        <w:tabs>
          <w:tab w:val="clear" w:pos="709"/>
          <w:tab w:val="left" w:pos="1701" w:leader="none"/>
        </w:tabs>
        <w:ind w:left="0" w:firstLine="709"/>
        <w:jc w:val="both"/>
        <w:rPr>
          <w:bCs/>
        </w:rPr>
      </w:pPr>
      <w:bookmarkStart w:id="37"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7"/>
    </w:p>
    <w:p>
      <w:pPr>
        <w:pStyle w:val="ListParagraph"/>
        <w:numPr>
          <w:ilvl w:val="2"/>
          <w:numId w:val="3"/>
        </w:numPr>
        <w:shd w:val="clear" w:color="auto" w:fill="FFFFFF"/>
        <w:tabs>
          <w:tab w:val="clear" w:pos="709"/>
          <w:tab w:val="left" w:pos="1701"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3"/>
        </w:numPr>
        <w:shd w:val="clear" w:color="auto" w:fill="FFFFFF"/>
        <w:tabs>
          <w:tab w:val="clear" w:pos="709"/>
          <w:tab w:val="left" w:pos="1134" w:leader="none"/>
        </w:tabs>
        <w:ind w:left="0" w:firstLine="709"/>
        <w:jc w:val="both"/>
        <w:rPr>
          <w:bCs/>
        </w:rPr>
      </w:pPr>
      <w:bookmarkStart w:id="38" w:name="_Ref361337863"/>
      <w:r>
        <w:rPr>
          <w:bCs/>
        </w:rPr>
        <w:t>Субподрядчик, нарушивший условия настоящего раздела Договора, возмещает Генподрядчику убытки, вызванные таким нарушением, в течение 10 (десяти) календарных дней с даты получения соответствующего письменного требования Генподрядчика.</w:t>
      </w:r>
      <w:bookmarkEnd w:id="38"/>
    </w:p>
    <w:p>
      <w:pPr>
        <w:pStyle w:val="ListParagraph"/>
        <w:numPr>
          <w:ilvl w:val="1"/>
          <w:numId w:val="3"/>
        </w:numPr>
        <w:shd w:val="clear" w:color="auto" w:fill="FFFFFF"/>
        <w:tabs>
          <w:tab w:val="clear" w:pos="709"/>
          <w:tab w:val="left" w:pos="1134" w:leader="none"/>
        </w:tabs>
        <w:ind w:left="0" w:firstLine="709"/>
        <w:jc w:val="both"/>
        <w:rPr>
          <w:bCs/>
        </w:rPr>
      </w:pPr>
      <w:r>
        <w:rPr>
          <w:bCs/>
        </w:rPr>
        <w:t>Субподрядчик обязуется обеспечить повторение условий Договора в части соблюдения режима конфиденциальности Информации в договорах, заключаемых с СубСубподрядчиками.</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Субподрядчиком Генподрядчику,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
          <w:bCs/>
        </w:rPr>
      </w:pPr>
      <w:r>
        <w:rPr>
          <w:b/>
          <w:bCs/>
        </w:rPr>
      </w:r>
    </w:p>
    <w:p>
      <w:pPr>
        <w:pStyle w:val="ListParagraph"/>
        <w:numPr>
          <w:ilvl w:val="0"/>
          <w:numId w:val="3"/>
        </w:numPr>
        <w:shd w:val="clear" w:color="auto" w:fill="FFFFFF"/>
        <w:tabs>
          <w:tab w:val="clear" w:pos="709"/>
          <w:tab w:val="left" w:pos="426" w:leader="none"/>
        </w:tabs>
        <w:ind w:left="0" w:hanging="0"/>
        <w:jc w:val="center"/>
        <w:rPr>
          <w:bCs/>
        </w:rPr>
      </w:pPr>
      <w:r>
        <w:rPr>
          <w:b/>
          <w:bCs/>
        </w:rPr>
        <w:t>Разрешение споров</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bookmarkStart w:id="39" w:name="_Ref158829242"/>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bookmarkEnd w:id="39"/>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bCs/>
        </w:rPr>
        <w:t xml:space="preserve">Споры, указанные в пункте </w:t>
      </w:r>
      <w:r>
        <w:rPr>
          <w:bCs/>
        </w:rPr>
        <w:fldChar w:fldCharType="begin"/>
      </w:r>
      <w:r>
        <w:rPr>
          <w:bCs/>
        </w:rPr>
        <w:instrText> REF _Ref158829242 \r \h </w:instrText>
      </w:r>
      <w:r>
        <w:rPr>
          <w:bCs/>
        </w:rPr>
        <w:fldChar w:fldCharType="separate"/>
      </w:r>
      <w:r>
        <w:rPr>
          <w:bCs/>
        </w:rPr>
        <w:t>9.1.</w:t>
      </w:r>
      <w:r>
        <w:rPr>
          <w:bCs/>
        </w:rPr>
        <w:fldChar w:fldCharType="end"/>
      </w:r>
      <w:r>
        <w:rPr>
          <w:bCs/>
        </w:rPr>
        <w:t xml:space="preserve"> Договора, которые не были урегулированы Сторонами путем переговоров, подлежат разрешению в Арбитражном суде города Санкт-Петербурга и Ленинградской области в соответствии с законодательством Российской Федерации.</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rPr>
        <w:fldChar w:fldCharType="begin"/>
      </w:r>
      <w:r>
        <w:rPr>
          <w:bCs/>
        </w:rPr>
        <w:instrText> REF _Ref158829290 \r \h </w:instrText>
      </w:r>
      <w:r>
        <w:rPr>
          <w:bCs/>
        </w:rPr>
        <w:fldChar w:fldCharType="separate"/>
      </w:r>
      <w:r>
        <w:rPr>
          <w:bCs/>
        </w:rPr>
        <w:t>15.6.</w:t>
      </w:r>
      <w:r>
        <w:rPr>
          <w:bCs/>
        </w:rPr>
        <w:fldChar w:fldCharType="end"/>
      </w:r>
      <w:r>
        <w:rPr>
          <w:bCs/>
        </w:rPr>
        <w:t xml:space="preserve"> Договора.</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bCs/>
        </w:rPr>
        <w:t>Срок для рассмотрения претензии – 20 (двадцать)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tabs>
          <w:tab w:val="clear" w:pos="709"/>
          <w:tab w:val="left" w:pos="1134" w:leader="none"/>
          <w:tab w:val="left" w:pos="1418" w:leader="none"/>
        </w:tabs>
        <w:spacing w:lineRule="auto" w:line="240"/>
        <w:rPr>
          <w:bCs/>
        </w:rPr>
      </w:pPr>
      <w:r>
        <w:rPr>
          <w:bCs/>
        </w:rPr>
      </w:r>
    </w:p>
    <w:p>
      <w:pPr>
        <w:pStyle w:val="ListParagraph"/>
        <w:numPr>
          <w:ilvl w:val="0"/>
          <w:numId w:val="3"/>
        </w:numPr>
        <w:shd w:val="clear" w:color="auto" w:fill="FFFFFF"/>
        <w:tabs>
          <w:tab w:val="clear" w:pos="709"/>
          <w:tab w:val="left" w:pos="426" w:leader="none"/>
        </w:tabs>
        <w:ind w:left="0" w:hanging="0"/>
        <w:jc w:val="center"/>
        <w:rPr>
          <w:b/>
          <w:b/>
          <w:bCs/>
        </w:rPr>
      </w:pPr>
      <w:r>
        <w:rPr>
          <w:b/>
          <w:bCs/>
        </w:rPr>
        <w:t>Антикоррупционная оговорка</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 xml:space="preserve"> </w:t>
      </w:r>
      <w:r>
        <w:rPr>
          <w:bCs/>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 xml:space="preserve"> </w:t>
      </w:r>
      <w:r>
        <w:rPr>
          <w:bCs/>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 xml:space="preserve"> </w:t>
      </w:r>
      <w:r>
        <w:rPr>
          <w:bCs/>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3"/>
        </w:numPr>
        <w:shd w:val="clear" w:color="auto" w:fill="FFFFFF"/>
        <w:tabs>
          <w:tab w:val="clear" w:pos="709"/>
          <w:tab w:val="left" w:pos="1134" w:leader="none"/>
          <w:tab w:val="left" w:pos="1418" w:leader="none"/>
        </w:tabs>
        <w:ind w:left="0" w:firstLine="709"/>
        <w:jc w:val="both"/>
        <w:rPr>
          <w:szCs w:val="24"/>
        </w:rPr>
      </w:pPr>
      <w:r>
        <w:rPr>
          <w:szCs w:val="24"/>
        </w:rPr>
        <w:t xml:space="preserve">Каналы связи Линия доверия Группы РусГидро: </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10.7.1. Электронная почта: ld@rushydro.ru.</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10.7.2.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spacing w:lineRule="auto" w:line="240"/>
        <w:ind w:firstLine="709"/>
        <w:rPr>
          <w:sz w:val="24"/>
          <w:szCs w:val="24"/>
        </w:rPr>
      </w:pPr>
      <w:r>
        <w:rPr>
          <w:sz w:val="24"/>
          <w:szCs w:val="24"/>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b/>
          <w:sz w:val="24"/>
          <w:szCs w:val="24"/>
        </w:rPr>
      </w:pPr>
      <w:r>
        <w:rPr>
          <w:b/>
          <w:sz w:val="24"/>
          <w:szCs w:val="24"/>
        </w:rPr>
      </w:r>
    </w:p>
    <w:p>
      <w:pPr>
        <w:pStyle w:val="Normal"/>
        <w:tabs>
          <w:tab w:val="left" w:pos="709" w:leader="none"/>
        </w:tabs>
        <w:spacing w:lineRule="auto" w:line="240"/>
        <w:ind w:hanging="0"/>
        <w:rPr>
          <w:b/>
          <w:b/>
          <w:sz w:val="24"/>
          <w:szCs w:val="24"/>
        </w:rPr>
      </w:pPr>
      <w:r>
        <w:rPr>
          <w:b/>
          <w:sz w:val="24"/>
          <w:szCs w:val="24"/>
        </w:rPr>
      </w:r>
    </w:p>
    <w:p>
      <w:pPr>
        <w:pStyle w:val="Normal"/>
        <w:tabs>
          <w:tab w:val="left" w:pos="709" w:leader="none"/>
        </w:tabs>
        <w:spacing w:lineRule="auto" w:line="240"/>
        <w:ind w:hanging="0"/>
        <w:rPr>
          <w:b/>
          <w:b/>
          <w:sz w:val="24"/>
          <w:szCs w:val="24"/>
        </w:rPr>
      </w:pPr>
      <w:r>
        <w:rPr>
          <w:b/>
          <w:sz w:val="24"/>
          <w:szCs w:val="24"/>
        </w:rPr>
      </w:r>
    </w:p>
    <w:p>
      <w:pPr>
        <w:pStyle w:val="Normal"/>
        <w:tabs>
          <w:tab w:val="left" w:pos="709" w:leader="none"/>
        </w:tabs>
        <w:spacing w:lineRule="auto" w:line="240"/>
        <w:ind w:hanging="0"/>
        <w:rPr>
          <w:b/>
          <w:b/>
          <w:sz w:val="24"/>
          <w:szCs w:val="24"/>
        </w:rPr>
      </w:pPr>
      <w:r>
        <w:rPr>
          <w:b/>
          <w:sz w:val="24"/>
          <w:szCs w:val="24"/>
        </w:rPr>
      </w:r>
    </w:p>
    <w:p>
      <w:pPr>
        <w:pStyle w:val="ListParagraph"/>
        <w:numPr>
          <w:ilvl w:val="0"/>
          <w:numId w:val="3"/>
        </w:numPr>
        <w:shd w:val="clear" w:color="auto" w:fill="FFFFFF"/>
        <w:tabs>
          <w:tab w:val="clear" w:pos="709"/>
          <w:tab w:val="left" w:pos="426" w:leader="none"/>
        </w:tabs>
        <w:ind w:left="0" w:hanging="0"/>
        <w:jc w:val="center"/>
        <w:rPr>
          <w:b/>
          <w:b/>
          <w:bCs/>
        </w:rPr>
      </w:pPr>
      <w:r>
        <w:rPr>
          <w:b/>
          <w:bCs/>
        </w:rPr>
        <w:t>Обстоятельства непреодолимой силы (форс-мажор)</w:t>
      </w:r>
    </w:p>
    <w:p>
      <w:pPr>
        <w:pStyle w:val="ListParagraph"/>
        <w:numPr>
          <w:ilvl w:val="1"/>
          <w:numId w:val="3"/>
        </w:numPr>
        <w:shd w:val="clear" w:color="auto" w:fill="FFFFFF"/>
        <w:tabs>
          <w:tab w:val="clear" w:pos="709"/>
          <w:tab w:val="left" w:pos="1134" w:leader="none"/>
        </w:tabs>
        <w:ind w:left="0" w:firstLine="709"/>
        <w:jc w:val="both"/>
        <w:rPr>
          <w:bCs/>
        </w:rPr>
      </w:pPr>
      <w:bookmarkStart w:id="40" w:name="_Ref158824754"/>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и других, не зависящих от воли Сторон обстоятельств, повлекших за собой невозможность выполнения Сторонами своих обязательств по Договору.</w:t>
      </w:r>
      <w:bookmarkEnd w:id="40"/>
    </w:p>
    <w:p>
      <w:pPr>
        <w:pStyle w:val="ListParagraph"/>
        <w:numPr>
          <w:ilvl w:val="1"/>
          <w:numId w:val="3"/>
        </w:numPr>
        <w:shd w:val="clear" w:color="auto" w:fill="FFFFFF"/>
        <w:tabs>
          <w:tab w:val="clear" w:pos="709"/>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3"/>
        </w:numPr>
        <w:shd w:val="clear" w:color="auto" w:fill="FFFFFF"/>
        <w:tabs>
          <w:tab w:val="clear" w:pos="709"/>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3"/>
        </w:numPr>
        <w:shd w:val="clear" w:color="auto" w:fill="FFFFFF"/>
        <w:tabs>
          <w:tab w:val="clear" w:pos="709"/>
          <w:tab w:val="left" w:pos="1134" w:leader="none"/>
        </w:tabs>
        <w:ind w:left="0" w:firstLine="709"/>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3"/>
        </w:numPr>
        <w:shd w:val="clear" w:color="auto" w:fill="FFFFFF"/>
        <w:tabs>
          <w:tab w:val="clear" w:pos="709"/>
          <w:tab w:val="left" w:pos="56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spacing w:lineRule="auto" w:line="240"/>
        <w:ind w:hanging="0"/>
        <w:rPr>
          <w:sz w:val="24"/>
          <w:szCs w:val="24"/>
        </w:rPr>
      </w:pPr>
      <w:r>
        <w:rPr>
          <w:sz w:val="24"/>
          <w:szCs w:val="24"/>
        </w:rPr>
      </w:r>
    </w:p>
    <w:p>
      <w:pPr>
        <w:pStyle w:val="ListParagraph"/>
        <w:numPr>
          <w:ilvl w:val="0"/>
          <w:numId w:val="3"/>
        </w:numPr>
        <w:shd w:val="clear" w:color="auto" w:fill="FFFFFF"/>
        <w:tabs>
          <w:tab w:val="clear" w:pos="709"/>
          <w:tab w:val="left" w:pos="426" w:leader="none"/>
        </w:tabs>
        <w:ind w:left="0" w:hanging="0"/>
        <w:jc w:val="center"/>
        <w:rPr>
          <w:b/>
          <w:b/>
          <w:bCs/>
        </w:rPr>
      </w:pPr>
      <w:r>
        <w:rPr>
          <w:b/>
          <w:bCs/>
        </w:rPr>
        <w:t>Особые положения</w:t>
      </w:r>
    </w:p>
    <w:p>
      <w:pPr>
        <w:pStyle w:val="ListParagraph"/>
        <w:numPr>
          <w:ilvl w:val="1"/>
          <w:numId w:val="3"/>
        </w:numPr>
        <w:shd w:val="clear" w:color="auto" w:fill="FFFFFF"/>
        <w:tabs>
          <w:tab w:val="clear" w:pos="709"/>
          <w:tab w:val="left" w:pos="1134" w:leader="none"/>
        </w:tabs>
        <w:ind w:left="0" w:firstLine="709"/>
        <w:jc w:val="both"/>
        <w:rPr>
          <w:bCs/>
        </w:rPr>
      </w:pPr>
      <w:bookmarkStart w:id="41" w:name="_Ref361337900"/>
      <w:bookmarkStart w:id="42" w:name="_Ref158829350"/>
      <w:r>
        <w:rPr>
          <w:bCs/>
        </w:rPr>
        <w:t>Субподрядчик обязуется не привлекать и не допускать привлечения к исполнению обязательств по Договору организации:</w:t>
      </w:r>
      <w:bookmarkEnd w:id="42"/>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 </w:t>
      </w: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tgtFrame="consultantplus://offline/ref=94D5CE8889791A29DE57299515463A9D6134D8237B999C803E6F853513x2A2P">
        <w:r>
          <w:rPr>
            <w:bCs/>
          </w:rPr>
          <w:t>№ 18162/09</w:t>
        </w:r>
      </w:hyperlink>
      <w:r>
        <w:rPr>
          <w:bCs/>
        </w:rPr>
        <w:t xml:space="preserve"> и от 25.05.2010 </w:t>
      </w:r>
      <w:hyperlink r:id="rId3" w:tgtFrame="consultantplus://offline/ref=94D5CE8889791A29DE57299515463A9D6135D2287D929C803E6F853513x2A2P">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tgtFrame="consultantplus://offline/ref=79440D5123ABA6A25F43346AB59DBAAC7032C8E1556DA64FAED62E167F76889C2B7C475C32EFC59BJ8rDH">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41"/>
    </w:p>
    <w:p>
      <w:pPr>
        <w:pStyle w:val="ListParagraph"/>
        <w:numPr>
          <w:ilvl w:val="1"/>
          <w:numId w:val="3"/>
        </w:numPr>
        <w:shd w:val="clear" w:color="auto" w:fill="FFFFFF"/>
        <w:tabs>
          <w:tab w:val="clear" w:pos="709"/>
          <w:tab w:val="left" w:pos="1134" w:leader="none"/>
        </w:tabs>
        <w:ind w:left="0" w:firstLine="709"/>
        <w:jc w:val="both"/>
        <w:rPr>
          <w:bCs/>
        </w:rPr>
      </w:pPr>
      <w:bookmarkStart w:id="43" w:name="_Ref361337921"/>
      <w:r>
        <w:rPr>
          <w:bCs/>
        </w:rPr>
        <w:t xml:space="preserve">Субподрядчик обязуется незамедлительно уведомить Генподрядчика о появлении в ходе исполнения Договора у привлеченных Субподрядчиком СубСубподрядчиков признаков недобросовестности, указанных в пункте </w:t>
      </w:r>
      <w:r>
        <w:rPr>
          <w:bCs/>
        </w:rPr>
        <w:fldChar w:fldCharType="begin"/>
      </w:r>
      <w:r>
        <w:rPr>
          <w:bCs/>
        </w:rPr>
        <w:instrText> REF _Ref158829350 \r \h </w:instrText>
      </w:r>
      <w:r>
        <w:rPr>
          <w:bCs/>
        </w:rPr>
        <w:fldChar w:fldCharType="separate"/>
      </w:r>
      <w:r>
        <w:rPr>
          <w:bCs/>
        </w:rPr>
        <w:t>12.1.</w:t>
      </w:r>
      <w:r>
        <w:rPr>
          <w:bCs/>
        </w:rPr>
        <w:fldChar w:fldCharType="end"/>
      </w:r>
      <w:r>
        <w:rPr>
          <w:bCs/>
        </w:rPr>
        <w:t xml:space="preserve"> Договора, а также обеспечить прекращение участия таких организаций в исполнении Договора.</w:t>
      </w:r>
      <w:bookmarkEnd w:id="43"/>
    </w:p>
    <w:p>
      <w:pPr>
        <w:pStyle w:val="ListParagraph"/>
        <w:numPr>
          <w:ilvl w:val="1"/>
          <w:numId w:val="3"/>
        </w:numPr>
        <w:shd w:val="clear" w:color="auto" w:fill="FFFFFF"/>
        <w:tabs>
          <w:tab w:val="clear" w:pos="709"/>
          <w:tab w:val="left" w:pos="1134" w:leader="none"/>
        </w:tabs>
        <w:ind w:left="0" w:firstLine="709"/>
        <w:jc w:val="both"/>
        <w:rPr>
          <w:bCs/>
        </w:rPr>
      </w:pPr>
      <w:bookmarkStart w:id="44" w:name="_Ref361337948"/>
      <w:r>
        <w:rPr>
          <w:bCs/>
        </w:rPr>
        <w:t xml:space="preserve">В случае нарушения Субподрядчиком обязательств, установленных пунктами </w:t>
      </w:r>
      <w:r>
        <w:rPr>
          <w:bCs/>
        </w:rPr>
        <w:fldChar w:fldCharType="begin"/>
      </w:r>
      <w:r>
        <w:rPr>
          <w:bCs/>
        </w:rPr>
        <w:instrText> REF _Ref158829350 \r \h </w:instrText>
      </w:r>
      <w:r>
        <w:rPr>
          <w:bCs/>
        </w:rPr>
        <w:fldChar w:fldCharType="separate"/>
      </w:r>
      <w:r>
        <w:rPr>
          <w:bCs/>
        </w:rPr>
        <w:t>12.1.</w:t>
      </w:r>
      <w:r>
        <w:rPr>
          <w:bCs/>
        </w:rPr>
        <w:fldChar w:fldCharType="end"/>
      </w:r>
      <w:r>
        <w:rPr>
          <w:bCs/>
        </w:rPr>
        <w:t xml:space="preserve">, </w:t>
      </w:r>
      <w:r>
        <w:rPr>
          <w:bCs/>
        </w:rPr>
        <w:fldChar w:fldCharType="begin"/>
      </w:r>
      <w:r>
        <w:rPr>
          <w:bCs/>
        </w:rPr>
        <w:instrText> REF _Ref361337921 \r \h </w:instrText>
      </w:r>
      <w:r>
        <w:rPr>
          <w:bCs/>
        </w:rPr>
        <w:fldChar w:fldCharType="separate"/>
      </w:r>
      <w:r>
        <w:rPr>
          <w:bCs/>
        </w:rPr>
        <w:t>12.2.</w:t>
      </w:r>
      <w:r>
        <w:rPr>
          <w:bCs/>
        </w:rPr>
        <w:fldChar w:fldCharType="end"/>
      </w:r>
      <w:r>
        <w:rPr>
          <w:bCs/>
        </w:rPr>
        <w:t xml:space="preserve"> Договора, Генподрядчик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Субподрядчиком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Генподрядчик не отзовет указанное уведомление по итогам рассмотрения мотивированных письменных возражений Субподрядчика, представленных до наступления указанной Генподрядчиком даты расторжения.</w:t>
      </w:r>
      <w:bookmarkEnd w:id="44"/>
    </w:p>
    <w:p>
      <w:pPr>
        <w:pStyle w:val="ListParagraph"/>
        <w:numPr>
          <w:ilvl w:val="1"/>
          <w:numId w:val="3"/>
        </w:numPr>
        <w:shd w:val="clear" w:color="auto" w:fill="FFFFFF"/>
        <w:tabs>
          <w:tab w:val="clear" w:pos="709"/>
          <w:tab w:val="left" w:pos="1134" w:leader="none"/>
        </w:tabs>
        <w:ind w:left="0" w:firstLine="709"/>
        <w:jc w:val="both"/>
        <w:rPr>
          <w:bCs/>
        </w:rPr>
      </w:pPr>
      <w:bookmarkStart w:id="45" w:name="_Ref361337980"/>
      <w:r>
        <w:rPr>
          <w:bCs/>
        </w:rPr>
        <w:t xml:space="preserve">Субподрядчик обязан уплатить Генподрядчику штраф в размере суммы денежных средств, перечисленных организации, отвечающей признакам недобросовестности, а также дополнительно компенсировать Генподрядчику убытки, причиненные в результате нарушения обязательств, установленных пунктами </w:t>
      </w:r>
      <w:r>
        <w:rPr>
          <w:bCs/>
        </w:rPr>
        <w:fldChar w:fldCharType="begin"/>
      </w:r>
      <w:r>
        <w:rPr>
          <w:bCs/>
        </w:rPr>
        <w:instrText> REF _Ref158829350 \r \h </w:instrText>
      </w:r>
      <w:r>
        <w:rPr>
          <w:bCs/>
        </w:rPr>
        <w:fldChar w:fldCharType="separate"/>
      </w:r>
      <w:r>
        <w:rPr>
          <w:bCs/>
        </w:rPr>
        <w:t>12.1.</w:t>
      </w:r>
      <w:r>
        <w:rPr>
          <w:bCs/>
        </w:rPr>
        <w:fldChar w:fldCharType="end"/>
      </w:r>
      <w:r>
        <w:rPr>
          <w:bCs/>
        </w:rPr>
        <w:t xml:space="preserve">, </w:t>
      </w:r>
      <w:r>
        <w:rPr>
          <w:bCs/>
        </w:rPr>
        <w:fldChar w:fldCharType="begin"/>
      </w:r>
      <w:r>
        <w:rPr>
          <w:bCs/>
        </w:rPr>
        <w:instrText> REF _Ref361337921 \r \h </w:instrText>
      </w:r>
      <w:r>
        <w:rPr>
          <w:bCs/>
        </w:rPr>
        <w:fldChar w:fldCharType="separate"/>
      </w:r>
      <w:r>
        <w:rPr>
          <w:bCs/>
        </w:rPr>
        <w:t>12.2.</w:t>
      </w:r>
      <w:r>
        <w:rPr>
          <w:bCs/>
        </w:rPr>
        <w:fldChar w:fldCharType="end"/>
      </w:r>
      <w:r>
        <w:rPr>
          <w:bCs/>
        </w:rPr>
        <w:t xml:space="preserve"> Договора.</w:t>
      </w:r>
      <w:bookmarkEnd w:id="45"/>
    </w:p>
    <w:p>
      <w:pPr>
        <w:pStyle w:val="ListParagraph"/>
        <w:numPr>
          <w:ilvl w:val="1"/>
          <w:numId w:val="3"/>
        </w:numPr>
        <w:shd w:val="clear" w:color="auto" w:fill="FFFFFF"/>
        <w:tabs>
          <w:tab w:val="clear" w:pos="709"/>
          <w:tab w:val="left" w:pos="1134" w:leader="none"/>
        </w:tabs>
        <w:ind w:left="0" w:firstLine="709"/>
        <w:jc w:val="both"/>
        <w:rPr>
          <w:bCs/>
        </w:rPr>
      </w:pPr>
      <w:bookmarkStart w:id="46" w:name="_Ref373243071"/>
      <w:r>
        <w:rPr>
          <w:bCs/>
        </w:rPr>
        <w:t xml:space="preserve">Штраф, предусмотренный пунктом </w:t>
      </w:r>
      <w:r>
        <w:rPr>
          <w:bCs/>
        </w:rPr>
        <w:fldChar w:fldCharType="begin"/>
      </w:r>
      <w:r>
        <w:rPr>
          <w:bCs/>
        </w:rPr>
        <w:instrText> REF _Ref361337980 \r \h </w:instrText>
      </w:r>
      <w:r>
        <w:rPr>
          <w:bCs/>
        </w:rPr>
        <w:fldChar w:fldCharType="separate"/>
      </w:r>
      <w:r>
        <w:rPr>
          <w:bCs/>
        </w:rPr>
        <w:t>12.4.</w:t>
      </w:r>
      <w:r>
        <w:rPr>
          <w:bCs/>
        </w:rPr>
        <w:fldChar w:fldCharType="end"/>
      </w:r>
      <w:r>
        <w:rPr>
          <w:bCs/>
        </w:rPr>
        <w:t xml:space="preserve"> Договора, оплачивается Субподрядчиком в течение 10 (десяти) рабочих дней с даты получения соответствующего письменного требования Генподрядчика. Генподрядчик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Pr>
          <w:bCs/>
        </w:rPr>
        <w:fldChar w:fldCharType="begin"/>
      </w:r>
      <w:r>
        <w:rPr>
          <w:bCs/>
        </w:rPr>
        <w:instrText> REF _Ref361337948 \r \h </w:instrText>
      </w:r>
      <w:r>
        <w:rPr>
          <w:bCs/>
        </w:rPr>
        <w:fldChar w:fldCharType="separate"/>
      </w:r>
      <w:r>
        <w:rPr>
          <w:bCs/>
        </w:rPr>
        <w:t>12.3.</w:t>
      </w:r>
      <w:r>
        <w:rPr>
          <w:bCs/>
        </w:rPr>
        <w:fldChar w:fldCharType="end"/>
      </w:r>
      <w:r>
        <w:rPr>
          <w:bCs/>
        </w:rPr>
        <w:t xml:space="preserve"> Договора.</w:t>
      </w:r>
      <w:bookmarkEnd w:id="46"/>
    </w:p>
    <w:p>
      <w:pPr>
        <w:pStyle w:val="ListParagraph"/>
        <w:numPr>
          <w:ilvl w:val="1"/>
          <w:numId w:val="3"/>
        </w:numPr>
        <w:shd w:val="clear" w:color="auto" w:fill="FFFFFF"/>
        <w:tabs>
          <w:tab w:val="clear" w:pos="709"/>
          <w:tab w:val="left" w:pos="1134" w:leader="none"/>
        </w:tabs>
        <w:ind w:left="0" w:firstLine="709"/>
        <w:jc w:val="both"/>
        <w:rPr>
          <w:bCs/>
        </w:rPr>
      </w:pPr>
      <w:bookmarkStart w:id="47" w:name="_Ref361337992"/>
      <w:r>
        <w:rPr>
          <w:bCs/>
        </w:rPr>
        <w:t xml:space="preserve">Генподрядчик вправе приостановить осуществление любых платежей по Договору, причитающихся Субподрядчику, независимо от наличия оснований и наступления сроков таких платежей, до уплаты Субподрядчиком штрафа, предусмотренного пунктом </w:t>
      </w:r>
      <w:r>
        <w:rPr>
          <w:bCs/>
        </w:rPr>
        <w:fldChar w:fldCharType="begin"/>
      </w:r>
      <w:r>
        <w:rPr>
          <w:bCs/>
        </w:rPr>
        <w:instrText> REF _Ref361337980 \r \h </w:instrText>
      </w:r>
      <w:r>
        <w:rPr>
          <w:bCs/>
        </w:rPr>
        <w:fldChar w:fldCharType="separate"/>
      </w:r>
      <w:r>
        <w:rPr>
          <w:bCs/>
        </w:rPr>
        <w:t>12.4.</w:t>
      </w:r>
      <w:r>
        <w:rPr>
          <w:bCs/>
        </w:rPr>
        <w:fldChar w:fldCharType="end"/>
      </w:r>
      <w:r>
        <w:rPr>
          <w:bCs/>
        </w:rPr>
        <w:t xml:space="preserve"> Договора. При этом Генподрядчик не будет считаться просрочившим и / или нарушившим свои обязательства по Договору.</w:t>
      </w:r>
      <w:bookmarkEnd w:id="47"/>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Независимо от других положений Договора, положения пунктов 13.4, </w:t>
      </w:r>
      <w:r>
        <w:rPr>
          <w:bCs/>
        </w:rPr>
        <w:fldChar w:fldCharType="begin"/>
      </w:r>
      <w:r>
        <w:rPr>
          <w:bCs/>
        </w:rPr>
        <w:instrText> REF _Ref373243071 \r \h </w:instrText>
      </w:r>
      <w:r>
        <w:rPr>
          <w:bCs/>
        </w:rPr>
        <w:fldChar w:fldCharType="separate"/>
      </w:r>
      <w:r>
        <w:rPr>
          <w:bCs/>
        </w:rPr>
        <w:t>12.5.</w:t>
      </w:r>
      <w:r>
        <w:rPr>
          <w:bCs/>
        </w:rPr>
        <w:fldChar w:fldCharType="end"/>
      </w:r>
      <w:r>
        <w:rPr>
          <w:bCs/>
        </w:rPr>
        <w:t xml:space="preserve">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left="142" w:hanging="0"/>
        <w:rPr>
          <w:bCs/>
        </w:rPr>
      </w:pPr>
      <w:r>
        <w:rPr>
          <w:bCs/>
        </w:rPr>
      </w:r>
    </w:p>
    <w:p>
      <w:pPr>
        <w:pStyle w:val="ListParagraph"/>
        <w:numPr>
          <w:ilvl w:val="0"/>
          <w:numId w:val="3"/>
        </w:numPr>
        <w:shd w:val="clear" w:color="auto" w:fill="FFFFFF"/>
        <w:tabs>
          <w:tab w:val="clear" w:pos="709"/>
          <w:tab w:val="left" w:pos="426" w:leader="none"/>
        </w:tabs>
        <w:ind w:left="0" w:hanging="0"/>
        <w:jc w:val="center"/>
        <w:rPr>
          <w:b/>
          <w:b/>
        </w:rPr>
      </w:pPr>
      <w:bookmarkStart w:id="48" w:name="_Ref158828797"/>
      <w:r>
        <w:rPr>
          <w:b/>
          <w:bCs/>
        </w:rPr>
        <w:t>Заверения</w:t>
      </w:r>
      <w:r>
        <w:rPr>
          <w:b/>
        </w:rPr>
        <w:t xml:space="preserve"> Сторон</w:t>
      </w:r>
      <w:bookmarkEnd w:id="48"/>
    </w:p>
    <w:p>
      <w:pPr>
        <w:pStyle w:val="ListParagraph"/>
        <w:numPr>
          <w:ilvl w:val="1"/>
          <w:numId w:val="3"/>
        </w:numPr>
        <w:shd w:val="clear" w:color="auto" w:fill="FFFFFF"/>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3"/>
        </w:numPr>
        <w:shd w:val="clear" w:color="auto" w:fill="FFFFFF"/>
        <w:tabs>
          <w:tab w:val="clear" w:pos="709"/>
          <w:tab w:val="left" w:pos="1134" w:leader="none"/>
          <w:tab w:val="left" w:pos="1418" w:leader="none"/>
        </w:tabs>
        <w:ind w:left="0" w:firstLine="709"/>
        <w:jc w:val="both"/>
        <w:rPr/>
      </w:pPr>
      <w:r>
        <w:rPr/>
        <w:t>Субподрядчик заявляет и заверяет Генподрядчика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учредителем / учредителями Субподрядчика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left="0" w:firstLine="709"/>
        <w:jc w:val="both"/>
        <w:rPr/>
      </w:pPr>
      <w:r>
        <w:rPr/>
        <w:t>руководителем Субподрядчика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left="0" w:firstLine="709"/>
        <w:jc w:val="both"/>
        <w:rPr/>
      </w:pPr>
      <w:r>
        <w:rPr/>
        <w:t xml:space="preserve">Субподрядчик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left="0" w:firstLine="709"/>
        <w:jc w:val="both"/>
        <w:rPr/>
      </w:pPr>
      <w:r>
        <w:rPr/>
        <w:t>Субподрядчик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Субподрядчик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Субподрядчика должным образом исполнять обязательства, возникающие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Субподрядчика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Субподрядчиком,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 xml:space="preserve">Субподрядчик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Субподрядчик тщательно изучил все регламенты Генподрядчика и подтверждает готовность неукоснительного соблюдения в полном объеме предъявляемых Генподрядчиком требований;</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Субподрядчик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w:t>
      </w:r>
      <w:r>
        <w:rPr>
          <w:shd w:fill="auto" w:val="clear"/>
        </w:rPr>
        <w:t>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left="0" w:firstLine="709"/>
        <w:jc w:val="both"/>
        <w:rPr>
          <w:shd w:fill="auto" w:val="clear"/>
        </w:rPr>
      </w:pPr>
      <w:r>
        <w:rPr>
          <w:shd w:fill="auto" w:val="clear"/>
        </w:rPr>
        <w:t>вся информация, предоставленная Генподрядчику, является достоверной, полной и точной, и Субподрядчик не скрыл никаких обстоятельств, которые при их обнаружении могли бы негативно повлиять на решение Генподрядчика заключить Договор на указанных в нем условиях;</w:t>
      </w:r>
    </w:p>
    <w:p>
      <w:pPr>
        <w:pStyle w:val="ListParagraph"/>
        <w:numPr>
          <w:ilvl w:val="0"/>
          <w:numId w:val="9"/>
        </w:numPr>
        <w:shd w:val="clear" w:color="auto" w:fill="FFFFFF"/>
        <w:tabs>
          <w:tab w:val="clear" w:pos="709"/>
          <w:tab w:val="left" w:pos="567" w:leader="none"/>
          <w:tab w:val="left" w:pos="1418" w:leader="none"/>
        </w:tabs>
        <w:ind w:left="0" w:firstLine="709"/>
        <w:jc w:val="both"/>
        <w:rPr>
          <w:shd w:fill="auto" w:val="clear"/>
        </w:rPr>
      </w:pPr>
      <w:r>
        <w:rPr>
          <w:shd w:fill="auto" w:val="clear"/>
        </w:rPr>
        <w:t>Субподрядчик согласен на многократное применение разработанной им Рабочей документации в качестве типовой рабочей документации (рабочей документации повторного использования) и (или) Результата Инженерных изысканий, полученных для подготовки такой Рабочей документации.</w:t>
      </w:r>
    </w:p>
    <w:p>
      <w:pPr>
        <w:pStyle w:val="Normal"/>
        <w:numPr>
          <w:ilvl w:val="1"/>
          <w:numId w:val="3"/>
        </w:numPr>
        <w:spacing w:lineRule="auto" w:line="240"/>
        <w:ind w:left="0" w:firstLine="709"/>
        <w:rPr>
          <w:shd w:fill="auto" w:val="clear"/>
        </w:rPr>
      </w:pPr>
      <w:r>
        <w:rPr>
          <w:sz w:val="24"/>
          <w:szCs w:val="24"/>
          <w:shd w:fill="auto" w:val="clea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p>
    <w:p>
      <w:pPr>
        <w:pStyle w:val="ListParagraph"/>
        <w:numPr>
          <w:ilvl w:val="1"/>
          <w:numId w:val="3"/>
        </w:numPr>
        <w:shd w:val="clear" w:color="auto" w:fill="FFFFFF"/>
        <w:tabs>
          <w:tab w:val="clear" w:pos="709"/>
          <w:tab w:val="left" w:pos="1134" w:leader="none"/>
          <w:tab w:val="left" w:pos="1418" w:leader="none"/>
        </w:tabs>
        <w:ind w:left="0" w:firstLine="709"/>
        <w:jc w:val="both"/>
        <w:rPr/>
      </w:pPr>
      <w:r>
        <w:rPr/>
        <w:t xml:space="preserve">В случае, если </w:t>
      </w:r>
      <w:r>
        <w:rPr>
          <w:bCs/>
        </w:rPr>
        <w:t>Субподрядчик</w:t>
      </w:r>
      <w:r>
        <w:rPr/>
        <w:t xml:space="preserve"> при заключении Договора предоставил Генподрядчику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Субподрядчик </w:t>
      </w:r>
      <w:r>
        <w:rPr/>
        <w:t xml:space="preserve">обязан по письменному требованию Генподрядчика уплатить последнему штраф в размере 5 (пяти) процентов от Цены Договора, указанной в пункте </w:t>
      </w:r>
      <w:r>
        <w:rPr/>
        <w:fldChar w:fldCharType="begin"/>
      </w:r>
      <w:r>
        <w:rPr/>
        <w:instrText> REF _Ref158829439 \r \h </w:instrText>
      </w:r>
      <w:r>
        <w:rPr/>
        <w:fldChar w:fldCharType="separate"/>
      </w:r>
      <w:r>
        <w:rPr/>
        <w:t>3.1.</w:t>
      </w:r>
      <w:r>
        <w:rPr/>
        <w:fldChar w:fldCharType="end"/>
      </w:r>
      <w:r>
        <w:rPr/>
        <w:t xml:space="preserve"> Договора.</w:t>
      </w:r>
    </w:p>
    <w:p>
      <w:pPr>
        <w:pStyle w:val="ListParagraph"/>
        <w:numPr>
          <w:ilvl w:val="1"/>
          <w:numId w:val="3"/>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b/>
          <w:b/>
        </w:rPr>
      </w:pPr>
      <w:r>
        <w:rPr>
          <w:b/>
        </w:rPr>
      </w:r>
    </w:p>
    <w:p>
      <w:pPr>
        <w:pStyle w:val="ListParagraph"/>
        <w:numPr>
          <w:ilvl w:val="0"/>
          <w:numId w:val="3"/>
        </w:numPr>
        <w:shd w:val="clear" w:color="auto" w:fill="FFFFFF"/>
        <w:tabs>
          <w:tab w:val="clear" w:pos="709"/>
          <w:tab w:val="left" w:pos="426" w:leader="none"/>
        </w:tabs>
        <w:ind w:left="0" w:hanging="0"/>
        <w:jc w:val="center"/>
        <w:rPr>
          <w:b/>
          <w:b/>
        </w:rPr>
      </w:pPr>
      <w:r>
        <w:rPr>
          <w:b/>
          <w:bCs/>
        </w:rPr>
        <w:t>П</w:t>
      </w:r>
      <w:r>
        <w:rPr>
          <w:b/>
        </w:rPr>
        <w:t>рекращение (расторжение)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fldChar w:fldCharType="begin"/>
      </w:r>
      <w:r>
        <w:rPr/>
        <w:instrText> REF _Ref158829290 \r \h </w:instrText>
      </w:r>
      <w:r>
        <w:rPr/>
        <w:fldChar w:fldCharType="separate"/>
      </w:r>
      <w:r>
        <w:rPr/>
        <w:t>15.6.</w:t>
      </w:r>
      <w:r>
        <w:rPr/>
        <w:fldChar w:fldCharType="end"/>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20(двадцати) календарных дней со дня его получения.</w:t>
      </w:r>
    </w:p>
    <w:p>
      <w:pPr>
        <w:pStyle w:val="ListParagraph"/>
        <w:numPr>
          <w:ilvl w:val="1"/>
          <w:numId w:val="3"/>
        </w:numPr>
        <w:shd w:val="clear" w:color="auto" w:fill="FFFFFF"/>
        <w:tabs>
          <w:tab w:val="clear" w:pos="709"/>
          <w:tab w:val="left" w:pos="1134" w:leader="none"/>
        </w:tabs>
        <w:ind w:left="0" w:firstLine="709"/>
        <w:jc w:val="both"/>
        <w:rPr/>
      </w:pPr>
      <w:r>
        <w:rPr/>
        <w:t xml:space="preserve">Генподрядчик вправе в любое время до сдачи ему результатов Работ в одностороннем внесудебном порядке отказаться от Договора полностью или в части (в т.ч. при Отказе Заказчика от Договора), уплатив Субподрядчику часть установленной Цены Договора, пропорциональную части Работ, выполненных до получения Субподрядчиком уведомления Генподрядчика об отказе от Договора (исполнения Договора). </w:t>
      </w:r>
    </w:p>
    <w:p>
      <w:pPr>
        <w:pStyle w:val="ListParagraph"/>
        <w:numPr>
          <w:ilvl w:val="1"/>
          <w:numId w:val="3"/>
        </w:numPr>
        <w:shd w:val="clear" w:color="auto" w:fill="FFFFFF"/>
        <w:tabs>
          <w:tab w:val="clear" w:pos="709"/>
          <w:tab w:val="left" w:pos="1134" w:leader="none"/>
        </w:tabs>
        <w:ind w:left="0" w:firstLine="709"/>
        <w:jc w:val="both"/>
        <w:rPr/>
      </w:pPr>
      <w:r>
        <w:rPr/>
        <w:t>Возмещение убытков Субподрядчика, вызванных отказом от Договора (исполнения Договора), Генподрядчиком не производится.</w:t>
      </w:r>
    </w:p>
    <w:p>
      <w:pPr>
        <w:pStyle w:val="ListParagraph"/>
        <w:numPr>
          <w:ilvl w:val="1"/>
          <w:numId w:val="3"/>
        </w:numPr>
        <w:shd w:val="clear" w:color="auto" w:fill="FFFFFF"/>
        <w:tabs>
          <w:tab w:val="clear" w:pos="709"/>
          <w:tab w:val="left" w:pos="1134" w:leader="none"/>
        </w:tabs>
        <w:ind w:left="0" w:firstLine="709"/>
        <w:jc w:val="both"/>
        <w:rPr/>
      </w:pPr>
      <w:bookmarkStart w:id="49" w:name="_Ref158829529"/>
      <w:r>
        <w:rPr/>
        <w:t>В случае существенного нарушения Договора Субподрядчиком Генподрядчик вправе в одностороннем внесудебном порядке отказаться от Договора и потребовать полного возмещения Субподрядчиком убытков, причиненных отказом от Договора (исполнения Договора).</w:t>
      </w:r>
      <w:bookmarkEnd w:id="49"/>
    </w:p>
    <w:p>
      <w:pPr>
        <w:pStyle w:val="ListParagraph"/>
        <w:shd w:val="clear" w:color="auto" w:fill="FFFFFF"/>
        <w:tabs>
          <w:tab w:val="clear" w:pos="709"/>
          <w:tab w:val="left" w:pos="1134" w:leader="none"/>
        </w:tabs>
        <w:ind w:left="0" w:firstLine="709"/>
        <w:jc w:val="both"/>
        <w:rPr/>
      </w:pPr>
      <w:r>
        <w:rPr/>
        <w:t>Генподрядчик одновременно с уведомлением об отказе от Договора (исполнения Договора) направляет Субподрядчику письменное требование о возмещении убытков с приложением расчета суммы убытков. Субподрядчик обязан оплатить Генподрядчику убытки не позднее 15 (пятнадцати) календарных дней с момента получения расчета суммы убытков от Генподрядчика.</w:t>
      </w:r>
    </w:p>
    <w:p>
      <w:pPr>
        <w:pStyle w:val="ListParagraph"/>
        <w:numPr>
          <w:ilvl w:val="1"/>
          <w:numId w:val="3"/>
        </w:numPr>
        <w:shd w:val="clear" w:color="auto" w:fill="FFFFFF"/>
        <w:tabs>
          <w:tab w:val="clear" w:pos="709"/>
          <w:tab w:val="left" w:pos="1134" w:leader="none"/>
        </w:tabs>
        <w:ind w:left="0" w:firstLine="709"/>
        <w:jc w:val="both"/>
        <w:rPr/>
      </w:pPr>
      <w:bookmarkStart w:id="50" w:name="_Ref158829535"/>
      <w:r>
        <w:rPr/>
        <w:t>Стороны установили, что существенным нарушением Договора Субподрядчиком является:</w:t>
      </w:r>
      <w:bookmarkEnd w:id="50"/>
    </w:p>
    <w:p>
      <w:pPr>
        <w:pStyle w:val="ListParagraph"/>
        <w:numPr>
          <w:ilvl w:val="0"/>
          <w:numId w:val="7"/>
        </w:numPr>
        <w:tabs>
          <w:tab w:val="clear" w:pos="709"/>
          <w:tab w:val="left" w:pos="1134" w:leader="none"/>
        </w:tabs>
        <w:ind w:left="0" w:right="23" w:firstLine="709"/>
        <w:jc w:val="both"/>
        <w:rPr/>
      </w:pPr>
      <w:r>
        <w:rPr/>
        <w:t>нарушение Субподрядчиком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15 (пятнадцать) календарных дней по причинам, не зависящим от Генподрядчика;</w:t>
      </w:r>
    </w:p>
    <w:p>
      <w:pPr>
        <w:pStyle w:val="ListParagraph"/>
        <w:numPr>
          <w:ilvl w:val="0"/>
          <w:numId w:val="7"/>
        </w:numPr>
        <w:tabs>
          <w:tab w:val="clear" w:pos="709"/>
          <w:tab w:val="left" w:pos="1134" w:leader="none"/>
        </w:tabs>
        <w:ind w:left="0" w:right="23" w:firstLine="709"/>
        <w:jc w:val="both"/>
        <w:rPr/>
      </w:pPr>
      <w:r>
        <w:rPr/>
        <w:t>несоблюдение Субподрядчиком требований к качеству Работ</w:t>
      </w:r>
      <w:r>
        <w:rPr>
          <w:bCs/>
        </w:rPr>
        <w:t>,</w:t>
      </w:r>
      <w:r>
        <w:rPr/>
        <w:t xml:space="preserve"> если исправление выявленных Генподрядчиком недостатков, несоответствий Работ влечет нарушение сроков выполнения Работ более чем на 15 (пятнадцать) календарных дней либо такие недостатки являются неустранимыми;</w:t>
      </w:r>
    </w:p>
    <w:p>
      <w:pPr>
        <w:pStyle w:val="ListParagraph"/>
        <w:numPr>
          <w:ilvl w:val="0"/>
          <w:numId w:val="7"/>
        </w:numPr>
        <w:tabs>
          <w:tab w:val="clear" w:pos="709"/>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left="0" w:right="23" w:firstLine="709"/>
        <w:jc w:val="both"/>
        <w:rPr/>
      </w:pPr>
      <w:r>
        <w:rPr/>
        <w:t>принятие актов государственных органов или организаций, лишающих Субподрядчика в установленном порядке права на производство Работ по Договору;</w:t>
      </w:r>
    </w:p>
    <w:p>
      <w:pPr>
        <w:pStyle w:val="ListParagraph"/>
        <w:numPr>
          <w:ilvl w:val="0"/>
          <w:numId w:val="7"/>
        </w:numPr>
        <w:tabs>
          <w:tab w:val="clear" w:pos="709"/>
          <w:tab w:val="left" w:pos="1134" w:leader="none"/>
        </w:tabs>
        <w:ind w:left="0" w:right="23" w:firstLine="709"/>
        <w:jc w:val="both"/>
        <w:rPr/>
      </w:pPr>
      <w:r>
        <w:rPr/>
        <w:t>наложение ареста на имущество Субподрядчика, введение арбитражным судом процедуры несостоятельности (банкротства) в отношении Субподрядчика;</w:t>
      </w:r>
    </w:p>
    <w:p>
      <w:pPr>
        <w:pStyle w:val="ListParagraph"/>
        <w:numPr>
          <w:ilvl w:val="0"/>
          <w:numId w:val="7"/>
        </w:numPr>
        <w:tabs>
          <w:tab w:val="clear" w:pos="709"/>
          <w:tab w:val="left" w:pos="1134" w:leader="none"/>
        </w:tabs>
        <w:ind w:left="0" w:right="23" w:firstLine="709"/>
        <w:jc w:val="both"/>
        <w:rPr>
          <w:shd w:fill="auto" w:val="clear"/>
        </w:rPr>
      </w:pPr>
      <w:r>
        <w:rPr>
          <w:shd w:fill="auto" w:val="clear"/>
        </w:rPr>
        <w:t>привлечение к выполнению Работ по Договору третьих лиц (СубСубподрядчиков) с нарушением требований, установленных пунктом 4.2.1 Договора;</w:t>
      </w:r>
    </w:p>
    <w:p>
      <w:pPr>
        <w:pStyle w:val="ListParagraph"/>
        <w:numPr>
          <w:ilvl w:val="0"/>
          <w:numId w:val="7"/>
        </w:numPr>
        <w:tabs>
          <w:tab w:val="clear" w:pos="709"/>
          <w:tab w:val="left" w:pos="1134" w:leader="none"/>
        </w:tabs>
        <w:ind w:left="0" w:right="23" w:firstLine="709"/>
        <w:jc w:val="both"/>
        <w:rPr/>
      </w:pPr>
      <w:r>
        <w:rPr>
          <w:shd w:fill="auto" w:val="clear"/>
        </w:rPr>
        <w:t>нарушение более чем на 30 (тридцать) календарных дней сроков предоставлени</w:t>
      </w:r>
      <w:r>
        <w:rPr/>
        <w:t>я документов, подтверждающих обеспечение обязательств по возврату аванса и иных платежей по Договору, отказ в предоставлении Генподрядчику таких документов;</w:t>
      </w:r>
    </w:p>
    <w:p>
      <w:pPr>
        <w:pStyle w:val="ListParagraph"/>
        <w:numPr>
          <w:ilvl w:val="0"/>
          <w:numId w:val="7"/>
        </w:numPr>
        <w:tabs>
          <w:tab w:val="clear" w:pos="709"/>
          <w:tab w:val="left" w:pos="1134" w:leader="none"/>
        </w:tabs>
        <w:ind w:left="0" w:right="23" w:firstLine="709"/>
        <w:jc w:val="both"/>
        <w:rPr/>
      </w:pPr>
      <w:r>
        <w:rPr/>
        <w:t>установление в ходе исполнения Договора фактов несоответствия Субподрядчика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Субподрядчика об обстоятельствах, указанных в разделе 14 Договора, и имеющих существенное значение для его заключения и исполнения.</w:t>
      </w:r>
    </w:p>
    <w:p>
      <w:pPr>
        <w:pStyle w:val="ListParagraph"/>
        <w:numPr>
          <w:ilvl w:val="1"/>
          <w:numId w:val="3"/>
        </w:numPr>
        <w:shd w:val="clear" w:color="auto" w:fill="FFFFFF"/>
        <w:tabs>
          <w:tab w:val="clear" w:pos="709"/>
          <w:tab w:val="left" w:pos="1134" w:leader="none"/>
        </w:tabs>
        <w:ind w:left="0" w:firstLine="709"/>
        <w:jc w:val="both"/>
        <w:rPr/>
      </w:pPr>
      <w:r>
        <w:rPr/>
        <w:t xml:space="preserve">В случае отказа Генподрядчика от Договора в случаях, предусмотренных пунктами </w:t>
      </w:r>
      <w:r>
        <w:rPr/>
        <w:fldChar w:fldCharType="begin"/>
      </w:r>
      <w:r>
        <w:rPr/>
        <w:instrText> REF _Ref158829529 \r \h </w:instrText>
      </w:r>
      <w:r>
        <w:rPr/>
        <w:fldChar w:fldCharType="separate"/>
      </w:r>
      <w:r>
        <w:rPr/>
        <w:t>14.4.</w:t>
      </w:r>
      <w:r>
        <w:rPr/>
        <w:fldChar w:fldCharType="end"/>
      </w:r>
      <w:r>
        <w:rPr/>
        <w:t xml:space="preserve">, </w:t>
      </w:r>
      <w:r>
        <w:rPr/>
        <w:fldChar w:fldCharType="begin"/>
      </w:r>
      <w:r>
        <w:rPr/>
        <w:instrText> REF _Ref158829535 \r \h </w:instrText>
      </w:r>
      <w:r>
        <w:rPr/>
        <w:fldChar w:fldCharType="separate"/>
      </w:r>
      <w:r>
        <w:rPr/>
        <w:t>14.5.</w:t>
      </w:r>
      <w:r>
        <w:rPr/>
        <w:fldChar w:fldCharType="end"/>
      </w:r>
      <w:r>
        <w:rPr/>
        <w:t xml:space="preserve"> Договора, последний считается прекращенным (расторгнутым) со дня, следующего за днем получения Субподрядчиком уведомления Генподрядчика об отказе от Договора (исполнения Договора). </w:t>
      </w:r>
    </w:p>
    <w:p>
      <w:pPr>
        <w:pStyle w:val="ListParagraph"/>
        <w:numPr>
          <w:ilvl w:val="1"/>
          <w:numId w:val="3"/>
        </w:numPr>
        <w:shd w:val="clear" w:color="auto" w:fill="FFFFFF"/>
        <w:tabs>
          <w:tab w:val="clear" w:pos="709"/>
          <w:tab w:val="left" w:pos="1134" w:leader="none"/>
        </w:tabs>
        <w:ind w:left="0" w:firstLine="709"/>
        <w:jc w:val="both"/>
        <w:rPr/>
      </w:pPr>
      <w:r>
        <w:rPr/>
        <w:t>С даты прекращения (расторжения) Договора Субподрядчик обязан прекратить производство Работ, и в согласованные Сторонами сроки:</w:t>
      </w:r>
    </w:p>
    <w:p>
      <w:pPr>
        <w:pStyle w:val="ListParagraph"/>
        <w:numPr>
          <w:ilvl w:val="0"/>
          <w:numId w:val="15"/>
        </w:numPr>
        <w:shd w:val="clear" w:color="auto" w:fill="FFFFFF"/>
        <w:tabs>
          <w:tab w:val="clear" w:pos="709"/>
          <w:tab w:val="left" w:pos="1418" w:leader="none"/>
        </w:tabs>
        <w:ind w:left="0" w:firstLine="709"/>
        <w:jc w:val="both"/>
        <w:rPr/>
      </w:pPr>
      <w:r>
        <w:rPr/>
        <w:t>передать Генподрядчику результаты выполненных Работ, техническую и иную полученную документацию</w:t>
      </w:r>
      <w:r>
        <w:rPr>
          <w:bCs/>
        </w:rPr>
        <w:t>;</w:t>
      </w:r>
    </w:p>
    <w:p>
      <w:pPr>
        <w:pStyle w:val="ListParagraph"/>
        <w:numPr>
          <w:ilvl w:val="1"/>
          <w:numId w:val="3"/>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гарантийных обязательств, а также обязательств Субподрядчика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709" w:hanging="0"/>
        <w:jc w:val="both"/>
        <w:rPr/>
      </w:pPr>
      <w:r>
        <w:rPr/>
      </w:r>
    </w:p>
    <w:p>
      <w:pPr>
        <w:pStyle w:val="ListParagraph"/>
        <w:numPr>
          <w:ilvl w:val="0"/>
          <w:numId w:val="3"/>
        </w:numPr>
        <w:shd w:val="clear" w:color="auto" w:fill="FFFFFF"/>
        <w:tabs>
          <w:tab w:val="clear" w:pos="709"/>
          <w:tab w:val="left" w:pos="426" w:leader="none"/>
        </w:tabs>
        <w:ind w:left="0" w:hanging="0"/>
        <w:jc w:val="center"/>
        <w:rPr>
          <w:b/>
          <w:b/>
          <w:bCs/>
        </w:rPr>
      </w:pPr>
      <w:r>
        <w:rPr>
          <w:b/>
          <w:bCs/>
        </w:rPr>
        <w:t>Заключительные положения</w:t>
      </w:r>
    </w:p>
    <w:p>
      <w:pPr>
        <w:pStyle w:val="ListParagraph"/>
        <w:numPr>
          <w:ilvl w:val="1"/>
          <w:numId w:val="3"/>
        </w:numPr>
        <w:shd w:val="clear" w:color="auto" w:fill="FFFFFF"/>
        <w:tabs>
          <w:tab w:val="clear" w:pos="709"/>
          <w:tab w:val="left" w:pos="1134" w:leader="none"/>
        </w:tabs>
        <w:ind w:left="0" w:firstLine="709"/>
        <w:jc w:val="both"/>
        <w:rPr>
          <w:shd w:fill="auto" w:val="clear"/>
        </w:rPr>
      </w:pPr>
      <w:r>
        <w:rPr>
          <w:shd w:fill="auto"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3"/>
        </w:numPr>
        <w:shd w:val="clear" w:color="auto" w:fill="FFFFFF"/>
        <w:tabs>
          <w:tab w:val="clear" w:pos="709"/>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3"/>
        </w:numPr>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fldChar w:fldCharType="begin"/>
      </w:r>
      <w:r>
        <w:rPr/>
        <w:instrText> REF _Ref158829290 \r \h </w:instrText>
      </w:r>
      <w:r>
        <w:rPr/>
        <w:fldChar w:fldCharType="separate"/>
      </w:r>
      <w:r>
        <w:rPr/>
        <w:t>15.6.</w:t>
      </w:r>
      <w:r>
        <w:rPr/>
        <w:fldChar w:fldCharType="end"/>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3"/>
        </w:numPr>
        <w:shd w:val="clear" w:color="auto" w:fill="FFFFFF"/>
        <w:tabs>
          <w:tab w:val="clear" w:pos="709"/>
          <w:tab w:val="left" w:pos="1134" w:leader="none"/>
        </w:tabs>
        <w:ind w:left="0" w:firstLine="709"/>
        <w:jc w:val="both"/>
        <w:rPr/>
      </w:pPr>
      <w:bookmarkStart w:id="51" w:name="_Ref361338004"/>
      <w:r>
        <w:rPr/>
        <w:t xml:space="preserve">Стороны обязуются уведомлять друг друга об изменении адреса и / или реквизитов, указанных в разделе </w:t>
      </w:r>
      <w:r>
        <w:rPr/>
        <w:fldChar w:fldCharType="begin"/>
      </w:r>
      <w:r>
        <w:rPr/>
        <w:instrText> REF _Ref158829619 \r \h </w:instrText>
      </w:r>
      <w:r>
        <w:rPr/>
        <w:fldChar w:fldCharType="separate"/>
      </w:r>
      <w:r>
        <w:rPr/>
        <w:t>17.</w:t>
      </w:r>
      <w:r>
        <w:rPr/>
        <w:fldChar w:fldCharType="end"/>
      </w:r>
      <w:r>
        <w:rPr/>
        <w:t xml:space="preserve"> Договора, не позднее 3 (трех) рабочих дней после такого изменения в порядке, установленном пунктом </w:t>
      </w:r>
      <w:r>
        <w:rPr/>
        <w:fldChar w:fldCharType="begin"/>
      </w:r>
      <w:r>
        <w:rPr/>
        <w:instrText> REF _Ref158829290 \r \h </w:instrText>
      </w:r>
      <w:r>
        <w:rPr/>
        <w:fldChar w:fldCharType="separate"/>
      </w:r>
      <w:r>
        <w:rPr/>
        <w:t>15.6.</w:t>
      </w:r>
      <w:r>
        <w:rPr/>
        <w:fldChar w:fldCharType="end"/>
      </w:r>
      <w:r>
        <w:rPr/>
        <w:t xml:space="preserve"> Договора.</w:t>
      </w:r>
      <w:bookmarkEnd w:id="51"/>
      <w:r>
        <w:rPr/>
        <w:t xml:space="preserve"> </w:t>
      </w:r>
    </w:p>
    <w:p>
      <w:pPr>
        <w:pStyle w:val="ListParagraph"/>
        <w:numPr>
          <w:ilvl w:val="1"/>
          <w:numId w:val="3"/>
        </w:numPr>
        <w:shd w:val="clear" w:color="auto" w:fill="FFFFFF"/>
        <w:tabs>
          <w:tab w:val="clear" w:pos="709"/>
          <w:tab w:val="left" w:pos="0" w:leader="none"/>
          <w:tab w:val="left" w:pos="1134" w:leader="none"/>
          <w:tab w:val="left" w:pos="1418" w:leader="none"/>
        </w:tabs>
        <w:ind w:left="0" w:firstLine="709"/>
        <w:jc w:val="both"/>
        <w:rPr>
          <w:bCs/>
        </w:rPr>
      </w:pPr>
      <w:bookmarkStart w:id="52" w:name="_Ref158829290"/>
      <w:r>
        <w:rPr/>
        <w:t>Письма, уведомления и / или сообщения направляются Стороне</w:t>
      </w:r>
      <w:r>
        <w:rPr>
          <w:bCs/>
        </w:rPr>
        <w:t>-</w:t>
      </w:r>
      <w:r>
        <w:rPr/>
        <w:t xml:space="preserve">получателю по адресу ее места нахождения, указанному в разделе </w:t>
      </w:r>
      <w:r>
        <w:rPr/>
        <w:fldChar w:fldCharType="begin"/>
      </w:r>
      <w:r>
        <w:rPr/>
        <w:instrText> REF _Ref158829619 \r \h </w:instrText>
      </w:r>
      <w:r>
        <w:rPr/>
        <w:fldChar w:fldCharType="separate"/>
      </w:r>
      <w:r>
        <w:rPr/>
        <w:t>17.</w:t>
      </w:r>
      <w:r>
        <w:rPr/>
        <w:fldChar w:fldCharType="end"/>
      </w:r>
      <w:r>
        <w:rPr/>
        <w:t xml:space="preserve">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w:t>
      </w:r>
      <w:bookmarkEnd w:id="52"/>
      <w:r>
        <w:rPr/>
        <w:t xml:space="preserve"> </w:t>
      </w:r>
    </w:p>
    <w:p>
      <w:pPr>
        <w:pStyle w:val="ListParagraph"/>
        <w:widowControl w:val="false"/>
        <w:numPr>
          <w:ilvl w:val="2"/>
          <w:numId w:val="3"/>
        </w:numPr>
        <w:ind w:left="0" w:firstLine="709"/>
        <w:jc w:val="both"/>
        <w:rPr/>
      </w:pPr>
      <w:bookmarkStart w:id="53" w:name="_Ref158829640"/>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53"/>
    </w:p>
    <w:p>
      <w:pPr>
        <w:pStyle w:val="ListParagraph"/>
        <w:widowControl w:val="false"/>
        <w:numPr>
          <w:ilvl w:val="2"/>
          <w:numId w:val="3"/>
        </w:numPr>
        <w:ind w:left="0" w:firstLine="709"/>
        <w:jc w:val="both"/>
        <w:rPr/>
      </w:pPr>
      <w:bookmarkStart w:id="54" w:name="_Ref158829646"/>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w:t>
      </w:r>
      <w:bookmarkEnd w:id="54"/>
      <w:r>
        <w:rPr/>
        <w:t xml:space="preserve"> </w:t>
      </w:r>
    </w:p>
    <w:p>
      <w:pPr>
        <w:pStyle w:val="ListParagraph"/>
        <w:widowControl w:val="false"/>
        <w:numPr>
          <w:ilvl w:val="2"/>
          <w:numId w:val="3"/>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426"/>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rPr>
        <w:fldChar w:fldCharType="begin"/>
      </w:r>
      <w:r>
        <w:rPr>
          <w:bCs/>
        </w:rPr>
        <w:instrText> REF _Ref158829640 \r \h </w:instrText>
      </w:r>
      <w:r>
        <w:rPr>
          <w:bCs/>
        </w:rPr>
        <w:fldChar w:fldCharType="separate"/>
      </w:r>
      <w:r>
        <w:rPr>
          <w:bCs/>
        </w:rPr>
        <w:t>15.6.1.</w:t>
      </w:r>
      <w:r>
        <w:rPr>
          <w:bCs/>
        </w:rPr>
        <w:fldChar w:fldCharType="end"/>
      </w:r>
      <w:r>
        <w:rPr>
          <w:bCs/>
        </w:rPr>
        <w:t xml:space="preserve">– </w:t>
      </w:r>
      <w:r>
        <w:rPr>
          <w:bCs/>
        </w:rPr>
        <w:fldChar w:fldCharType="begin"/>
      </w:r>
      <w:r>
        <w:rPr>
          <w:bCs/>
        </w:rPr>
        <w:instrText> REF _Ref158829646 \r \h </w:instrText>
      </w:r>
      <w:r>
        <w:rPr>
          <w:bCs/>
        </w:rPr>
        <w:fldChar w:fldCharType="separate"/>
      </w:r>
      <w:r>
        <w:rPr>
          <w:bCs/>
        </w:rPr>
        <w:t>15.6.2.</w:t>
      </w:r>
      <w:r>
        <w:rPr>
          <w:bCs/>
        </w:rPr>
        <w:fldChar w:fldCharType="end"/>
      </w:r>
      <w:r>
        <w:rPr>
          <w:bCs/>
        </w:rPr>
        <w:t xml:space="preserve"> Договора. </w:t>
      </w:r>
    </w:p>
    <w:p>
      <w:pPr>
        <w:pStyle w:val="Normal"/>
        <w:numPr>
          <w:ilvl w:val="1"/>
          <w:numId w:val="3"/>
        </w:numPr>
        <w:spacing w:lineRule="auto" w:line="240"/>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3"/>
        </w:numPr>
        <w:shd w:val="clear" w:color="auto" w:fill="FFFFFF"/>
        <w:tabs>
          <w:tab w:val="clear" w:pos="709"/>
          <w:tab w:val="left" w:pos="568" w:leader="none"/>
        </w:tabs>
        <w:ind w:left="0" w:firstLine="709"/>
        <w:jc w:val="both"/>
        <w:rPr>
          <w:bCs/>
        </w:rPr>
      </w:pPr>
      <w:r>
        <w:rPr/>
        <w:t>Уступка (передача), в том числе в залог, прав (требований) к Генподрядчику по денежным обязательствам, принадлежащих Субподрядчику на основании Договора, допускается только с предварительного письменного согласия Генподрядчика и оформляется трехсторонним договором</w:t>
      </w:r>
      <w:r>
        <w:rPr>
          <w:bCs/>
        </w:rPr>
        <w:t>.</w:t>
      </w:r>
      <w:r>
        <w:rPr/>
        <w:t xml:space="preserve"> </w:t>
      </w:r>
    </w:p>
    <w:p>
      <w:pPr>
        <w:pStyle w:val="Normal"/>
        <w:numPr>
          <w:ilvl w:val="0"/>
          <w:numId w:val="0"/>
        </w:numPr>
        <w:snapToGrid w:val="false"/>
        <w:spacing w:lineRule="auto" w:line="240"/>
        <w:ind w:left="0" w:hanging="0"/>
        <w:jc w:val="both"/>
        <w:rPr/>
      </w:pPr>
      <w:r>
        <w:rPr>
          <w:rFonts w:eastAsia="Noto Serif CJK SC" w:cs="Lohit Devanagari"/>
          <w:color w:val="auto"/>
          <w:kern w:val="0"/>
          <w:sz w:val="24"/>
          <w:szCs w:val="24"/>
          <w:lang w:val="ru-RU" w:eastAsia="ru-RU" w:bidi="ar-SA"/>
        </w:rPr>
        <w:t xml:space="preserve">      </w:t>
      </w:r>
      <w:r>
        <w:rPr>
          <w:rFonts w:eastAsia="Noto Serif CJK SC" w:cs="Lohit Devanagari"/>
          <w:color w:val="auto"/>
          <w:kern w:val="0"/>
          <w:sz w:val="24"/>
          <w:szCs w:val="24"/>
          <w:lang w:val="ru-RU" w:eastAsia="ru-RU" w:bidi="ar-SA"/>
        </w:rPr>
        <w:t>15.9.</w:t>
      </w:r>
      <w:r>
        <w:rPr>
          <w:rFonts w:eastAsia="Noto Serif CJK SC" w:cs="Lohit Devanagari"/>
          <w:color w:val="000000"/>
          <w:kern w:val="0"/>
          <w:sz w:val="24"/>
          <w:szCs w:val="24"/>
          <w:shd w:fill="auto" w:val="clear"/>
          <w:lang w:val="ru-RU" w:eastAsia="ru-RU" w:bidi="ar-SA"/>
        </w:rPr>
        <w:t xml:space="preserve">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numPr>
          <w:ilvl w:val="0"/>
          <w:numId w:val="0"/>
        </w:numPr>
        <w:spacing w:lineRule="auto" w:line="240"/>
        <w:ind w:left="0" w:hanging="0"/>
        <w:jc w:val="both"/>
        <w:rPr>
          <w:shd w:fill="auto" w:val="clear"/>
        </w:rPr>
      </w:pPr>
      <w:r>
        <w:rPr>
          <w:rFonts w:eastAsia="Noto Serif CJK SC" w:cs="Lohit Devanagari"/>
          <w:color w:val="000000"/>
          <w:kern w:val="0"/>
          <w:sz w:val="24"/>
          <w:szCs w:val="24"/>
          <w:shd w:fill="auto" w:val="clear"/>
          <w:lang w:val="ru-RU" w:eastAsia="ru-RU" w:bidi="ar-SA"/>
        </w:rPr>
        <w:t xml:space="preserve">          </w:t>
      </w:r>
      <w:r>
        <w:rPr>
          <w:rFonts w:eastAsia="Noto Serif CJK SC" w:cs="Lohit Devanagari"/>
          <w:color w:val="000000"/>
          <w:kern w:val="0"/>
          <w:sz w:val="24"/>
          <w:szCs w:val="24"/>
          <w:shd w:fill="auto" w:val="clear"/>
          <w:lang w:val="ru-RU" w:eastAsia="ru-RU" w:bidi="ar-SA"/>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numPr>
          <w:ilvl w:val="0"/>
          <w:numId w:val="0"/>
        </w:numPr>
        <w:spacing w:lineRule="auto" w:line="240"/>
        <w:ind w:left="0" w:hanging="0"/>
        <w:jc w:val="both"/>
        <w:rPr>
          <w:shd w:fill="auto" w:val="clear"/>
        </w:rPr>
      </w:pPr>
      <w:r>
        <w:rPr>
          <w:rFonts w:eastAsia="Noto Serif CJK SC" w:cs="Lohit Devanagari"/>
          <w:b/>
          <w:bCs/>
          <w:color w:val="000000"/>
          <w:kern w:val="0"/>
          <w:sz w:val="24"/>
          <w:szCs w:val="24"/>
          <w:shd w:fill="auto" w:val="clear"/>
          <w:lang w:val="ru-RU" w:eastAsia="ru-RU" w:bidi="ar-SA"/>
        </w:rPr>
        <w:t xml:space="preserve">Вариант п.15.9. </w:t>
      </w:r>
      <w:r>
        <w:rPr>
          <w:rFonts w:eastAsia="Noto Serif CJK SC" w:cs="Lohit Devanagari"/>
          <w:b w:val="false"/>
          <w:bCs w:val="false"/>
          <w:color w:val="000000"/>
          <w:kern w:val="0"/>
          <w:sz w:val="24"/>
          <w:szCs w:val="24"/>
          <w:shd w:fill="auto" w:val="clear"/>
          <w:lang w:val="ru-RU" w:eastAsia="ru-RU" w:bidi="ar-SA"/>
        </w:rPr>
        <w:t>Договор составлен в 2 (двух) оригинальных экземплярах, имеющих равную юридическую силу, по 1 (одному) для каждой из Сторон</w:t>
      </w:r>
      <w:bookmarkStart w:id="55" w:name="_Hlk172283126"/>
      <w:bookmarkEnd w:id="55"/>
      <w:r>
        <w:rPr>
          <w:rStyle w:val="Style6"/>
          <w:rFonts w:eastAsia="Noto Serif CJK SC" w:cs="Lohit Devanagari"/>
          <w:b w:val="false"/>
          <w:bCs w:val="false"/>
          <w:color w:val="000000"/>
          <w:kern w:val="0"/>
          <w:sz w:val="24"/>
          <w:szCs w:val="24"/>
          <w:shd w:fill="auto" w:val="clear"/>
          <w:lang w:val="ru-RU" w:eastAsia="ru-RU" w:bidi="ar-SA"/>
        </w:rPr>
        <w:footnoteReference w:id="4"/>
      </w:r>
      <w:r>
        <w:rPr>
          <w:rFonts w:eastAsia="Noto Serif CJK SC" w:cs="Lohit Devanagari"/>
          <w:b/>
          <w:bCs/>
          <w:color w:val="000000"/>
          <w:kern w:val="0"/>
          <w:sz w:val="24"/>
          <w:szCs w:val="24"/>
          <w:shd w:fill="auto" w:val="clear"/>
          <w:lang w:val="ru-RU" w:eastAsia="ru-RU" w:bidi="ar-SA"/>
        </w:rPr>
        <w:t>.</w:t>
      </w:r>
    </w:p>
    <w:p>
      <w:pPr>
        <w:pStyle w:val="ListParagraph"/>
        <w:numPr>
          <w:ilvl w:val="0"/>
          <w:numId w:val="0"/>
        </w:numPr>
        <w:shd w:val="clear" w:color="auto" w:fill="FFFFFF"/>
        <w:tabs>
          <w:tab w:val="clear" w:pos="709"/>
          <w:tab w:val="left" w:pos="1134" w:leader="none"/>
        </w:tabs>
        <w:ind w:left="0" w:hanging="0"/>
        <w:jc w:val="both"/>
        <w:rPr/>
      </w:pPr>
      <w:r>
        <w:rPr/>
        <w:t xml:space="preserve">        </w:t>
      </w:r>
      <w:r>
        <w:rPr/>
        <w:t xml:space="preserve">15.10. Во всем остальном, что не урегулировано Договором, Стороны руководствуются законодательством Российской Федерации. </w:t>
      </w:r>
    </w:p>
    <w:p>
      <w:pPr>
        <w:pStyle w:val="ListParagraph"/>
        <w:numPr>
          <w:ilvl w:val="0"/>
          <w:numId w:val="0"/>
        </w:numPr>
        <w:shd w:val="clear" w:color="auto" w:fill="FFFFFF"/>
        <w:tabs>
          <w:tab w:val="clear" w:pos="709"/>
          <w:tab w:val="left" w:pos="1134" w:leader="none"/>
        </w:tabs>
        <w:ind w:left="0" w:hanging="0"/>
        <w:jc w:val="both"/>
        <w:rPr>
          <w:bCs/>
        </w:rPr>
      </w:pPr>
      <w:r>
        <w:rPr>
          <w:bCs/>
        </w:rPr>
      </w:r>
    </w:p>
    <w:p>
      <w:pPr>
        <w:pStyle w:val="ListParagraph"/>
        <w:numPr>
          <w:ilvl w:val="0"/>
          <w:numId w:val="3"/>
        </w:numPr>
        <w:shd w:val="clear" w:color="auto" w:fill="FFFFFF"/>
        <w:tabs>
          <w:tab w:val="clear" w:pos="709"/>
          <w:tab w:val="left" w:pos="426" w:leader="none"/>
        </w:tabs>
        <w:ind w:left="0" w:hanging="0"/>
        <w:jc w:val="center"/>
        <w:rPr>
          <w:b/>
          <w:b/>
          <w:bCs/>
        </w:rPr>
      </w:pPr>
      <w:r>
        <w:rPr>
          <w:b/>
          <w:bCs/>
        </w:rPr>
        <w:t>Список приложений</w:t>
      </w:r>
    </w:p>
    <w:p>
      <w:pPr>
        <w:pStyle w:val="ListParagraph"/>
        <w:shd w:val="clear" w:color="auto" w:fill="FFFFFF"/>
        <w:ind w:left="0" w:hanging="0"/>
        <w:jc w:val="both"/>
        <w:rPr>
          <w:bCs/>
        </w:rPr>
      </w:pPr>
      <w:r>
        <w:rPr/>
        <w:t xml:space="preserve">Приложение № </w:t>
      </w:r>
      <w:r>
        <w:rPr>
          <w:bCs/>
        </w:rPr>
        <w:t>1 – Техническое задание;</w:t>
      </w:r>
    </w:p>
    <w:p>
      <w:pPr>
        <w:pStyle w:val="ListParagraph"/>
        <w:shd w:val="clear" w:color="auto" w:fill="FFFFFF"/>
        <w:ind w:left="0" w:hanging="0"/>
        <w:jc w:val="both"/>
        <w:rPr>
          <w:bCs/>
        </w:rPr>
      </w:pPr>
      <w:r>
        <w:rPr>
          <w:bCs/>
        </w:rPr>
        <w:t>Приложение № 2 – Форма Акта сдачи-приемки выполненных работ;</w:t>
      </w:r>
    </w:p>
    <w:p>
      <w:pPr>
        <w:pStyle w:val="ListParagraph"/>
        <w:shd w:val="clear" w:color="auto" w:fill="FFFFFF"/>
        <w:ind w:left="0" w:hanging="0"/>
        <w:jc w:val="both"/>
        <w:rPr>
          <w:bCs/>
        </w:rPr>
      </w:pPr>
      <w:r>
        <w:rPr>
          <w:bCs/>
        </w:rPr>
        <w:t>Приложение № 3 – Смета;</w:t>
      </w:r>
    </w:p>
    <w:p>
      <w:pPr>
        <w:pStyle w:val="ListParagraph"/>
        <w:shd w:val="clear" w:color="auto" w:fill="FFFFFF"/>
        <w:ind w:left="0" w:hanging="0"/>
        <w:jc w:val="both"/>
        <w:rPr>
          <w:bCs/>
        </w:rPr>
      </w:pPr>
      <w:r>
        <w:rPr>
          <w:bCs/>
        </w:rPr>
        <w:t>Приложение № 4 – Форма Акта сда</w:t>
      </w:r>
      <w:bookmarkStart w:id="56" w:name="_GoBack"/>
      <w:bookmarkEnd w:id="56"/>
      <w:r>
        <w:rPr>
          <w:bCs/>
        </w:rPr>
        <w:t>чи-приемки технической и иной документации;</w:t>
      </w:r>
    </w:p>
    <w:p>
      <w:pPr>
        <w:pStyle w:val="ListParagraph"/>
        <w:shd w:val="clear" w:color="auto" w:fill="FFFFFF"/>
        <w:ind w:left="0" w:hanging="0"/>
        <w:jc w:val="both"/>
        <w:rPr>
          <w:bCs/>
        </w:rPr>
      </w:pPr>
      <w:r>
        <w:rPr>
          <w:bCs/>
        </w:rPr>
        <w:t xml:space="preserve">Приложение № 5 – Перечень допусков, разрешений и лицензий Субподрядчика; </w:t>
      </w:r>
    </w:p>
    <w:p>
      <w:pPr>
        <w:pStyle w:val="ListParagraph"/>
        <w:shd w:val="clear" w:color="auto" w:fill="FFFFFF"/>
        <w:ind w:left="0" w:hanging="0"/>
        <w:jc w:val="both"/>
        <w:rPr>
          <w:bCs/>
        </w:rPr>
      </w:pPr>
      <w:r>
        <w:rPr>
          <w:bCs/>
        </w:rPr>
        <w:t>Приложение № 6 – Размер ответственности Субподрядчика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bCs/>
        </w:rPr>
      </w:pPr>
      <w:r>
        <w:rPr>
          <w:bCs/>
        </w:rPr>
      </w:r>
    </w:p>
    <w:p>
      <w:pPr>
        <w:pStyle w:val="ListParagraph"/>
        <w:numPr>
          <w:ilvl w:val="0"/>
          <w:numId w:val="3"/>
        </w:numPr>
        <w:shd w:val="clear" w:color="auto" w:fill="FFFFFF"/>
        <w:tabs>
          <w:tab w:val="clear" w:pos="709"/>
          <w:tab w:val="left" w:pos="426" w:leader="none"/>
        </w:tabs>
        <w:ind w:left="0" w:hanging="0"/>
        <w:jc w:val="center"/>
        <w:rPr>
          <w:b/>
          <w:b/>
          <w:bCs/>
        </w:rPr>
      </w:pPr>
      <w:bookmarkStart w:id="57" w:name="_Ref158829619"/>
      <w:r>
        <w:rPr>
          <w:b/>
          <w:bCs/>
        </w:rPr>
        <w:t>Адреса и платежные реквизиты Сторон</w:t>
      </w:r>
      <w:bookmarkEnd w:id="57"/>
    </w:p>
    <w:tbl>
      <w:tblPr>
        <w:tblW w:w="9639"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9"/>
        <w:gridCol w:w="149"/>
        <w:gridCol w:w="4630"/>
        <w:gridCol w:w="81"/>
      </w:tblGrid>
      <w:tr>
        <w:trPr/>
        <w:tc>
          <w:tcPr>
            <w:tcW w:w="4928" w:type="dxa"/>
            <w:gridSpan w:val="2"/>
            <w:tcBorders/>
          </w:tcPr>
          <w:p>
            <w:pPr>
              <w:pStyle w:val="Normal"/>
              <w:widowControl w:val="false"/>
              <w:spacing w:lineRule="auto" w:line="240"/>
              <w:ind w:hanging="0"/>
              <w:rPr>
                <w:sz w:val="24"/>
                <w:szCs w:val="24"/>
              </w:rPr>
            </w:pPr>
            <w:r>
              <w:rPr>
                <w:sz w:val="24"/>
                <w:szCs w:val="24"/>
              </w:rPr>
              <w:t>ГЕНПОДРЯДЧИК:</w:t>
            </w:r>
          </w:p>
        </w:tc>
        <w:tc>
          <w:tcPr>
            <w:tcW w:w="4711" w:type="dxa"/>
            <w:gridSpan w:val="2"/>
            <w:tcBorders/>
          </w:tcPr>
          <w:p>
            <w:pPr>
              <w:pStyle w:val="Normal"/>
              <w:widowControl w:val="false"/>
              <w:spacing w:lineRule="auto" w:line="240"/>
              <w:ind w:hanging="0"/>
              <w:rPr>
                <w:sz w:val="24"/>
                <w:szCs w:val="24"/>
              </w:rPr>
            </w:pPr>
            <w:r>
              <w:rPr>
                <w:sz w:val="24"/>
                <w:szCs w:val="24"/>
              </w:rPr>
              <w:t>СУБПОДРЯДЧИК:</w:t>
            </w:r>
          </w:p>
        </w:tc>
      </w:tr>
      <w:tr>
        <w:trPr/>
        <w:tc>
          <w:tcPr>
            <w:tcW w:w="4928" w:type="dxa"/>
            <w:gridSpan w:val="2"/>
            <w:tcBorders/>
            <w:shd w:color="auto" w:fill="auto" w:val="clear"/>
          </w:tcPr>
          <w:p>
            <w:pPr>
              <w:pStyle w:val="Normal"/>
              <w:widowControl w:val="false"/>
              <w:spacing w:lineRule="auto" w:line="240"/>
              <w:ind w:hanging="0"/>
              <w:jc w:val="left"/>
              <w:rPr>
                <w:b/>
                <w:b/>
                <w:sz w:val="24"/>
                <w:szCs w:val="24"/>
              </w:rPr>
            </w:pPr>
            <w:r>
              <w:rPr>
                <w:b/>
                <w:sz w:val="24"/>
                <w:szCs w:val="24"/>
              </w:rPr>
              <w:t>Акционерное общество</w:t>
            </w:r>
            <w:r>
              <w:rPr>
                <w:sz w:val="24"/>
                <w:szCs w:val="24"/>
              </w:rPr>
              <w:t xml:space="preserve"> «Всероссийский научно-исследовательский институт гидротехники имени Б.Е. Веденеева»</w:t>
            </w:r>
          </w:p>
          <w:p>
            <w:pPr>
              <w:pStyle w:val="Normal"/>
              <w:widowControl w:val="false"/>
              <w:ind w:right="-143" w:firstLine="34"/>
              <w:rPr>
                <w:sz w:val="24"/>
                <w:szCs w:val="24"/>
              </w:rPr>
            </w:pPr>
            <w:r>
              <w:rPr>
                <w:sz w:val="24"/>
                <w:szCs w:val="24"/>
              </w:rPr>
              <w:t>(АО «ВНИИГ им. Б.Е. Веденеева»)</w:t>
            </w:r>
          </w:p>
          <w:p>
            <w:pPr>
              <w:pStyle w:val="Normal"/>
              <w:widowControl w:val="false"/>
              <w:spacing w:lineRule="auto" w:line="240"/>
              <w:ind w:right="-143" w:firstLine="34"/>
              <w:rPr>
                <w:sz w:val="24"/>
                <w:szCs w:val="24"/>
              </w:rPr>
            </w:pPr>
            <w:r>
              <w:rPr>
                <w:sz w:val="24"/>
                <w:szCs w:val="24"/>
              </w:rPr>
              <w:t>195220, г. Санкт-Петербург,</w:t>
            </w:r>
          </w:p>
          <w:p>
            <w:pPr>
              <w:pStyle w:val="Normal"/>
              <w:widowControl w:val="false"/>
              <w:spacing w:lineRule="auto" w:line="240"/>
              <w:ind w:hanging="0"/>
              <w:jc w:val="left"/>
              <w:rPr>
                <w:sz w:val="24"/>
                <w:szCs w:val="24"/>
              </w:rPr>
            </w:pPr>
            <w:r>
              <w:rPr>
                <w:sz w:val="24"/>
                <w:szCs w:val="24"/>
              </w:rPr>
              <w:t>ул. Гжатская, д.21.</w:t>
            </w:r>
          </w:p>
          <w:p>
            <w:pPr>
              <w:pStyle w:val="Normal"/>
              <w:widowControl w:val="false"/>
              <w:spacing w:lineRule="auto" w:line="240"/>
              <w:ind w:hanging="0"/>
              <w:jc w:val="left"/>
              <w:rPr>
                <w:sz w:val="24"/>
                <w:szCs w:val="24"/>
              </w:rPr>
            </w:pPr>
            <w:r>
              <w:rPr>
                <w:sz w:val="24"/>
                <w:szCs w:val="24"/>
              </w:rPr>
              <w:t>ИНН 7804004400, КПП 780401001,</w:t>
            </w:r>
          </w:p>
          <w:p>
            <w:pPr>
              <w:pStyle w:val="Normal"/>
              <w:widowControl w:val="false"/>
              <w:spacing w:lineRule="auto" w:line="240"/>
              <w:ind w:right="-143" w:firstLine="34"/>
              <w:rPr>
                <w:sz w:val="24"/>
                <w:szCs w:val="24"/>
              </w:rPr>
            </w:pPr>
            <w:r>
              <w:rPr>
                <w:sz w:val="24"/>
                <w:szCs w:val="24"/>
              </w:rPr>
              <w:t>Код по ОКВЭД 72.19</w:t>
            </w:r>
          </w:p>
          <w:p>
            <w:pPr>
              <w:pStyle w:val="Normal"/>
              <w:widowControl w:val="false"/>
              <w:spacing w:lineRule="auto" w:line="240"/>
              <w:ind w:right="-143" w:firstLine="34"/>
              <w:rPr>
                <w:sz w:val="24"/>
                <w:szCs w:val="24"/>
              </w:rPr>
            </w:pPr>
            <w:r>
              <w:rPr>
                <w:sz w:val="24"/>
                <w:szCs w:val="24"/>
              </w:rPr>
              <w:t>ОГРН 1027802483400</w:t>
            </w:r>
          </w:p>
          <w:p>
            <w:pPr>
              <w:pStyle w:val="Normal"/>
              <w:widowControl w:val="false"/>
              <w:spacing w:lineRule="auto" w:line="240"/>
              <w:ind w:hanging="0"/>
              <w:jc w:val="left"/>
              <w:rPr>
                <w:sz w:val="24"/>
                <w:szCs w:val="24"/>
              </w:rPr>
            </w:pPr>
            <w:r>
              <w:rPr>
                <w:sz w:val="24"/>
                <w:szCs w:val="24"/>
              </w:rPr>
              <w:t>Реквизиты банка:</w:t>
            </w:r>
          </w:p>
          <w:p>
            <w:pPr>
              <w:pStyle w:val="Normal"/>
              <w:widowControl w:val="false"/>
              <w:spacing w:lineRule="auto" w:line="240"/>
              <w:ind w:right="-143" w:firstLine="34"/>
              <w:rPr>
                <w:sz w:val="24"/>
                <w:szCs w:val="24"/>
              </w:rPr>
            </w:pPr>
            <w:r>
              <w:rPr>
                <w:sz w:val="24"/>
                <w:szCs w:val="24"/>
              </w:rPr>
              <w:t>Северо-Западный банк</w:t>
            </w:r>
          </w:p>
          <w:p>
            <w:pPr>
              <w:pStyle w:val="Normal"/>
              <w:widowControl w:val="false"/>
              <w:spacing w:lineRule="auto" w:line="240"/>
              <w:ind w:right="-143" w:firstLine="34"/>
              <w:rPr>
                <w:sz w:val="24"/>
                <w:szCs w:val="24"/>
              </w:rPr>
            </w:pPr>
            <w:r>
              <w:rPr>
                <w:sz w:val="24"/>
                <w:szCs w:val="24"/>
              </w:rPr>
              <w:t>ПАО Сбербанк</w:t>
            </w:r>
          </w:p>
          <w:p>
            <w:pPr>
              <w:pStyle w:val="Normal"/>
              <w:widowControl w:val="false"/>
              <w:spacing w:lineRule="auto" w:line="240"/>
              <w:ind w:right="-143" w:firstLine="34"/>
              <w:rPr>
                <w:sz w:val="24"/>
                <w:szCs w:val="24"/>
              </w:rPr>
            </w:pPr>
            <w:r>
              <w:rPr>
                <w:sz w:val="24"/>
                <w:szCs w:val="24"/>
              </w:rPr>
              <w:t>г. Санкт-Петербург</w:t>
            </w:r>
          </w:p>
          <w:p>
            <w:pPr>
              <w:pStyle w:val="Normal"/>
              <w:widowControl w:val="false"/>
              <w:spacing w:lineRule="auto" w:line="240"/>
              <w:ind w:right="-143" w:firstLine="34"/>
              <w:rPr>
                <w:sz w:val="24"/>
                <w:szCs w:val="24"/>
              </w:rPr>
            </w:pPr>
            <w:r>
              <w:rPr>
                <w:sz w:val="24"/>
                <w:szCs w:val="24"/>
              </w:rPr>
              <w:t>р/с 40702810255080111494</w:t>
            </w:r>
          </w:p>
          <w:p>
            <w:pPr>
              <w:pStyle w:val="Normal"/>
              <w:widowControl w:val="false"/>
              <w:spacing w:lineRule="auto" w:line="240"/>
              <w:ind w:right="-143" w:firstLine="34"/>
              <w:rPr>
                <w:sz w:val="24"/>
                <w:szCs w:val="24"/>
              </w:rPr>
            </w:pPr>
            <w:r>
              <w:rPr>
                <w:sz w:val="24"/>
                <w:szCs w:val="24"/>
              </w:rPr>
              <w:t>к/с 30101810500000000653</w:t>
            </w:r>
          </w:p>
          <w:p>
            <w:pPr>
              <w:pStyle w:val="Normal"/>
              <w:widowControl w:val="false"/>
              <w:spacing w:lineRule="auto" w:line="240"/>
              <w:ind w:hanging="0"/>
              <w:jc w:val="left"/>
              <w:rPr>
                <w:sz w:val="24"/>
                <w:szCs w:val="24"/>
              </w:rPr>
            </w:pPr>
            <w:r>
              <w:rPr>
                <w:sz w:val="24"/>
                <w:szCs w:val="24"/>
              </w:rPr>
              <w:t>БИК      044030653</w:t>
            </w:r>
          </w:p>
        </w:tc>
        <w:tc>
          <w:tcPr>
            <w:tcW w:w="4711" w:type="dxa"/>
            <w:gridSpan w:val="2"/>
            <w:tcBorders/>
            <w:shd w:color="auto" w:fill="auto"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tc>
      </w:tr>
      <w:tr>
        <w:trPr/>
        <w:tc>
          <w:tcPr>
            <w:tcW w:w="4779" w:type="dxa"/>
            <w:tcBorders/>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_______________ / _______________</w:t>
            </w:r>
          </w:p>
          <w:p>
            <w:pPr>
              <w:pStyle w:val="Normal"/>
              <w:widowControl w:val="false"/>
              <w:spacing w:lineRule="auto" w:line="240"/>
              <w:ind w:hanging="0"/>
              <w:jc w:val="left"/>
              <w:rPr>
                <w:sz w:val="24"/>
                <w:szCs w:val="24"/>
              </w:rPr>
            </w:pPr>
            <w:r>
              <w:rPr>
                <w:sz w:val="24"/>
                <w:szCs w:val="24"/>
              </w:rPr>
            </w:r>
          </w:p>
        </w:tc>
        <w:tc>
          <w:tcPr>
            <w:tcW w:w="4779" w:type="dxa"/>
            <w:gridSpan w:val="2"/>
            <w:tcBorders/>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_______________ / _______________</w:t>
            </w:r>
          </w:p>
          <w:p>
            <w:pPr>
              <w:pStyle w:val="Normal"/>
              <w:widowControl w:val="false"/>
              <w:spacing w:lineRule="auto" w:line="240"/>
              <w:ind w:hanging="0"/>
              <w:jc w:val="left"/>
              <w:rPr>
                <w:sz w:val="24"/>
                <w:szCs w:val="24"/>
              </w:rPr>
            </w:pPr>
            <w:r>
              <w:rPr>
                <w:sz w:val="24"/>
                <w:szCs w:val="24"/>
              </w:rPr>
            </w:r>
          </w:p>
        </w:tc>
        <w:tc>
          <w:tcPr>
            <w:tcW w:w="81" w:type="dxa"/>
            <w:tcBorders/>
          </w:tcPr>
          <w:p>
            <w:pPr>
              <w:pStyle w:val="Normal"/>
              <w:widowControl w:val="false"/>
              <w:rPr/>
            </w:pPr>
            <w:r>
              <w:rPr/>
            </w:r>
          </w:p>
        </w:tc>
      </w:tr>
    </w:tbl>
    <w:p>
      <w:pPr>
        <w:sectPr>
          <w:headerReference w:type="default" r:id="rId5"/>
          <w:footerReference w:type="default" r:id="rId6"/>
          <w:footnotePr>
            <w:numFmt w:val="decimal"/>
          </w:footnotePr>
          <w:type w:val="nextPage"/>
          <w:pgSz w:w="11906" w:h="16838"/>
          <w:pgMar w:left="1418" w:right="851" w:header="142" w:top="685" w:footer="361" w:bottom="851" w:gutter="0"/>
          <w:pgNumType w:fmt="decimal"/>
          <w:formProt w:val="false"/>
          <w:titlePg/>
          <w:textDirection w:val="lrTb"/>
          <w:docGrid w:type="default" w:linePitch="360" w:charSpace="0"/>
        </w:sectPr>
      </w:pPr>
    </w:p>
    <w:p>
      <w:pPr>
        <w:pStyle w:val="Normal"/>
        <w:shd w:val="clear" w:color="auto" w:fill="FFFFFF"/>
        <w:tabs>
          <w:tab w:val="clear" w:pos="709"/>
          <w:tab w:val="left" w:pos="3148" w:leader="none"/>
          <w:tab w:val="center" w:pos="4818" w:leader="none"/>
          <w:tab w:val="left" w:pos="6926" w:leader="none"/>
        </w:tabs>
        <w:spacing w:lineRule="auto" w:line="240"/>
        <w:ind w:hanging="0"/>
        <w:jc w:val="right"/>
        <w:rPr>
          <w:sz w:val="22"/>
          <w:szCs w:val="22"/>
        </w:rPr>
      </w:pPr>
      <w:r>
        <w:rPr>
          <w:sz w:val="22"/>
          <w:szCs w:val="22"/>
        </w:rPr>
        <w:t>Приложение № 1</w:t>
      </w:r>
    </w:p>
    <w:p>
      <w:pPr>
        <w:pStyle w:val="Normal"/>
        <w:spacing w:lineRule="auto" w:line="240"/>
        <w:ind w:left="4820" w:hanging="0"/>
        <w:jc w:val="right"/>
        <w:rPr>
          <w:sz w:val="22"/>
          <w:szCs w:val="22"/>
        </w:rPr>
      </w:pPr>
      <w:r>
        <w:rPr>
          <w:sz w:val="22"/>
          <w:szCs w:val="22"/>
        </w:rPr>
        <w:t>к Договору подряда</w:t>
      </w:r>
    </w:p>
    <w:p>
      <w:pPr>
        <w:pStyle w:val="Normal"/>
        <w:spacing w:lineRule="auto" w:line="240"/>
        <w:ind w:left="4820" w:hanging="0"/>
        <w:jc w:val="right"/>
        <w:rPr>
          <w:sz w:val="22"/>
          <w:szCs w:val="22"/>
        </w:rPr>
      </w:pPr>
      <w:r>
        <w:rPr>
          <w:sz w:val="22"/>
          <w:szCs w:val="22"/>
        </w:rPr>
        <w:t>от «____» __________ 2026 г. № ________</w:t>
      </w:r>
    </w:p>
    <w:p>
      <w:pPr>
        <w:pStyle w:val="Normal"/>
        <w:spacing w:lineRule="auto" w:line="240"/>
        <w:ind w:left="1416" w:hanging="0"/>
        <w:jc w:val="right"/>
        <w:rPr>
          <w:b/>
          <w:b/>
          <w:sz w:val="24"/>
          <w:szCs w:val="24"/>
        </w:rPr>
      </w:pPr>
      <w:r>
        <w:rPr>
          <w:b/>
          <w:sz w:val="24"/>
          <w:szCs w:val="24"/>
        </w:rPr>
      </w:r>
    </w:p>
    <w:p>
      <w:pPr>
        <w:pStyle w:val="Normal"/>
        <w:spacing w:before="0" w:after="0"/>
        <w:ind w:firstLine="709"/>
        <w:contextualSpacing/>
        <w:jc w:val="right"/>
        <w:rPr/>
      </w:pPr>
      <w:r>
        <w:rPr/>
      </w:r>
      <w:bookmarkStart w:id="58" w:name="_Toc517582612"/>
      <w:bookmarkStart w:id="59" w:name="_Toc517582288"/>
      <w:bookmarkStart w:id="60" w:name="_Toc517582612"/>
      <w:bookmarkStart w:id="61" w:name="_Toc517582288"/>
      <w:bookmarkEnd w:id="60"/>
      <w:bookmarkEnd w:id="61"/>
    </w:p>
    <w:tbl>
      <w:tblPr>
        <w:tblW w:w="9570"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4869"/>
        <w:gridCol w:w="4700"/>
      </w:tblGrid>
      <w:tr>
        <w:trPr/>
        <w:tc>
          <w:tcPr>
            <w:tcW w:w="4869" w:type="dxa"/>
            <w:tcBorders/>
          </w:tcPr>
          <w:p>
            <w:pPr>
              <w:pStyle w:val="Normal"/>
              <w:widowControl w:val="false"/>
              <w:tabs>
                <w:tab w:val="clear" w:pos="709"/>
                <w:tab w:val="left" w:pos="9214" w:leader="none"/>
              </w:tabs>
              <w:spacing w:lineRule="auto" w:line="240"/>
              <w:ind w:hanging="0"/>
              <w:rPr>
                <w:b/>
                <w:b/>
                <w:sz w:val="24"/>
                <w:szCs w:val="24"/>
              </w:rPr>
            </w:pPr>
            <w:r>
              <w:rPr>
                <w:b/>
                <w:sz w:val="24"/>
                <w:szCs w:val="24"/>
              </w:rPr>
              <w:t>СОГЛАСОВАНО:</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___________________</w:t>
            </w:r>
          </w:p>
          <w:p>
            <w:pPr>
              <w:pStyle w:val="Normal"/>
              <w:widowControl w:val="false"/>
              <w:spacing w:lineRule="auto" w:line="240"/>
              <w:ind w:hanging="0"/>
              <w:rPr>
                <w:sz w:val="24"/>
                <w:szCs w:val="24"/>
              </w:rPr>
            </w:pPr>
            <w:r>
              <w:rPr>
                <w:sz w:val="24"/>
                <w:szCs w:val="24"/>
              </w:rPr>
              <w:t xml:space="preserve"> </w:t>
            </w:r>
            <w:r>
              <w:rPr>
                <w:sz w:val="24"/>
                <w:szCs w:val="24"/>
              </w:rPr>
              <w:t>«___» _____________2026</w:t>
            </w:r>
            <w:r>
              <w:rPr>
                <w:sz w:val="24"/>
                <w:szCs w:val="24"/>
                <w:lang w:val="en-US"/>
              </w:rPr>
              <w:t> </w:t>
            </w:r>
            <w:r>
              <w:rPr>
                <w:sz w:val="24"/>
                <w:szCs w:val="24"/>
              </w:rPr>
              <w:t>г.</w:t>
            </w:r>
          </w:p>
          <w:p>
            <w:pPr>
              <w:pStyle w:val="Normal"/>
              <w:widowControl w:val="false"/>
              <w:tabs>
                <w:tab w:val="clear" w:pos="709"/>
                <w:tab w:val="left" w:pos="9214" w:leader="none"/>
              </w:tabs>
              <w:spacing w:lineRule="auto" w:line="240"/>
              <w:ind w:hanging="0"/>
              <w:rPr>
                <w:sz w:val="24"/>
                <w:szCs w:val="24"/>
              </w:rPr>
            </w:pPr>
            <w:r>
              <w:rPr>
                <w:sz w:val="24"/>
                <w:szCs w:val="24"/>
              </w:rPr>
            </w:r>
          </w:p>
        </w:tc>
        <w:tc>
          <w:tcPr>
            <w:tcW w:w="4700" w:type="dxa"/>
            <w:tcBorders/>
          </w:tcPr>
          <w:p>
            <w:pPr>
              <w:pStyle w:val="Normal"/>
              <w:widowControl w:val="false"/>
              <w:shd w:val="clear" w:color="auto" w:fill="FFFFFF"/>
              <w:spacing w:lineRule="auto" w:line="240"/>
              <w:ind w:hanging="0"/>
              <w:rPr>
                <w:b/>
                <w:b/>
                <w:sz w:val="24"/>
                <w:szCs w:val="24"/>
              </w:rPr>
            </w:pPr>
            <w:r>
              <w:rPr>
                <w:b/>
                <w:caps/>
                <w:sz w:val="24"/>
                <w:szCs w:val="24"/>
              </w:rPr>
              <w:t>утверждаю</w:t>
            </w:r>
            <w:r>
              <w:rPr>
                <w:b/>
                <w:sz w:val="24"/>
                <w:szCs w:val="24"/>
              </w:rPr>
              <w:t>:</w:t>
            </w:r>
          </w:p>
          <w:p>
            <w:pPr>
              <w:pStyle w:val="Normal"/>
              <w:widowControl w:val="false"/>
              <w:shd w:val="clear" w:color="auto" w:fill="FFFFFF"/>
              <w:spacing w:lineRule="auto" w:line="240"/>
              <w:ind w:hanging="0"/>
              <w:rPr>
                <w:sz w:val="24"/>
                <w:szCs w:val="24"/>
                <w:lang w:eastAsia="ar-SA"/>
              </w:rPr>
            </w:pPr>
            <w:r>
              <w:rPr>
                <w:sz w:val="24"/>
                <w:szCs w:val="24"/>
                <w:lang w:eastAsia="ar-SA"/>
              </w:rPr>
            </w:r>
          </w:p>
          <w:p>
            <w:pPr>
              <w:pStyle w:val="Normal"/>
              <w:widowControl w:val="false"/>
              <w:tabs>
                <w:tab w:val="clear" w:pos="709"/>
                <w:tab w:val="left" w:pos="9214" w:leader="none"/>
              </w:tabs>
              <w:spacing w:lineRule="auto" w:line="240"/>
              <w:ind w:hanging="0"/>
              <w:rPr>
                <w:sz w:val="24"/>
                <w:szCs w:val="24"/>
                <w:lang w:eastAsia="ar-SA"/>
              </w:rPr>
            </w:pPr>
            <w:r>
              <w:rPr>
                <w:sz w:val="24"/>
                <w:szCs w:val="24"/>
              </w:rPr>
              <w:t>__________________</w:t>
            </w:r>
          </w:p>
          <w:p>
            <w:pPr>
              <w:pStyle w:val="Normal"/>
              <w:widowControl w:val="false"/>
              <w:tabs>
                <w:tab w:val="clear" w:pos="709"/>
                <w:tab w:val="left" w:pos="9214" w:leader="none"/>
              </w:tabs>
              <w:spacing w:lineRule="auto" w:line="240"/>
              <w:ind w:hanging="0"/>
              <w:rPr>
                <w:sz w:val="24"/>
                <w:szCs w:val="24"/>
              </w:rPr>
            </w:pPr>
            <w:r>
              <w:rPr>
                <w:sz w:val="24"/>
                <w:szCs w:val="24"/>
                <w:lang w:eastAsia="ar-SA"/>
              </w:rPr>
              <w:t>«___» _____________ 2026</w:t>
            </w:r>
            <w:r>
              <w:rPr>
                <w:sz w:val="24"/>
                <w:szCs w:val="24"/>
                <w:lang w:val="en-US" w:eastAsia="ar-SA"/>
              </w:rPr>
              <w:t> </w:t>
            </w:r>
            <w:r>
              <w:rPr>
                <w:sz w:val="24"/>
                <w:szCs w:val="24"/>
                <w:lang w:eastAsia="ar-SA"/>
              </w:rPr>
              <w:t>г.</w:t>
            </w:r>
          </w:p>
          <w:p>
            <w:pPr>
              <w:pStyle w:val="Normal"/>
              <w:widowControl w:val="false"/>
              <w:shd w:val="clear" w:color="auto" w:fill="FFFFFF"/>
              <w:spacing w:lineRule="auto" w:line="240"/>
              <w:ind w:hanging="0"/>
              <w:rPr>
                <w:sz w:val="24"/>
                <w:szCs w:val="24"/>
              </w:rPr>
            </w:pPr>
            <w:r>
              <w:rPr>
                <w:sz w:val="24"/>
                <w:szCs w:val="24"/>
              </w:rPr>
            </w:r>
          </w:p>
        </w:tc>
      </w:tr>
    </w:tbl>
    <w:p>
      <w:pPr>
        <w:pStyle w:val="Normal"/>
        <w:keepNext w:val="true"/>
        <w:numPr>
          <w:ilvl w:val="0"/>
          <w:numId w:val="0"/>
        </w:numPr>
        <w:spacing w:lineRule="auto" w:line="240" w:before="360" w:after="0"/>
        <w:ind w:left="0" w:firstLine="567"/>
        <w:jc w:val="center"/>
        <w:outlineLvl w:val="1"/>
        <w:rPr>
          <w:b/>
          <w:b/>
          <w:bCs/>
          <w:iCs/>
          <w:sz w:val="24"/>
          <w:szCs w:val="24"/>
        </w:rPr>
      </w:pPr>
      <w:r>
        <w:rPr>
          <w:b/>
          <w:bCs/>
          <w:iCs/>
          <w:sz w:val="24"/>
          <w:szCs w:val="24"/>
        </w:rPr>
        <w:t>ТЕХНИЧЕСКОЕ ЗАДАНИЕ</w:t>
      </w:r>
    </w:p>
    <w:p>
      <w:pPr>
        <w:sectPr>
          <w:headerReference w:type="default" r:id="rId7"/>
          <w:footerReference w:type="default" r:id="rId8"/>
          <w:footnotePr>
            <w:numFmt w:val="decimal"/>
          </w:footnotePr>
          <w:type w:val="nextPage"/>
          <w:pgSz w:w="11906" w:h="16838"/>
          <w:pgMar w:left="1418" w:right="851" w:header="567" w:top="1134" w:footer="284" w:bottom="1134" w:gutter="0"/>
          <w:pgNumType w:fmt="decimal"/>
          <w:formProt w:val="false"/>
          <w:textDirection w:val="lrTb"/>
          <w:docGrid w:type="default" w:linePitch="360" w:charSpace="0"/>
        </w:sectPr>
        <w:pStyle w:val="Normal"/>
        <w:widowControl w:val="false"/>
        <w:numPr>
          <w:ilvl w:val="0"/>
          <w:numId w:val="0"/>
        </w:numPr>
        <w:spacing w:lineRule="auto" w:line="240" w:before="360" w:after="0"/>
        <w:ind w:left="0" w:firstLine="567"/>
        <w:jc w:val="center"/>
        <w:outlineLvl w:val="1"/>
        <w:rPr>
          <w:rFonts w:eastAsia="Calibri"/>
          <w:sz w:val="24"/>
          <w:szCs w:val="24"/>
          <w:lang w:eastAsia="en-US"/>
        </w:rPr>
      </w:pPr>
      <w:r>
        <w:rPr>
          <w:rFonts w:eastAsia="Calibri"/>
          <w:b w:val="false"/>
          <w:bCs w:val="false"/>
          <w:iCs/>
          <w:color w:val="000000"/>
          <w:kern w:val="0"/>
          <w:sz w:val="24"/>
          <w:szCs w:val="24"/>
          <w:shd w:fill="auto" w:val="clear"/>
          <w:lang w:val="ru-RU" w:eastAsia="en-US" w:bidi="ar-SA"/>
        </w:rPr>
        <w:t xml:space="preserve"> </w:t>
      </w:r>
      <w:r>
        <w:rPr>
          <w:rFonts w:eastAsia="Calibri"/>
          <w:b w:val="false"/>
          <w:bCs w:val="false"/>
          <w:iCs/>
          <w:color w:val="000000"/>
          <w:kern w:val="0"/>
          <w:sz w:val="24"/>
          <w:szCs w:val="24"/>
          <w:shd w:fill="auto" w:val="clear"/>
          <w:lang w:val="ru-RU" w:eastAsia="en-US" w:bidi="ar-SA"/>
        </w:rPr>
        <w:t>Проведение инженерно-геофизических исследований на прибрежной морской акватории по титулу: «Прямоточная система технического водоснабжения с морским водозабором ковшового типа по объекту «Строительство Сахалинской ГРЭС-2 (расширение)»</w:t>
      </w:r>
      <w:bookmarkStart w:id="62" w:name="_Toc5175826121"/>
      <w:bookmarkStart w:id="63" w:name="_Toc5175822881"/>
    </w:p>
    <w:p>
      <w:pPr>
        <w:pStyle w:val="Normal"/>
        <w:spacing w:lineRule="auto" w:line="240"/>
        <w:ind w:left="5103" w:hanging="0"/>
        <w:rPr>
          <w:sz w:val="22"/>
          <w:szCs w:val="22"/>
        </w:rPr>
      </w:pPr>
      <w:bookmarkStart w:id="64" w:name="_Toc5175826121_Копия_1"/>
      <w:bookmarkStart w:id="65" w:name="_Toc5175822881_Копия_1"/>
      <w:bookmarkEnd w:id="62"/>
      <w:bookmarkEnd w:id="63"/>
      <w:bookmarkEnd w:id="64"/>
      <w:bookmarkEnd w:id="65"/>
      <w:r>
        <w:rPr>
          <w:sz w:val="22"/>
          <w:szCs w:val="22"/>
        </w:rPr>
        <w:t>Приложение № 2</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2026г. № ________</w:t>
      </w:r>
    </w:p>
    <w:p>
      <w:pPr>
        <w:pStyle w:val="Normal"/>
        <w:spacing w:lineRule="auto" w:line="240"/>
        <w:rPr>
          <w:sz w:val="22"/>
          <w:szCs w:val="22"/>
        </w:rPr>
      </w:pPr>
      <w:r>
        <w:rPr>
          <w:sz w:val="22"/>
          <w:szCs w:val="22"/>
        </w:rPr>
      </w:r>
    </w:p>
    <w:p>
      <w:pPr>
        <w:pStyle w:val="Normal"/>
        <w:shd w:val="clear" w:color="auto" w:fill="FFFFFF"/>
        <w:spacing w:lineRule="auto" w:line="240"/>
        <w:jc w:val="center"/>
        <w:rPr>
          <w:b/>
          <w:b/>
          <w:bCs/>
          <w:szCs w:val="24"/>
        </w:rPr>
      </w:pPr>
      <w:r>
        <w:rPr>
          <w:b/>
          <w:bCs/>
          <w:sz w:val="24"/>
          <w:szCs w:val="24"/>
          <w:shd w:fill="auto" w:val="clear"/>
        </w:rPr>
        <w:t>Акт сдачи-приемки выполненных работ (форма))</w:t>
      </w:r>
      <w:r>
        <w:rPr>
          <w:rStyle w:val="Style6"/>
          <w:b/>
          <w:bCs/>
          <w:sz w:val="24"/>
          <w:szCs w:val="24"/>
          <w:shd w:fill="auto" w:val="clear"/>
        </w:rPr>
        <w:footnoteReference w:id="5"/>
      </w:r>
    </w:p>
    <w:p>
      <w:pPr>
        <w:pStyle w:val="Normal"/>
        <w:shd w:val="clear" w:color="auto" w:fill="FFFFFF"/>
        <w:spacing w:lineRule="auto" w:line="240"/>
        <w:jc w:val="center"/>
        <w:rPr>
          <w:b/>
          <w:b/>
          <w:bCs/>
          <w:szCs w:val="24"/>
        </w:rPr>
      </w:pPr>
      <w:r>
        <w:rPr>
          <w:b/>
          <w:bCs/>
          <w:szCs w:val="24"/>
        </w:rPr>
      </w:r>
    </w:p>
    <w:tbl>
      <w:tblPr>
        <w:tblW w:w="10070" w:type="dxa"/>
        <w:jc w:val="left"/>
        <w:tblInd w:w="-98" w:type="dxa"/>
        <w:tblLayout w:type="fixed"/>
        <w:tblCellMar>
          <w:top w:w="0" w:type="dxa"/>
          <w:left w:w="10" w:type="dxa"/>
          <w:bottom w:w="0" w:type="dxa"/>
          <w:right w:w="10" w:type="dxa"/>
        </w:tblCellMar>
        <w:tblLook w:val="04a0" w:noHBand="0" w:noVBand="1" w:firstColumn="1" w:lastRow="0" w:lastColumn="0" w:firstRow="1"/>
      </w:tblPr>
      <w:tblGrid>
        <w:gridCol w:w="26"/>
        <w:gridCol w:w="10043"/>
      </w:tblGrid>
      <w:tr>
        <w:trPr/>
        <w:tc>
          <w:tcPr>
            <w:tcW w:w="26" w:type="dxa"/>
            <w:tcBorders>
              <w:top w:val="single" w:sz="8" w:space="0" w:color="000000"/>
              <w:left w:val="single" w:sz="8" w:space="0" w:color="000000"/>
              <w:bottom w:val="single" w:sz="8" w:space="0" w:color="000000"/>
              <w:right w:val="single" w:sz="8" w:space="0" w:color="000000"/>
            </w:tcBorders>
          </w:tcPr>
          <w:p>
            <w:pPr>
              <w:pStyle w:val="Normal"/>
              <w:widowControl w:val="false"/>
              <w:spacing w:lineRule="auto" w:line="240"/>
              <w:jc w:val="center"/>
              <w:rPr>
                <w:b/>
                <w:b/>
                <w:bCs/>
                <w:szCs w:val="24"/>
              </w:rPr>
            </w:pPr>
            <w:r>
              <w:rPr>
                <w:b/>
                <w:bCs/>
                <w:szCs w:val="24"/>
              </w:rPr>
            </w:r>
          </w:p>
        </w:tc>
        <w:tc>
          <w:tcPr>
            <w:tcW w:w="10043" w:type="dxa"/>
            <w:tcBorders>
              <w:top w:val="single" w:sz="8" w:space="0" w:color="000000"/>
              <w:left w:val="single" w:sz="8" w:space="0" w:color="000000"/>
              <w:bottom w:val="single" w:sz="8" w:space="0" w:color="000000"/>
              <w:right w:val="single" w:sz="8" w:space="0" w:color="000000"/>
            </w:tcBorders>
            <w:tcMar>
              <w:left w:w="108" w:type="dxa"/>
              <w:right w:w="108" w:type="dxa"/>
            </w:tcMar>
          </w:tcPr>
          <w:p>
            <w:pPr>
              <w:pStyle w:val="Normal"/>
              <w:widowControl w:val="false"/>
              <w:spacing w:lineRule="auto" w:line="240"/>
              <w:jc w:val="center"/>
              <w:rPr>
                <w:b/>
                <w:b/>
                <w:bCs/>
                <w:szCs w:val="24"/>
              </w:rPr>
            </w:pPr>
            <w:r>
              <w:rPr>
                <w:b/>
                <w:bCs/>
                <w:szCs w:val="24"/>
              </w:rPr>
            </w:r>
          </w:p>
          <w:p>
            <w:pPr>
              <w:pStyle w:val="Normal"/>
              <w:widowControl w:val="false"/>
              <w:spacing w:lineRule="auto" w:line="240"/>
              <w:jc w:val="center"/>
              <w:rPr>
                <w:b/>
                <w:b/>
                <w:bCs/>
                <w:sz w:val="20"/>
                <w:szCs w:val="20"/>
              </w:rPr>
            </w:pPr>
            <w:r>
              <w:rPr>
                <w:b/>
                <w:bCs/>
                <w:sz w:val="20"/>
                <w:szCs w:val="20"/>
              </w:rPr>
              <w:t>АКТ СДАЧИ-ПРИЕМКИ ВЫПОЛНЕННЫХ РАБОТ №  _________</w:t>
            </w:r>
          </w:p>
          <w:tbl>
            <w:tblPr>
              <w:tblW w:w="9735"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216"/>
              <w:gridCol w:w="2591"/>
              <w:gridCol w:w="1262"/>
              <w:gridCol w:w="220"/>
              <w:gridCol w:w="588"/>
              <w:gridCol w:w="1405"/>
              <w:gridCol w:w="7"/>
              <w:gridCol w:w="1336"/>
              <w:gridCol w:w="1"/>
              <w:gridCol w:w="1107"/>
            </w:tblGrid>
            <w:tr>
              <w:trPr>
                <w:trHeight w:val="255" w:hRule="atLeast"/>
              </w:trPr>
              <w:tc>
                <w:tcPr>
                  <w:tcW w:w="9733" w:type="dxa"/>
                  <w:gridSpan w:val="10"/>
                  <w:tcBorders/>
                  <w:vAlign w:val="bottom"/>
                </w:tcPr>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г.___________                                                                                                             «_____» _________20_г.</w:t>
                  </w:r>
                </w:p>
                <w:tbl>
                  <w:tblPr>
                    <w:tblW w:w="9590"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442"/>
                    <w:gridCol w:w="8077"/>
                    <w:gridCol w:w="71"/>
                  </w:tblGrid>
                  <w:tr>
                    <w:trPr>
                      <w:trHeight w:val="255" w:hRule="atLeast"/>
                    </w:trPr>
                    <w:tc>
                      <w:tcPr>
                        <w:tcW w:w="1442" w:type="dxa"/>
                        <w:tcBorders/>
                        <w:vAlign w:val="bottom"/>
                      </w:tcPr>
                      <w:p>
                        <w:pPr>
                          <w:pStyle w:val="Normal"/>
                          <w:widowControl w:val="false"/>
                          <w:spacing w:lineRule="auto" w:line="240"/>
                          <w:ind w:hanging="0"/>
                          <w:jc w:val="left"/>
                          <w:rPr>
                            <w:sz w:val="22"/>
                            <w:szCs w:val="22"/>
                          </w:rPr>
                        </w:pPr>
                        <w:r>
                          <w:rPr>
                            <w:sz w:val="22"/>
                            <w:szCs w:val="22"/>
                          </w:rPr>
                        </w:r>
                      </w:p>
                      <w:p>
                        <w:pPr>
                          <w:pStyle w:val="Normal"/>
                          <w:widowControl w:val="false"/>
                          <w:spacing w:lineRule="auto" w:line="240"/>
                          <w:ind w:hanging="0"/>
                          <w:jc w:val="left"/>
                          <w:rPr>
                            <w:sz w:val="22"/>
                            <w:szCs w:val="22"/>
                          </w:rPr>
                        </w:pPr>
                        <w:r>
                          <w:rPr>
                            <w:sz w:val="22"/>
                            <w:szCs w:val="22"/>
                          </w:rPr>
                          <w:t>Генподрядчик:</w:t>
                        </w:r>
                      </w:p>
                    </w:tc>
                    <w:tc>
                      <w:tcPr>
                        <w:tcW w:w="8077" w:type="dxa"/>
                        <w:tcBorders>
                          <w:bottom w:val="single" w:sz="4" w:space="0" w:color="000000"/>
                        </w:tcBorders>
                        <w:vAlign w:val="bottom"/>
                      </w:tcPr>
                      <w:p>
                        <w:pPr>
                          <w:pStyle w:val="Normal"/>
                          <w:widowControl w:val="false"/>
                          <w:spacing w:lineRule="auto" w:line="240"/>
                          <w:ind w:hanging="0"/>
                          <w:jc w:val="left"/>
                          <w:rPr>
                            <w:sz w:val="22"/>
                            <w:szCs w:val="22"/>
                          </w:rPr>
                        </w:pPr>
                        <w:r>
                          <w:rPr>
                            <w:sz w:val="22"/>
                            <w:szCs w:val="22"/>
                          </w:rPr>
                        </w:r>
                      </w:p>
                    </w:tc>
                    <w:tc>
                      <w:tcPr>
                        <w:tcW w:w="71" w:type="dxa"/>
                        <w:tcBorders/>
                        <w:tcMar>
                          <w:top w:w="0" w:type="dxa"/>
                          <w:left w:w="0" w:type="dxa"/>
                          <w:right w:w="0" w:type="dxa"/>
                        </w:tcMar>
                      </w:tcPr>
                      <w:p>
                        <w:pPr>
                          <w:pStyle w:val="Normal"/>
                          <w:widowControl w:val="false"/>
                          <w:rPr>
                            <w:sz w:val="24"/>
                            <w:szCs w:val="24"/>
                          </w:rPr>
                        </w:pPr>
                        <w:r>
                          <w:rPr>
                            <w:sz w:val="24"/>
                            <w:szCs w:val="24"/>
                          </w:rPr>
                        </w:r>
                      </w:p>
                    </w:tc>
                  </w:tr>
                  <w:tr>
                    <w:trPr>
                      <w:trHeight w:val="255" w:hRule="atLeast"/>
                    </w:trPr>
                    <w:tc>
                      <w:tcPr>
                        <w:tcW w:w="1442" w:type="dxa"/>
                        <w:tcBorders/>
                        <w:vAlign w:val="bottom"/>
                      </w:tcPr>
                      <w:p>
                        <w:pPr>
                          <w:pStyle w:val="Normal"/>
                          <w:widowControl w:val="false"/>
                          <w:spacing w:lineRule="auto" w:line="240"/>
                          <w:ind w:hanging="0"/>
                          <w:jc w:val="left"/>
                          <w:rPr>
                            <w:sz w:val="22"/>
                            <w:szCs w:val="22"/>
                          </w:rPr>
                        </w:pPr>
                        <w:r>
                          <w:rPr>
                            <w:sz w:val="22"/>
                            <w:szCs w:val="22"/>
                          </w:rPr>
                        </w:r>
                      </w:p>
                    </w:tc>
                    <w:tc>
                      <w:tcPr>
                        <w:tcW w:w="8148" w:type="dxa"/>
                        <w:gridSpan w:val="2"/>
                        <w:tcBorders>
                          <w:top w:val="single" w:sz="4" w:space="0" w:color="000000"/>
                        </w:tcBorders>
                      </w:tcPr>
                      <w:p>
                        <w:pPr>
                          <w:pStyle w:val="Normal"/>
                          <w:widowControl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trPr>
                      <w:trHeight w:val="255" w:hRule="atLeast"/>
                    </w:trPr>
                    <w:tc>
                      <w:tcPr>
                        <w:tcW w:w="1442" w:type="dxa"/>
                        <w:tcBorders/>
                        <w:vAlign w:val="bottom"/>
                      </w:tcPr>
                      <w:p>
                        <w:pPr>
                          <w:pStyle w:val="Normal"/>
                          <w:widowControl w:val="false"/>
                          <w:spacing w:lineRule="auto" w:line="240"/>
                          <w:ind w:hanging="0"/>
                          <w:jc w:val="left"/>
                          <w:rPr>
                            <w:sz w:val="22"/>
                            <w:szCs w:val="22"/>
                          </w:rPr>
                        </w:pPr>
                        <w:r>
                          <w:rPr>
                            <w:sz w:val="22"/>
                            <w:szCs w:val="22"/>
                          </w:rPr>
                          <w:t>Субподрядчик:</w:t>
                        </w:r>
                      </w:p>
                    </w:tc>
                    <w:tc>
                      <w:tcPr>
                        <w:tcW w:w="8148" w:type="dxa"/>
                        <w:gridSpan w:val="2"/>
                        <w:tcBorders>
                          <w:bottom w:val="single" w:sz="4" w:space="0" w:color="000000"/>
                        </w:tcBorders>
                        <w:vAlign w:val="bottom"/>
                      </w:tcPr>
                      <w:p>
                        <w:pPr>
                          <w:pStyle w:val="Normal"/>
                          <w:widowControl w:val="false"/>
                          <w:spacing w:lineRule="auto" w:line="240"/>
                          <w:ind w:hanging="0"/>
                          <w:jc w:val="left"/>
                          <w:rPr>
                            <w:sz w:val="22"/>
                            <w:szCs w:val="22"/>
                          </w:rPr>
                        </w:pPr>
                        <w:r>
                          <w:rPr>
                            <w:sz w:val="22"/>
                            <w:szCs w:val="22"/>
                          </w:rPr>
                        </w:r>
                      </w:p>
                    </w:tc>
                  </w:tr>
                  <w:tr>
                    <w:trPr>
                      <w:trHeight w:val="255" w:hRule="atLeast"/>
                    </w:trPr>
                    <w:tc>
                      <w:tcPr>
                        <w:tcW w:w="1442" w:type="dxa"/>
                        <w:tcBorders/>
                        <w:vAlign w:val="bottom"/>
                      </w:tcPr>
                      <w:p>
                        <w:pPr>
                          <w:pStyle w:val="Normal"/>
                          <w:widowControl w:val="false"/>
                          <w:spacing w:lineRule="auto" w:line="240"/>
                          <w:ind w:hanging="0"/>
                          <w:jc w:val="left"/>
                          <w:rPr>
                            <w:sz w:val="22"/>
                            <w:szCs w:val="22"/>
                          </w:rPr>
                        </w:pPr>
                        <w:r>
                          <w:rPr>
                            <w:sz w:val="22"/>
                            <w:szCs w:val="22"/>
                          </w:rPr>
                        </w:r>
                      </w:p>
                    </w:tc>
                    <w:tc>
                      <w:tcPr>
                        <w:tcW w:w="8148" w:type="dxa"/>
                        <w:gridSpan w:val="2"/>
                        <w:tcBorders/>
                      </w:tcPr>
                      <w:p>
                        <w:pPr>
                          <w:pStyle w:val="Normal"/>
                          <w:widowControl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pPr>
                    <w:pStyle w:val="Normal"/>
                    <w:widowControl w:val="false"/>
                    <w:spacing w:lineRule="auto" w:line="240"/>
                    <w:ind w:hanging="0"/>
                    <w:rPr>
                      <w:sz w:val="20"/>
                      <w:szCs w:val="20"/>
                    </w:rPr>
                  </w:pPr>
                  <w:r>
                    <w:rPr>
                      <w:sz w:val="20"/>
                      <w:szCs w:val="20"/>
                    </w:rPr>
                  </w:r>
                </w:p>
                <w:p>
                  <w:pPr>
                    <w:pStyle w:val="Normal"/>
                    <w:widowControl w:val="false"/>
                    <w:spacing w:lineRule="auto" w:line="240"/>
                    <w:ind w:hanging="0"/>
                    <w:rPr>
                      <w:sz w:val="20"/>
                      <w:szCs w:val="20"/>
                    </w:rPr>
                  </w:pPr>
                  <w:r>
                    <w:rPr>
                      <w:sz w:val="20"/>
                      <w:szCs w:val="20"/>
                    </w:rPr>
                    <w:t>составили настоящий акт о нижеследующем:</w:t>
                  </w:r>
                </w:p>
                <w:p>
                  <w:pPr>
                    <w:pStyle w:val="Normal"/>
                    <w:widowControl w:val="false"/>
                    <w:spacing w:lineRule="auto" w:line="240"/>
                    <w:ind w:hanging="0"/>
                    <w:rPr>
                      <w:sz w:val="20"/>
                      <w:szCs w:val="20"/>
                    </w:rPr>
                  </w:pPr>
                  <w:r>
                    <w:rPr>
                      <w:sz w:val="20"/>
                      <w:szCs w:val="20"/>
                    </w:rPr>
                  </w:r>
                </w:p>
                <w:p>
                  <w:pPr>
                    <w:pStyle w:val="Normal"/>
                    <w:widowControl w:val="false"/>
                    <w:spacing w:lineRule="auto" w:line="240"/>
                    <w:rPr>
                      <w:sz w:val="20"/>
                      <w:szCs w:val="20"/>
                    </w:rPr>
                  </w:pPr>
                  <w:r>
                    <w:rPr>
                      <w:sz w:val="20"/>
                      <w:szCs w:val="20"/>
                    </w:rPr>
                  </w:r>
                </w:p>
              </w:tc>
            </w:tr>
            <w:tr>
              <w:trPr>
                <w:trHeight w:val="255" w:hRule="atLeast"/>
              </w:trPr>
              <w:tc>
                <w:tcPr>
                  <w:tcW w:w="9733" w:type="dxa"/>
                  <w:gridSpan w:val="10"/>
                  <w:tcBorders/>
                  <w:vAlign w:val="bottom"/>
                </w:tcPr>
                <w:p>
                  <w:pPr>
                    <w:pStyle w:val="Normal"/>
                    <w:widowControl w:val="false"/>
                    <w:spacing w:lineRule="auto" w:line="240"/>
                    <w:rPr>
                      <w:sz w:val="20"/>
                      <w:szCs w:val="20"/>
                    </w:rPr>
                  </w:pPr>
                  <w:r>
                    <w:rPr>
                      <w:sz w:val="20"/>
                      <w:szCs w:val="20"/>
                    </w:rPr>
                    <w:t>Сметная (договорная) стоимость по договору № _____  от  _________ 20__ г.  -  ___________ руб.</w:t>
                  </w:r>
                </w:p>
                <w:p>
                  <w:pPr>
                    <w:pStyle w:val="Normal"/>
                    <w:widowControl w:val="false"/>
                    <w:spacing w:lineRule="auto" w:line="240"/>
                    <w:rPr>
                      <w:i/>
                      <w:i/>
                      <w:iCs/>
                      <w:sz w:val="20"/>
                      <w:szCs w:val="20"/>
                    </w:rPr>
                  </w:pPr>
                  <w:r>
                    <w:rPr>
                      <w:i/>
                      <w:iCs/>
                      <w:sz w:val="20"/>
                      <w:szCs w:val="20"/>
                    </w:rPr>
                  </w:r>
                </w:p>
              </w:tc>
            </w:tr>
            <w:tr>
              <w:trPr>
                <w:trHeight w:val="255" w:hRule="atLeast"/>
              </w:trPr>
              <w:tc>
                <w:tcPr>
                  <w:tcW w:w="5289" w:type="dxa"/>
                  <w:gridSpan w:val="4"/>
                  <w:tcBorders/>
                  <w:vAlign w:val="bottom"/>
                </w:tcPr>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r>
                </w:p>
              </w:tc>
              <w:tc>
                <w:tcPr>
                  <w:tcW w:w="4444" w:type="dxa"/>
                  <w:gridSpan w:val="6"/>
                  <w:tcBorders/>
                  <w:tcMar>
                    <w:top w:w="0" w:type="dxa"/>
                    <w:left w:w="0" w:type="dxa"/>
                    <w:right w:w="0" w:type="dxa"/>
                  </w:tcMar>
                </w:tcPr>
                <w:p>
                  <w:pPr>
                    <w:pStyle w:val="Normal"/>
                    <w:widowControl w:val="false"/>
                    <w:spacing w:lineRule="auto" w:line="240"/>
                    <w:ind w:right="180" w:firstLine="567"/>
                    <w:jc w:val="right"/>
                    <w:rPr>
                      <w:sz w:val="20"/>
                      <w:szCs w:val="20"/>
                    </w:rPr>
                  </w:pPr>
                  <w:r>
                    <w:rPr>
                      <w:sz w:val="20"/>
                      <w:szCs w:val="20"/>
                    </w:rPr>
                    <w:t>               </w:t>
                  </w:r>
                  <w:r>
                    <w:rPr>
                      <w:sz w:val="20"/>
                      <w:szCs w:val="20"/>
                    </w:rPr>
                    <w:t>Этап № ______</w:t>
                  </w:r>
                </w:p>
              </w:tc>
            </w:tr>
            <w:tr>
              <w:trPr>
                <w:cantSplit w:val="true"/>
              </w:trPr>
              <w:tc>
                <w:tcPr>
                  <w:tcW w:w="1216" w:type="dxa"/>
                  <w:tcBorders/>
                  <w:tcMar>
                    <w:top w:w="0" w:type="dxa"/>
                    <w:left w:w="0" w:type="dxa"/>
                    <w:right w:w="0" w:type="dxa"/>
                  </w:tcMar>
                </w:tcPr>
                <w:p>
                  <w:pPr>
                    <w:pStyle w:val="Normal"/>
                    <w:widowControl w:val="false"/>
                    <w:spacing w:lineRule="auto" w:line="240"/>
                    <w:ind w:hanging="0"/>
                    <w:jc w:val="center"/>
                    <w:rPr>
                      <w:b/>
                      <w:b/>
                      <w:bCs/>
                      <w:sz w:val="20"/>
                      <w:szCs w:val="20"/>
                    </w:rPr>
                  </w:pPr>
                  <w:r>
                    <w:rPr>
                      <w:b/>
                      <w:bCs/>
                      <w:sz w:val="20"/>
                      <w:szCs w:val="20"/>
                    </w:rPr>
                  </w:r>
                </w:p>
              </w:tc>
              <w:tc>
                <w:tcPr>
                  <w:tcW w:w="0" w:type="dxa"/>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 xml:space="preserve">№ </w:t>
                  </w:r>
                  <w:r>
                    <w:rPr>
                      <w:b/>
                      <w:bCs/>
                      <w:sz w:val="20"/>
                      <w:szCs w:val="20"/>
                    </w:rPr>
                    <w:t>п/п</w:t>
                  </w:r>
                </w:p>
              </w:tc>
              <w:tc>
                <w:tcPr>
                  <w:tcW w:w="2591" w:type="dxa"/>
                  <w:vMerge w:val="restart"/>
                  <w:tcBorders>
                    <w:top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Наименование работ</w:t>
                  </w:r>
                </w:p>
              </w:tc>
              <w:tc>
                <w:tcPr>
                  <w:tcW w:w="5926" w:type="dxa"/>
                  <w:gridSpan w:val="8"/>
                  <w:tcBorders>
                    <w:top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Выполнено работ</w:t>
                  </w:r>
                </w:p>
              </w:tc>
            </w:tr>
            <w:tr>
              <w:trPr>
                <w:trHeight w:val="693" w:hRule="atLeast"/>
                <w:cantSplit w:val="true"/>
              </w:trPr>
              <w:tc>
                <w:tcPr>
                  <w:tcW w:w="1216" w:type="dxa"/>
                  <w:tcBorders/>
                  <w:tcMar>
                    <w:top w:w="0" w:type="dxa"/>
                    <w:left w:w="0" w:type="dxa"/>
                    <w:right w:w="0" w:type="dxa"/>
                  </w:tcMar>
                </w:tcPr>
                <w:p>
                  <w:pPr>
                    <w:pStyle w:val="Normal"/>
                    <w:widowControl w:val="false"/>
                    <w:spacing w:lineRule="auto" w:line="240"/>
                    <w:ind w:hanging="0"/>
                    <w:rPr>
                      <w:b/>
                      <w:b/>
                      <w:bCs/>
                      <w:sz w:val="20"/>
                      <w:szCs w:val="20"/>
                    </w:rPr>
                  </w:pPr>
                  <w:r>
                    <w:rPr>
                      <w:b/>
                      <w:bCs/>
                      <w:sz w:val="20"/>
                      <w:szCs w:val="20"/>
                    </w:rPr>
                  </w:r>
                </w:p>
              </w:tc>
              <w:tc>
                <w:tcPr>
                  <w:tcW w:w="0" w:type="dxa"/>
                  <w:vMerge w:val="continue"/>
                  <w:tcBorders>
                    <w:top w:val="single" w:sz="8" w:space="0" w:color="000000"/>
                    <w:left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
                      <w:bCs/>
                      <w:sz w:val="20"/>
                      <w:szCs w:val="20"/>
                    </w:rPr>
                  </w:pPr>
                  <w:r>
                    <w:rPr>
                      <w:b/>
                      <w:bCs/>
                      <w:sz w:val="20"/>
                      <w:szCs w:val="20"/>
                    </w:rPr>
                  </w:r>
                </w:p>
              </w:tc>
              <w:tc>
                <w:tcPr>
                  <w:tcW w:w="2591" w:type="dxa"/>
                  <w:vMerge w:val="continue"/>
                  <w:tcBorders>
                    <w:top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
                      <w:bCs/>
                      <w:sz w:val="20"/>
                      <w:szCs w:val="20"/>
                    </w:rPr>
                  </w:pPr>
                  <w:r>
                    <w:rPr>
                      <w:b/>
                      <w:bCs/>
                      <w:sz w:val="20"/>
                      <w:szCs w:val="20"/>
                    </w:rPr>
                  </w:r>
                </w:p>
              </w:tc>
              <w:tc>
                <w:tcPr>
                  <w:tcW w:w="1262"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ед.</w:t>
                  </w:r>
                </w:p>
                <w:p>
                  <w:pPr>
                    <w:pStyle w:val="Normal"/>
                    <w:widowControl w:val="false"/>
                    <w:spacing w:lineRule="auto" w:line="240"/>
                    <w:ind w:hanging="0"/>
                    <w:jc w:val="center"/>
                    <w:rPr>
                      <w:b/>
                      <w:b/>
                      <w:bCs/>
                      <w:sz w:val="20"/>
                      <w:szCs w:val="20"/>
                    </w:rPr>
                  </w:pPr>
                  <w:r>
                    <w:rPr>
                      <w:b/>
                      <w:bCs/>
                      <w:sz w:val="20"/>
                      <w:szCs w:val="20"/>
                    </w:rPr>
                    <w:t>изм.</w:t>
                  </w:r>
                </w:p>
              </w:tc>
              <w:tc>
                <w:tcPr>
                  <w:tcW w:w="808" w:type="dxa"/>
                  <w:gridSpan w:val="2"/>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коли-чество</w:t>
                  </w:r>
                </w:p>
              </w:tc>
              <w:tc>
                <w:tcPr>
                  <w:tcW w:w="1405"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цена за</w:t>
                  </w:r>
                </w:p>
                <w:p>
                  <w:pPr>
                    <w:pStyle w:val="Normal"/>
                    <w:widowControl w:val="false"/>
                    <w:spacing w:lineRule="auto" w:line="240"/>
                    <w:ind w:hanging="0"/>
                    <w:jc w:val="center"/>
                    <w:rPr>
                      <w:b/>
                      <w:b/>
                      <w:bCs/>
                      <w:sz w:val="20"/>
                      <w:szCs w:val="20"/>
                    </w:rPr>
                  </w:pPr>
                  <w:r>
                    <w:rPr>
                      <w:b/>
                      <w:bCs/>
                      <w:sz w:val="20"/>
                      <w:szCs w:val="20"/>
                    </w:rPr>
                    <w:t>1 ед., руб.</w:t>
                  </w:r>
                </w:p>
              </w:tc>
              <w:tc>
                <w:tcPr>
                  <w:tcW w:w="1343" w:type="dxa"/>
                  <w:gridSpan w:val="2"/>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стоимость,</w:t>
                  </w:r>
                </w:p>
                <w:p>
                  <w:pPr>
                    <w:pStyle w:val="Normal"/>
                    <w:widowControl w:val="false"/>
                    <w:spacing w:lineRule="auto" w:line="240"/>
                    <w:ind w:hanging="0"/>
                    <w:jc w:val="center"/>
                    <w:rPr>
                      <w:b/>
                      <w:b/>
                      <w:bCs/>
                      <w:sz w:val="20"/>
                      <w:szCs w:val="20"/>
                    </w:rPr>
                  </w:pPr>
                  <w:r>
                    <w:rPr>
                      <w:b/>
                      <w:bCs/>
                      <w:sz w:val="20"/>
                      <w:szCs w:val="20"/>
                    </w:rPr>
                    <w:t>руб.</w:t>
                  </w:r>
                </w:p>
              </w:tc>
              <w:tc>
                <w:tcPr>
                  <w:tcW w:w="1108" w:type="dxa"/>
                  <w:gridSpan w:val="2"/>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в т.ч. НДС, руб.</w:t>
                  </w:r>
                </w:p>
              </w:tc>
            </w:tr>
            <w:tr>
              <w:trPr/>
              <w:tc>
                <w:tcPr>
                  <w:tcW w:w="1216" w:type="dxa"/>
                  <w:tcBorders/>
                  <w:tcMar>
                    <w:top w:w="0" w:type="dxa"/>
                    <w:left w:w="0" w:type="dxa"/>
                    <w:right w:w="0" w:type="dxa"/>
                  </w:tcMar>
                </w:tcPr>
                <w:p>
                  <w:pPr>
                    <w:pStyle w:val="Normal"/>
                    <w:widowControl w:val="false"/>
                    <w:spacing w:lineRule="auto" w:line="240"/>
                    <w:ind w:hanging="0"/>
                    <w:jc w:val="center"/>
                    <w:rPr>
                      <w:b/>
                      <w:b/>
                      <w:bCs/>
                      <w:sz w:val="20"/>
                      <w:szCs w:val="20"/>
                    </w:rPr>
                  </w:pPr>
                  <w:r>
                    <w:rPr>
                      <w:b/>
                      <w:bCs/>
                      <w:sz w:val="20"/>
                      <w:szCs w:val="20"/>
                    </w:rPr>
                  </w:r>
                </w:p>
              </w:tc>
              <w:tc>
                <w:tcPr>
                  <w:tcW w:w="0"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1</w:t>
                  </w:r>
                </w:p>
              </w:tc>
              <w:tc>
                <w:tcPr>
                  <w:tcW w:w="2591"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2</w:t>
                  </w:r>
                </w:p>
              </w:tc>
              <w:tc>
                <w:tcPr>
                  <w:tcW w:w="1262"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3</w:t>
                  </w:r>
                </w:p>
              </w:tc>
              <w:tc>
                <w:tcPr>
                  <w:tcW w:w="8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4</w:t>
                  </w:r>
                </w:p>
              </w:tc>
              <w:tc>
                <w:tcPr>
                  <w:tcW w:w="1405"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5</w:t>
                  </w:r>
                </w:p>
              </w:tc>
              <w:tc>
                <w:tcPr>
                  <w:tcW w:w="1343"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6</w:t>
                  </w:r>
                </w:p>
              </w:tc>
              <w:tc>
                <w:tcPr>
                  <w:tcW w:w="11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7</w:t>
                  </w:r>
                </w:p>
              </w:tc>
            </w:tr>
            <w:tr>
              <w:trPr/>
              <w:tc>
                <w:tcPr>
                  <w:tcW w:w="1216" w:type="dxa"/>
                  <w:tcBorders/>
                  <w:tcMar>
                    <w:top w:w="0" w:type="dxa"/>
                    <w:left w:w="0" w:type="dxa"/>
                    <w:right w:w="0" w:type="dxa"/>
                  </w:tcMar>
                </w:tcPr>
                <w:p>
                  <w:pPr>
                    <w:pStyle w:val="Normal"/>
                    <w:widowControl w:val="false"/>
                    <w:spacing w:lineRule="auto" w:line="240"/>
                    <w:jc w:val="center"/>
                    <w:rPr>
                      <w:sz w:val="20"/>
                      <w:szCs w:val="20"/>
                    </w:rPr>
                  </w:pPr>
                  <w:r>
                    <w:rPr>
                      <w:sz w:val="20"/>
                      <w:szCs w:val="20"/>
                    </w:rPr>
                  </w:r>
                </w:p>
              </w:tc>
              <w:tc>
                <w:tcPr>
                  <w:tcW w:w="0"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jc w:val="center"/>
                    <w:rPr>
                      <w:sz w:val="20"/>
                      <w:szCs w:val="20"/>
                    </w:rPr>
                  </w:pPr>
                  <w:r>
                    <w:rPr>
                      <w:sz w:val="20"/>
                      <w:szCs w:val="20"/>
                    </w:rPr>
                  </w:r>
                </w:p>
              </w:tc>
              <w:tc>
                <w:tcPr>
                  <w:tcW w:w="2591"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262"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8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405"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343"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1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r>
            <w:tr>
              <w:trPr/>
              <w:tc>
                <w:tcPr>
                  <w:tcW w:w="1216" w:type="dxa"/>
                  <w:tcBorders/>
                  <w:tcMar>
                    <w:top w:w="0" w:type="dxa"/>
                    <w:left w:w="0" w:type="dxa"/>
                    <w:right w:w="0" w:type="dxa"/>
                  </w:tcMar>
                </w:tcPr>
                <w:p>
                  <w:pPr>
                    <w:pStyle w:val="Normal"/>
                    <w:widowControl w:val="false"/>
                    <w:spacing w:lineRule="auto" w:line="240"/>
                    <w:jc w:val="center"/>
                    <w:rPr>
                      <w:sz w:val="20"/>
                      <w:szCs w:val="20"/>
                    </w:rPr>
                  </w:pPr>
                  <w:r>
                    <w:rPr>
                      <w:sz w:val="20"/>
                      <w:szCs w:val="20"/>
                    </w:rPr>
                  </w:r>
                </w:p>
              </w:tc>
              <w:tc>
                <w:tcPr>
                  <w:tcW w:w="0"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jc w:val="center"/>
                    <w:rPr>
                      <w:sz w:val="20"/>
                      <w:szCs w:val="20"/>
                    </w:rPr>
                  </w:pPr>
                  <w:r>
                    <w:rPr>
                      <w:sz w:val="20"/>
                      <w:szCs w:val="20"/>
                    </w:rPr>
                  </w:r>
                </w:p>
              </w:tc>
              <w:tc>
                <w:tcPr>
                  <w:tcW w:w="2591"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262"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8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405"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343"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1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r>
            <w:tr>
              <w:trPr/>
              <w:tc>
                <w:tcPr>
                  <w:tcW w:w="1216" w:type="dxa"/>
                  <w:tcBorders/>
                  <w:tcMar>
                    <w:top w:w="0" w:type="dxa"/>
                    <w:left w:w="0" w:type="dxa"/>
                    <w:right w:w="0" w:type="dxa"/>
                  </w:tcMar>
                </w:tcPr>
                <w:p>
                  <w:pPr>
                    <w:pStyle w:val="Normal"/>
                    <w:widowControl w:val="false"/>
                    <w:spacing w:lineRule="auto" w:line="240"/>
                    <w:jc w:val="center"/>
                    <w:rPr>
                      <w:sz w:val="20"/>
                      <w:szCs w:val="20"/>
                    </w:rPr>
                  </w:pPr>
                  <w:r>
                    <w:rPr>
                      <w:sz w:val="20"/>
                      <w:szCs w:val="20"/>
                    </w:rPr>
                  </w:r>
                </w:p>
              </w:tc>
              <w:tc>
                <w:tcPr>
                  <w:tcW w:w="0"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jc w:val="center"/>
                    <w:rPr>
                      <w:sz w:val="20"/>
                      <w:szCs w:val="20"/>
                    </w:rPr>
                  </w:pPr>
                  <w:r>
                    <w:rPr>
                      <w:sz w:val="20"/>
                      <w:szCs w:val="20"/>
                    </w:rPr>
                  </w:r>
                </w:p>
              </w:tc>
              <w:tc>
                <w:tcPr>
                  <w:tcW w:w="2591"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262"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8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405"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343"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1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r>
            <w:tr>
              <w:trPr/>
              <w:tc>
                <w:tcPr>
                  <w:tcW w:w="1216" w:type="dxa"/>
                  <w:tcBorders/>
                  <w:tcMar>
                    <w:top w:w="0" w:type="dxa"/>
                    <w:left w:w="0" w:type="dxa"/>
                    <w:right w:w="0" w:type="dxa"/>
                  </w:tcMar>
                </w:tcPr>
                <w:p>
                  <w:pPr>
                    <w:pStyle w:val="Normal"/>
                    <w:widowControl w:val="false"/>
                    <w:spacing w:lineRule="auto" w:line="240"/>
                    <w:rPr>
                      <w:sz w:val="20"/>
                      <w:szCs w:val="20"/>
                    </w:rPr>
                  </w:pPr>
                  <w:r>
                    <w:rPr>
                      <w:sz w:val="20"/>
                      <w:szCs w:val="20"/>
                    </w:rPr>
                  </w:r>
                </w:p>
              </w:tc>
              <w:tc>
                <w:tcPr>
                  <w:tcW w:w="259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t>Выполнено работ</w:t>
                  </w:r>
                </w:p>
              </w:tc>
              <w:tc>
                <w:tcPr>
                  <w:tcW w:w="3482" w:type="dxa"/>
                  <w:gridSpan w:val="5"/>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jc w:val="center"/>
                    <w:rPr>
                      <w:b/>
                      <w:b/>
                      <w:bCs/>
                      <w:sz w:val="20"/>
                      <w:szCs w:val="20"/>
                    </w:rPr>
                  </w:pPr>
                  <w:r>
                    <w:rPr>
                      <w:b/>
                      <w:bCs/>
                      <w:sz w:val="20"/>
                      <w:szCs w:val="20"/>
                    </w:rPr>
                    <w:t>ИТОГО</w:t>
                  </w:r>
                </w:p>
              </w:tc>
              <w:tc>
                <w:tcPr>
                  <w:tcW w:w="1337"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107"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r>
          </w:tbl>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Выполненные работы удовлетворяют условиям договора (техническому заданию).</w:t>
            </w:r>
          </w:p>
          <w:p>
            <w:pPr>
              <w:pStyle w:val="Normal"/>
              <w:widowControl w:val="false"/>
              <w:spacing w:lineRule="auto" w:line="240"/>
              <w:rPr>
                <w:sz w:val="20"/>
                <w:szCs w:val="20"/>
              </w:rPr>
            </w:pPr>
            <w:r>
              <w:rPr>
                <w:sz w:val="20"/>
                <w:szCs w:val="20"/>
              </w:rPr>
              <w:t>Субподрядчиком переданы Генподрядчику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sz w:val="20"/>
                <w:szCs w:val="20"/>
              </w:rPr>
            </w:pPr>
            <w:r>
              <w:rPr>
                <w:sz w:val="20"/>
                <w:szCs w:val="20"/>
              </w:rPr>
              <w:t>____________________________________________________________________</w:t>
            </w:r>
          </w:p>
          <w:tbl>
            <w:tblPr>
              <w:tblW w:w="972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51"/>
              <w:gridCol w:w="4049"/>
              <w:gridCol w:w="707"/>
              <w:gridCol w:w="347"/>
              <w:gridCol w:w="4166"/>
            </w:tblGrid>
            <w:tr>
              <w:trPr>
                <w:cantSplit w:val="true"/>
              </w:trPr>
              <w:tc>
                <w:tcPr>
                  <w:tcW w:w="4500" w:type="dxa"/>
                  <w:gridSpan w:val="2"/>
                  <w:tcBorders/>
                </w:tcPr>
                <w:p>
                  <w:pPr>
                    <w:pStyle w:val="Normal"/>
                    <w:widowControl w:val="false"/>
                    <w:spacing w:lineRule="auto" w:line="240"/>
                    <w:rPr>
                      <w:sz w:val="20"/>
                      <w:szCs w:val="20"/>
                    </w:rPr>
                  </w:pPr>
                  <w:r>
                    <w:rPr>
                      <w:b/>
                      <w:bCs/>
                      <w:sz w:val="20"/>
                      <w:szCs w:val="20"/>
                    </w:rPr>
                    <w:t>Генподрядчика:</w:t>
                  </w:r>
                </w:p>
              </w:tc>
              <w:tc>
                <w:tcPr>
                  <w:tcW w:w="707" w:type="dxa"/>
                  <w:vMerge w:val="restart"/>
                  <w:tcBorders/>
                </w:tcPr>
                <w:p>
                  <w:pPr>
                    <w:pStyle w:val="Normal"/>
                    <w:widowControl w:val="false"/>
                    <w:spacing w:lineRule="auto" w:line="240"/>
                    <w:rPr>
                      <w:sz w:val="20"/>
                      <w:szCs w:val="20"/>
                    </w:rPr>
                  </w:pPr>
                  <w:r>
                    <w:rPr>
                      <w:sz w:val="20"/>
                      <w:szCs w:val="20"/>
                    </w:rPr>
                  </w:r>
                </w:p>
              </w:tc>
              <w:tc>
                <w:tcPr>
                  <w:tcW w:w="4513" w:type="dxa"/>
                  <w:gridSpan w:val="2"/>
                  <w:tcBorders/>
                </w:tcPr>
                <w:p>
                  <w:pPr>
                    <w:pStyle w:val="Normal"/>
                    <w:widowControl w:val="false"/>
                    <w:spacing w:lineRule="auto" w:line="240"/>
                    <w:rPr>
                      <w:sz w:val="20"/>
                      <w:szCs w:val="20"/>
                    </w:rPr>
                  </w:pPr>
                  <w:r>
                    <w:rPr>
                      <w:b/>
                      <w:bCs/>
                      <w:sz w:val="20"/>
                      <w:szCs w:val="20"/>
                    </w:rPr>
                    <w:t>Субподрядчика:</w:t>
                  </w:r>
                </w:p>
              </w:tc>
            </w:tr>
            <w:tr>
              <w:trPr>
                <w:cantSplit w:val="true"/>
              </w:trPr>
              <w:tc>
                <w:tcPr>
                  <w:tcW w:w="4500" w:type="dxa"/>
                  <w:gridSpan w:val="2"/>
                  <w:tcBorders/>
                </w:tcPr>
                <w:p>
                  <w:pPr>
                    <w:pStyle w:val="Normal"/>
                    <w:widowControl w:val="false"/>
                    <w:spacing w:lineRule="auto" w:line="240"/>
                    <w:rPr>
                      <w:b/>
                      <w:b/>
                      <w:bCs/>
                      <w:sz w:val="20"/>
                      <w:szCs w:val="20"/>
                    </w:rPr>
                  </w:pPr>
                  <w:r>
                    <w:rPr>
                      <w:b/>
                      <w:bCs/>
                      <w:sz w:val="20"/>
                      <w:szCs w:val="20"/>
                    </w:rPr>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513" w:type="dxa"/>
                  <w:gridSpan w:val="2"/>
                  <w:tcBorders/>
                </w:tcPr>
                <w:p>
                  <w:pPr>
                    <w:pStyle w:val="Normal"/>
                    <w:widowControl w:val="false"/>
                    <w:spacing w:lineRule="auto" w:line="240"/>
                    <w:rPr>
                      <w:b/>
                      <w:b/>
                      <w:bCs/>
                      <w:sz w:val="20"/>
                      <w:szCs w:val="20"/>
                    </w:rPr>
                  </w:pPr>
                  <w:r>
                    <w:rPr>
                      <w:b/>
                      <w:bCs/>
                      <w:sz w:val="20"/>
                      <w:szCs w:val="20"/>
                    </w:rPr>
                  </w:r>
                </w:p>
              </w:tc>
            </w:tr>
            <w:tr>
              <w:trPr>
                <w:cantSplit w:val="true"/>
              </w:trPr>
              <w:tc>
                <w:tcPr>
                  <w:tcW w:w="451" w:type="dxa"/>
                  <w:vMerge w:val="restart"/>
                  <w:tcBorders/>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pacing w:lineRule="auto" w:line="240"/>
                    <w:jc w:val="center"/>
                    <w:rPr>
                      <w:sz w:val="20"/>
                      <w:szCs w:val="20"/>
                    </w:rPr>
                  </w:pPr>
                  <w:r>
                    <w:rPr>
                      <w:i/>
                      <w:iCs/>
                      <w:sz w:val="20"/>
                      <w:szCs w:val="20"/>
                    </w:rPr>
                    <w:t>(должность)</w:t>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restart"/>
                  <w:tcBorders/>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pacing w:lineRule="auto" w:line="240"/>
                    <w:jc w:val="center"/>
                    <w:rPr>
                      <w:sz w:val="20"/>
                      <w:szCs w:val="20"/>
                    </w:rPr>
                  </w:pPr>
                  <w:r>
                    <w:rPr>
                      <w:i/>
                      <w:iCs/>
                      <w:sz w:val="20"/>
                      <w:szCs w:val="20"/>
                    </w:rPr>
                    <w:t>(должность)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pacing w:lineRule="auto" w:line="240"/>
                    <w:rPr>
                      <w:sz w:val="20"/>
                      <w:szCs w:val="20"/>
                    </w:rPr>
                  </w:pPr>
                  <w:r>
                    <w:rPr>
                      <w:sz w:val="20"/>
                      <w:szCs w:val="20"/>
                    </w:rPr>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pacing w:lineRule="auto" w:line="240"/>
                    <w:jc w:val="center"/>
                    <w:rPr>
                      <w:sz w:val="20"/>
                      <w:szCs w:val="20"/>
                    </w:rPr>
                  </w:pPr>
                  <w:r>
                    <w:rPr>
                      <w:i/>
                      <w:iCs/>
                      <w:sz w:val="20"/>
                      <w:szCs w:val="20"/>
                    </w:rPr>
                    <w:t>(подпись)</w:t>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pacing w:lineRule="auto" w:line="240"/>
                    <w:jc w:val="center"/>
                    <w:rPr>
                      <w:sz w:val="20"/>
                      <w:szCs w:val="20"/>
                    </w:rPr>
                  </w:pPr>
                  <w:r>
                    <w:rPr>
                      <w:i/>
                      <w:iCs/>
                      <w:sz w:val="20"/>
                      <w:szCs w:val="20"/>
                    </w:rPr>
                    <w:t>(подпись)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pacing w:lineRule="auto" w:line="240"/>
                    <w:rPr>
                      <w:sz w:val="20"/>
                      <w:szCs w:val="20"/>
                    </w:rPr>
                  </w:pPr>
                  <w:r>
                    <w:rPr>
                      <w:sz w:val="20"/>
                      <w:szCs w:val="20"/>
                    </w:rPr>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pacing w:lineRule="auto" w:line="240"/>
                    <w:ind w:firstLine="7"/>
                    <w:jc w:val="center"/>
                    <w:rPr>
                      <w:sz w:val="20"/>
                      <w:szCs w:val="20"/>
                    </w:rPr>
                  </w:pPr>
                  <w:r>
                    <w:rPr>
                      <w:i/>
                      <w:iCs/>
                      <w:sz w:val="20"/>
                      <w:szCs w:val="20"/>
                    </w:rPr>
                    <w:t>(расшифровка подписи)</w:t>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pacing w:lineRule="auto" w:line="240"/>
                    <w:jc w:val="center"/>
                    <w:rPr>
                      <w:sz w:val="20"/>
                      <w:szCs w:val="20"/>
                    </w:rPr>
                  </w:pPr>
                  <w:r>
                    <w:rPr>
                      <w:i/>
                      <w:iCs/>
                      <w:sz w:val="20"/>
                      <w:szCs w:val="20"/>
                    </w:rPr>
                    <w:t>(расшифровка подписи)</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cPr>
                <w:p>
                  <w:pPr>
                    <w:pStyle w:val="Normal"/>
                    <w:widowControl w:val="false"/>
                    <w:spacing w:lineRule="auto" w:line="240"/>
                    <w:rPr>
                      <w:sz w:val="20"/>
                      <w:szCs w:val="20"/>
                    </w:rPr>
                  </w:pPr>
                  <w:r>
                    <w:rPr>
                      <w:sz w:val="20"/>
                      <w:szCs w:val="20"/>
                    </w:rPr>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cPr>
                <w:p>
                  <w:pPr>
                    <w:pStyle w:val="Normal"/>
                    <w:widowControl w:val="false"/>
                    <w:spacing w:lineRule="auto" w:line="240"/>
                    <w:rPr>
                      <w:sz w:val="20"/>
                      <w:szCs w:val="20"/>
                    </w:rPr>
                  </w:pPr>
                  <w:r>
                    <w:rPr>
                      <w:sz w:val="20"/>
                      <w:szCs w:val="20"/>
                    </w:rPr>
                  </w:r>
                </w:p>
              </w:tc>
            </w:tr>
          </w:tbl>
          <w:p>
            <w:pPr>
              <w:pStyle w:val="Normal"/>
              <w:widowControl w:val="false"/>
              <w:spacing w:lineRule="auto" w:line="240"/>
              <w:ind w:right="-76" w:firstLine="567"/>
              <w:jc w:val="center"/>
              <w:rPr>
                <w:szCs w:val="24"/>
              </w:rPr>
            </w:pPr>
            <w:r>
              <w:rPr>
                <w:szCs w:val="24"/>
              </w:rPr>
            </w:r>
          </w:p>
        </w:tc>
      </w:tr>
    </w:tbl>
    <w:p>
      <w:pPr>
        <w:pStyle w:val="Normal"/>
        <w:spacing w:lineRule="auto" w:line="240"/>
        <w:ind w:left="5103" w:firstLine="567"/>
        <w:rPr>
          <w:sz w:val="24"/>
          <w:szCs w:val="24"/>
        </w:rPr>
      </w:pPr>
      <w:r>
        <w:rPr>
          <w:sz w:val="24"/>
          <w:szCs w:val="24"/>
        </w:rPr>
      </w:r>
    </w:p>
    <w:p>
      <w:pPr>
        <w:pStyle w:val="Normal"/>
        <w:spacing w:lineRule="auto" w:line="240"/>
        <w:ind w:left="5103" w:firstLine="567"/>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rPr>
                <w:b/>
                <w:b/>
                <w:sz w:val="24"/>
                <w:szCs w:val="24"/>
                <w:lang w:val="en-US"/>
              </w:rPr>
            </w:pPr>
            <w:r>
              <w:rPr>
                <w:b/>
                <w:sz w:val="24"/>
                <w:szCs w:val="24"/>
              </w:rPr>
              <w:t>Генподрядчик</w:t>
            </w:r>
            <w:r>
              <w:rPr>
                <w:b/>
                <w:sz w:val="24"/>
                <w:szCs w:val="24"/>
                <w:lang w:val="en-US"/>
              </w:rPr>
              <w:t>:</w:t>
            </w:r>
          </w:p>
          <w:p>
            <w:pPr>
              <w:pStyle w:val="Normal"/>
              <w:widowControl w:val="false"/>
              <w:spacing w:lineRule="auto" w:line="240"/>
              <w:rPr>
                <w:b/>
                <w:b/>
                <w:sz w:val="24"/>
                <w:szCs w:val="24"/>
              </w:rPr>
            </w:pPr>
            <w:r>
              <w:rPr>
                <w:b/>
                <w:sz w:val="24"/>
                <w:szCs w:val="24"/>
              </w:rPr>
            </w:r>
          </w:p>
          <w:p>
            <w:pPr>
              <w:pStyle w:val="Normal"/>
              <w:widowControl w:val="false"/>
              <w:spacing w:lineRule="auto" w:line="240"/>
              <w:ind w:firstLine="34"/>
              <w:rPr>
                <w:b/>
                <w:b/>
                <w:sz w:val="24"/>
                <w:szCs w:val="24"/>
              </w:rPr>
            </w:pPr>
            <w:r>
              <w:rPr>
                <w:b/>
                <w:sz w:val="24"/>
                <w:szCs w:val="24"/>
              </w:rPr>
              <w:t>__________/___________________________</w:t>
            </w:r>
          </w:p>
        </w:tc>
        <w:tc>
          <w:tcPr>
            <w:tcW w:w="4785" w:type="dxa"/>
            <w:tcBorders/>
          </w:tcPr>
          <w:p>
            <w:pPr>
              <w:pStyle w:val="Normal"/>
              <w:widowControl w:val="false"/>
              <w:spacing w:lineRule="auto" w:line="240"/>
              <w:rPr>
                <w:b/>
                <w:b/>
                <w:sz w:val="24"/>
                <w:szCs w:val="24"/>
              </w:rPr>
            </w:pPr>
            <w:r>
              <w:rPr>
                <w:b/>
                <w:sz w:val="24"/>
                <w:szCs w:val="24"/>
              </w:rPr>
              <w:t>Субподрядчик:</w:t>
            </w:r>
          </w:p>
          <w:p>
            <w:pPr>
              <w:pStyle w:val="Normal"/>
              <w:widowControl w:val="false"/>
              <w:spacing w:lineRule="auto" w:line="240"/>
              <w:rPr>
                <w:b/>
                <w:b/>
                <w:sz w:val="24"/>
                <w:szCs w:val="24"/>
              </w:rPr>
            </w:pPr>
            <w:r>
              <w:rPr>
                <w:b/>
                <w:sz w:val="24"/>
                <w:szCs w:val="24"/>
              </w:rPr>
            </w:r>
          </w:p>
          <w:p>
            <w:pPr>
              <w:pStyle w:val="Normal"/>
              <w:widowControl w:val="false"/>
              <w:spacing w:lineRule="auto" w:line="240"/>
              <w:ind w:hanging="0"/>
              <w:rPr>
                <w:b/>
                <w:b/>
                <w:sz w:val="24"/>
                <w:szCs w:val="24"/>
              </w:rPr>
            </w:pPr>
            <w:r>
              <w:rPr>
                <w:b/>
                <w:sz w:val="24"/>
                <w:szCs w:val="24"/>
              </w:rPr>
              <w:t>_______________/_____________________</w:t>
            </w:r>
          </w:p>
        </w:tc>
      </w:tr>
    </w:tbl>
    <w:p>
      <w:pPr>
        <w:sectPr>
          <w:headerReference w:type="default" r:id="rId9"/>
          <w:footerReference w:type="default" r:id="rId10"/>
          <w:footnotePr>
            <w:numFmt w:val="decimal"/>
          </w:footnotePr>
          <w:type w:val="nextPage"/>
          <w:pgSz w:w="11906" w:h="16838"/>
          <w:pgMar w:left="1134" w:right="1134" w:header="567" w:top="1418" w:footer="284" w:bottom="851" w:gutter="0"/>
          <w:pgNumType w:fmt="decimal"/>
          <w:formProt w:val="false"/>
          <w:textDirection w:val="lrTb"/>
          <w:docGrid w:type="default" w:linePitch="360" w:charSpace="0"/>
        </w:sectPr>
      </w:pPr>
    </w:p>
    <w:p>
      <w:pPr>
        <w:pStyle w:val="Normal"/>
        <w:spacing w:lineRule="auto" w:line="240"/>
        <w:ind w:left="4395" w:firstLine="708"/>
        <w:rPr>
          <w:sz w:val="22"/>
          <w:szCs w:val="22"/>
        </w:rPr>
      </w:pPr>
      <w:r>
        <w:rPr>
          <w:sz w:val="22"/>
          <w:szCs w:val="22"/>
        </w:rPr>
        <w:t>Приложение № 3</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2026г. № ____</w:t>
      </w:r>
    </w:p>
    <w:p>
      <w:pPr>
        <w:pStyle w:val="Normal"/>
        <w:spacing w:lineRule="auto" w:line="240"/>
        <w:rPr>
          <w:sz w:val="22"/>
          <w:szCs w:val="22"/>
        </w:rPr>
      </w:pPr>
      <w:r>
        <w:rPr>
          <w:sz w:val="22"/>
          <w:szCs w:val="22"/>
        </w:rPr>
      </w:r>
    </w:p>
    <w:p>
      <w:pPr>
        <w:pStyle w:val="Normal"/>
        <w:spacing w:lineRule="auto" w:line="240"/>
        <w:ind w:hanging="0"/>
        <w:rPr>
          <w:b/>
          <w:b/>
          <w:bCs/>
          <w:sz w:val="24"/>
          <w:szCs w:val="24"/>
        </w:rPr>
      </w:pPr>
      <w:r>
        <w:rPr>
          <w:b/>
          <w:bCs/>
          <w:sz w:val="24"/>
          <w:szCs w:val="24"/>
        </w:rPr>
      </w:r>
    </w:p>
    <w:p>
      <w:pPr>
        <w:pStyle w:val="Normal"/>
        <w:spacing w:lineRule="auto" w:line="240"/>
        <w:ind w:hanging="0"/>
        <w:jc w:val="center"/>
        <w:rPr>
          <w:b/>
          <w:b/>
          <w:sz w:val="24"/>
          <w:szCs w:val="24"/>
        </w:rPr>
      </w:pPr>
      <w:r>
        <w:rPr>
          <w:b/>
          <w:sz w:val="24"/>
          <w:szCs w:val="24"/>
        </w:rPr>
        <w:t xml:space="preserve">СМЕТА </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b/>
                <w:sz w:val="24"/>
              </w:rPr>
            </w:pPr>
            <w:r>
              <w:rPr>
                <w:b/>
                <w:sz w:val="24"/>
              </w:rPr>
              <w:t>Генподрядчик:</w:t>
            </w:r>
          </w:p>
        </w:tc>
        <w:tc>
          <w:tcPr>
            <w:tcW w:w="4785" w:type="dxa"/>
            <w:tcBorders/>
          </w:tcPr>
          <w:p>
            <w:pPr>
              <w:pStyle w:val="Normal"/>
              <w:widowControl w:val="false"/>
              <w:spacing w:lineRule="auto" w:line="240"/>
              <w:ind w:hanging="0"/>
              <w:rPr>
                <w:b/>
                <w:b/>
                <w:sz w:val="24"/>
              </w:rPr>
            </w:pPr>
            <w:r>
              <w:rPr>
                <w:b/>
                <w:sz w:val="24"/>
              </w:rPr>
              <w:t>Субподрядчик: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left="708" w:firstLine="708"/>
        <w:jc w:val="right"/>
        <w:rPr>
          <w:sz w:val="22"/>
          <w:szCs w:val="22"/>
        </w:rPr>
      </w:pPr>
      <w:r>
        <w:rPr>
          <w:sz w:val="22"/>
          <w:szCs w:val="22"/>
        </w:rPr>
      </w:r>
    </w:p>
    <w:p>
      <w:pPr>
        <w:pStyle w:val="Normal"/>
        <w:spacing w:lineRule="auto" w:line="240"/>
        <w:ind w:left="5103" w:hanging="0"/>
        <w:jc w:val="left"/>
        <w:rPr>
          <w:sz w:val="22"/>
          <w:szCs w:val="22"/>
        </w:rPr>
      </w:pPr>
      <w:r>
        <w:rPr>
          <w:sz w:val="22"/>
          <w:szCs w:val="22"/>
        </w:rPr>
        <w:t>Приложение № 4</w:t>
      </w:r>
    </w:p>
    <w:p>
      <w:pPr>
        <w:pStyle w:val="Normal"/>
        <w:spacing w:lineRule="auto" w:line="240"/>
        <w:ind w:left="5103" w:hanging="0"/>
        <w:jc w:val="left"/>
        <w:rPr>
          <w:sz w:val="22"/>
          <w:szCs w:val="22"/>
        </w:rPr>
      </w:pPr>
      <w:r>
        <w:rPr>
          <w:sz w:val="22"/>
          <w:szCs w:val="22"/>
        </w:rPr>
        <w:t>к Договору подряда</w:t>
      </w:r>
    </w:p>
    <w:p>
      <w:pPr>
        <w:pStyle w:val="Normal"/>
        <w:spacing w:lineRule="auto" w:line="240"/>
        <w:ind w:left="5103" w:hanging="0"/>
        <w:jc w:val="left"/>
        <w:rPr>
          <w:sz w:val="22"/>
          <w:szCs w:val="22"/>
        </w:rPr>
      </w:pPr>
      <w:r>
        <w:rPr>
          <w:sz w:val="22"/>
          <w:szCs w:val="22"/>
        </w:rPr>
        <w:t xml:space="preserve">от «____» __________ 2026г. № ____ </w:t>
      </w:r>
    </w:p>
    <w:p>
      <w:pPr>
        <w:pStyle w:val="Normal"/>
        <w:spacing w:lineRule="auto" w:line="240"/>
        <w:rPr>
          <w:sz w:val="22"/>
          <w:szCs w:val="22"/>
        </w:rPr>
      </w:pPr>
      <w:r>
        <w:rPr>
          <w:sz w:val="22"/>
          <w:szCs w:val="22"/>
        </w:rPr>
      </w:r>
    </w:p>
    <w:p>
      <w:pPr>
        <w:pStyle w:val="Normal"/>
        <w:spacing w:lineRule="auto" w:line="240"/>
        <w:ind w:hanging="0"/>
        <w:rPr>
          <w:b/>
          <w:b/>
          <w:bCs/>
          <w:sz w:val="24"/>
          <w:szCs w:val="24"/>
        </w:rPr>
      </w:pPr>
      <w:r>
        <w:rPr>
          <w:b/>
          <w:bCs/>
          <w:sz w:val="24"/>
          <w:szCs w:val="24"/>
        </w:rPr>
      </w:r>
    </w:p>
    <w:p>
      <w:pPr>
        <w:pStyle w:val="Style39"/>
        <w:shd w:val="clear" w:color="auto" w:fill="auto"/>
        <w:ind w:hanging="0"/>
        <w:rPr>
          <w:b w:val="false"/>
          <w:b w:val="false"/>
          <w:sz w:val="24"/>
        </w:rPr>
      </w:pPr>
      <w:r>
        <w:rPr>
          <w:sz w:val="24"/>
        </w:rPr>
        <w:t>ФОРМА</w:t>
      </w:r>
    </w:p>
    <w:p>
      <w:pPr>
        <w:pStyle w:val="Style39"/>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637"/>
      </w:tblGrid>
      <w:tr>
        <w:trPr/>
        <w:tc>
          <w:tcPr>
            <w:tcW w:w="9637" w:type="dxa"/>
            <w:tcBorders>
              <w:top w:val="single" w:sz="4" w:space="0" w:color="000000"/>
              <w:left w:val="single" w:sz="4" w:space="0" w:color="000000"/>
              <w:bottom w:val="single" w:sz="4" w:space="0" w:color="000000"/>
              <w:right w:val="single" w:sz="4" w:space="0" w:color="000000"/>
            </w:tcBorders>
            <w:shd w:color="auto" w:fill="auto" w:val="clear"/>
          </w:tcPr>
          <w:p>
            <w:pPr>
              <w:pStyle w:val="Style39"/>
              <w:widowControl w:val="false"/>
              <w:shd w:val="clear" w:color="auto" w:fill="auto"/>
              <w:ind w:hanging="0"/>
              <w:rPr>
                <w:b w:val="false"/>
                <w:b w:val="false"/>
                <w:bCs/>
              </w:rPr>
            </w:pPr>
            <w:r>
              <w:rPr>
                <w:b w:val="false"/>
                <w:bCs/>
              </w:rPr>
              <w:t>Акт</w:t>
            </w:r>
          </w:p>
          <w:p>
            <w:pPr>
              <w:pStyle w:val="Style39"/>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rPr>
                <w:sz w:val="24"/>
                <w:szCs w:val="24"/>
              </w:rPr>
            </w:pPr>
            <w:r>
              <w:rPr>
                <w:sz w:val="24"/>
                <w:szCs w:val="24"/>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____________________, именуемое далее «Субподрядчик», в лице ________________, действующего на основании ______________,</w:t>
            </w:r>
          </w:p>
          <w:p>
            <w:pPr>
              <w:pStyle w:val="Normal"/>
              <w:widowControl w:val="false"/>
              <w:ind w:hanging="0"/>
              <w:rPr>
                <w:sz w:val="22"/>
                <w:szCs w:val="22"/>
              </w:rPr>
            </w:pPr>
            <w:r>
              <w:rPr>
                <w:sz w:val="22"/>
                <w:szCs w:val="22"/>
              </w:rPr>
              <w:t>____________________, именуемое далее «Генподрядчик»,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Генподрядчик передал Субподрядчику, а Субподрядчик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№______ от 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Субподрядчик</w:t>
            </w:r>
            <w:r>
              <w:rPr>
                <w:bCs/>
                <w:sz w:val="22"/>
                <w:szCs w:val="22"/>
              </w:rPr>
              <w:t>у в установленный Договором срок.</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Cs/>
                      <w:sz w:val="24"/>
                      <w:szCs w:val="24"/>
                    </w:rPr>
                  </w:pPr>
                  <w:r>
                    <w:rPr>
                      <w:bCs/>
                      <w:sz w:val="24"/>
                      <w:szCs w:val="24"/>
                    </w:rPr>
                    <w:t>Генподрядчик:</w:t>
                  </w:r>
                </w:p>
              </w:tc>
              <w:tc>
                <w:tcPr>
                  <w:tcW w:w="4785" w:type="dxa"/>
                  <w:tcBorders/>
                </w:tcPr>
                <w:p>
                  <w:pPr>
                    <w:pStyle w:val="Normal"/>
                    <w:widowControl w:val="false"/>
                    <w:spacing w:lineRule="auto" w:line="240"/>
                    <w:ind w:hanging="0"/>
                    <w:rPr>
                      <w:bCs/>
                      <w:sz w:val="24"/>
                      <w:szCs w:val="24"/>
                    </w:rPr>
                  </w:pPr>
                  <w:r>
                    <w:rPr>
                      <w:bCs/>
                      <w:sz w:val="24"/>
                      <w:szCs w:val="24"/>
                    </w:rPr>
                    <w:t>Субподрядчик:</w:t>
                  </w:r>
                </w:p>
              </w:tc>
            </w:tr>
            <w:tr>
              <w:trPr/>
              <w:tc>
                <w:tcPr>
                  <w:tcW w:w="478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Style39"/>
              <w:widowControl w:val="false"/>
              <w:shd w:val="clear" w:color="auto" w:fill="auto"/>
              <w:ind w:hanging="0"/>
              <w:jc w:val="left"/>
              <w:rPr>
                <w:i/>
                <w:i/>
                <w:iCs/>
              </w:rPr>
            </w:pPr>
            <w:r>
              <w:rPr>
                <w:i/>
                <w:iCs/>
              </w:rPr>
            </w:r>
          </w:p>
          <w:p>
            <w:pPr>
              <w:pStyle w:val="Style39"/>
              <w:widowControl w:val="false"/>
              <w:shd w:val="clear" w:color="auto" w:fill="auto"/>
              <w:spacing w:before="0" w:after="120"/>
              <w:ind w:hanging="0"/>
              <w:jc w:val="left"/>
              <w:rPr>
                <w:i/>
                <w:i/>
                <w:iCs/>
              </w:rPr>
            </w:pPr>
            <w:r>
              <w:rPr>
                <w:i/>
                <w:iCs/>
              </w:rPr>
            </w:r>
          </w:p>
        </w:tc>
      </w:tr>
    </w:tbl>
    <w:p>
      <w:pPr>
        <w:pStyle w:val="Style39"/>
        <w:ind w:hanging="0"/>
        <w:jc w:val="left"/>
        <w:rPr>
          <w:i/>
          <w:i/>
          <w:iCs/>
        </w:rPr>
      </w:pPr>
      <w:r>
        <w:rPr>
          <w:i/>
          <w:iCs/>
        </w:rPr>
      </w:r>
    </w:p>
    <w:p>
      <w:pPr>
        <w:pStyle w:val="Normal"/>
        <w:spacing w:lineRule="auto" w:line="240"/>
        <w:ind w:left="5103" w:hanging="0"/>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b/>
                <w:sz w:val="24"/>
              </w:rPr>
            </w:pPr>
            <w:r>
              <w:rPr>
                <w:b/>
                <w:sz w:val="24"/>
              </w:rPr>
              <w:t>Генподрядчик:</w:t>
            </w:r>
          </w:p>
        </w:tc>
        <w:tc>
          <w:tcPr>
            <w:tcW w:w="4785" w:type="dxa"/>
            <w:tcBorders/>
          </w:tcPr>
          <w:p>
            <w:pPr>
              <w:pStyle w:val="Normal"/>
              <w:widowControl w:val="false"/>
              <w:spacing w:lineRule="auto" w:line="240"/>
              <w:ind w:hanging="0"/>
              <w:rPr>
                <w:b/>
                <w:b/>
                <w:sz w:val="24"/>
              </w:rPr>
            </w:pPr>
            <w:r>
              <w:rPr>
                <w:b/>
                <w:sz w:val="24"/>
              </w:rPr>
              <w:t>Субподрядчик: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r>
        <w:br w:type="page"/>
      </w:r>
    </w:p>
    <w:p>
      <w:pPr>
        <w:pStyle w:val="Normal"/>
        <w:spacing w:lineRule="auto" w:line="240"/>
        <w:ind w:left="5103" w:hanging="0"/>
        <w:rPr>
          <w:sz w:val="22"/>
          <w:szCs w:val="22"/>
        </w:rPr>
      </w:pPr>
      <w:r>
        <w:rPr>
          <w:sz w:val="22"/>
          <w:szCs w:val="22"/>
        </w:rPr>
        <w:t xml:space="preserve"> </w:t>
      </w:r>
      <w:r>
        <w:rPr>
          <w:sz w:val="22"/>
          <w:szCs w:val="22"/>
        </w:rPr>
        <w:t>Приложение № 5</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2026г. № ____</w:t>
      </w:r>
    </w:p>
    <w:p>
      <w:pPr>
        <w:pStyle w:val="Normal"/>
        <w:spacing w:lineRule="auto" w:line="240"/>
        <w:ind w:hanging="0"/>
        <w:rPr>
          <w:b/>
          <w:b/>
          <w:bCs/>
          <w:sz w:val="24"/>
          <w:szCs w:val="24"/>
        </w:rPr>
      </w:pPr>
      <w:r>
        <w:rPr>
          <w:b/>
          <w:bCs/>
          <w:sz w:val="24"/>
          <w:szCs w:val="24"/>
        </w:rPr>
      </w:r>
    </w:p>
    <w:p>
      <w:pPr>
        <w:pStyle w:val="Normal"/>
        <w:spacing w:lineRule="auto" w:line="240"/>
        <w:jc w:val="center"/>
        <w:rPr>
          <w:b/>
          <w:b/>
          <w:bCs/>
        </w:rPr>
      </w:pPr>
      <w:r>
        <w:rPr>
          <w:b/>
          <w:bCs/>
        </w:rPr>
      </w:r>
    </w:p>
    <w:p>
      <w:pPr>
        <w:pStyle w:val="Normal"/>
        <w:spacing w:lineRule="auto" w:line="240"/>
        <w:jc w:val="center"/>
        <w:rPr>
          <w:b/>
          <w:b/>
          <w:sz w:val="24"/>
        </w:rPr>
      </w:pPr>
      <w:r>
        <w:rPr>
          <w:b/>
          <w:sz w:val="24"/>
        </w:rPr>
        <w:t>Перечень допусков, разрешений и лицензий Субподрядчика</w:t>
      </w:r>
    </w:p>
    <w:p>
      <w:pPr>
        <w:pStyle w:val="Normal"/>
        <w:spacing w:lineRule="auto" w:line="240"/>
        <w:jc w:val="center"/>
        <w:rPr>
          <w:b/>
          <w:b/>
          <w:bCs/>
        </w:rPr>
      </w:pPr>
      <w:r>
        <w:rPr>
          <w:b/>
          <w:bCs/>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679"/>
        <w:gridCol w:w="2159"/>
        <w:gridCol w:w="1230"/>
        <w:gridCol w:w="1090"/>
        <w:gridCol w:w="939"/>
        <w:gridCol w:w="1280"/>
        <w:gridCol w:w="2259"/>
      </w:tblGrid>
      <w:tr>
        <w:trPr>
          <w:trHeight w:val="2142" w:hRule="atLeast"/>
        </w:trPr>
        <w:tc>
          <w:tcPr>
            <w:tcW w:w="6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21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Номер, дата выдачи,</w:t>
            </w:r>
          </w:p>
          <w:p>
            <w:pPr>
              <w:pStyle w:val="Normal"/>
              <w:widowControl w:val="false"/>
              <w:spacing w:lineRule="auto" w:line="240"/>
              <w:ind w:hanging="0"/>
              <w:jc w:val="center"/>
              <w:rPr>
                <w:bCs/>
                <w:sz w:val="22"/>
                <w:szCs w:val="22"/>
              </w:rPr>
            </w:pPr>
            <w:r>
              <w:rPr>
                <w:bCs/>
                <w:sz w:val="22"/>
                <w:szCs w:val="22"/>
              </w:rPr>
              <w:t>кем выдан</w:t>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Окончание действия разрешительного документа</w:t>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6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6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
          <w:bCs/>
        </w:rPr>
      </w:pPr>
      <w:r>
        <w:rPr>
          <w:b/>
          <w:bCs/>
        </w:rPr>
      </w:r>
    </w:p>
    <w:p>
      <w:pPr>
        <w:pStyle w:val="Normal"/>
        <w:spacing w:lineRule="auto" w:line="240"/>
        <w:jc w:val="center"/>
        <w:rPr>
          <w:b/>
          <w:b/>
          <w:sz w:val="24"/>
          <w:szCs w:val="24"/>
        </w:rPr>
      </w:pPr>
      <w:r>
        <w:rPr>
          <w:b/>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b/>
                <w:sz w:val="24"/>
              </w:rPr>
            </w:pPr>
            <w:r>
              <w:rPr>
                <w:b/>
                <w:sz w:val="24"/>
              </w:rPr>
              <w:t>Генподрядчик:</w:t>
            </w:r>
          </w:p>
        </w:tc>
        <w:tc>
          <w:tcPr>
            <w:tcW w:w="4785" w:type="dxa"/>
            <w:tcBorders/>
          </w:tcPr>
          <w:p>
            <w:pPr>
              <w:pStyle w:val="Normal"/>
              <w:widowControl w:val="false"/>
              <w:spacing w:lineRule="auto" w:line="240"/>
              <w:ind w:hanging="0"/>
              <w:rPr>
                <w:b/>
                <w:b/>
                <w:sz w:val="24"/>
              </w:rPr>
            </w:pPr>
            <w:r>
              <w:rPr>
                <w:b/>
                <w:sz w:val="24"/>
              </w:rPr>
              <w:t>Субподрядчик: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6</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2026г. № ____ </w:t>
      </w:r>
    </w:p>
    <w:p>
      <w:pPr>
        <w:pStyle w:val="Normal"/>
        <w:spacing w:lineRule="auto" w:line="240"/>
        <w:rPr>
          <w:sz w:val="22"/>
          <w:szCs w:val="22"/>
        </w:rPr>
      </w:pPr>
      <w:r>
        <w:rPr>
          <w:sz w:val="22"/>
          <w:szCs w:val="22"/>
        </w:rPr>
      </w:r>
    </w:p>
    <w:p>
      <w:pPr>
        <w:pStyle w:val="Normal"/>
        <w:spacing w:lineRule="auto" w:line="240"/>
        <w:ind w:hanging="0"/>
        <w:rPr>
          <w:b/>
          <w:b/>
          <w:sz w:val="24"/>
        </w:rPr>
      </w:pPr>
      <w:r>
        <w:rPr>
          <w:b/>
          <w:sz w:val="24"/>
        </w:rPr>
      </w:r>
    </w:p>
    <w:p>
      <w:pPr>
        <w:pStyle w:val="Normal"/>
        <w:spacing w:lineRule="auto" w:line="240"/>
        <w:ind w:hanging="0"/>
        <w:jc w:val="center"/>
        <w:rPr>
          <w:b/>
          <w:b/>
          <w:bCs/>
          <w:sz w:val="24"/>
          <w:szCs w:val="24"/>
        </w:rPr>
      </w:pPr>
      <w:r>
        <w:rPr>
          <w:b/>
          <w:bCs/>
          <w:sz w:val="24"/>
          <w:szCs w:val="24"/>
        </w:rPr>
        <w:t>Размер ответственности Субподрядчика за нарушения</w:t>
      </w:r>
    </w:p>
    <w:p>
      <w:pPr>
        <w:pStyle w:val="Normal"/>
        <w:spacing w:lineRule="auto" w:line="240"/>
        <w:ind w:hanging="0"/>
        <w:jc w:val="center"/>
        <w:rPr>
          <w:b/>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b/>
          <w:color w:val="000000"/>
          <w:sz w:val="24"/>
          <w:szCs w:val="24"/>
        </w:rPr>
      </w:pPr>
      <w:r>
        <w:rPr>
          <w:b/>
          <w:bCs/>
          <w:sz w:val="24"/>
          <w:szCs w:val="24"/>
        </w:rPr>
        <w:t>пожарной и промышленной безопасности</w:t>
      </w:r>
    </w:p>
    <w:p>
      <w:pPr>
        <w:pStyle w:val="Normal"/>
        <w:spacing w:lineRule="auto" w:line="240"/>
        <w:rPr>
          <w:b/>
          <w:b/>
          <w:sz w:val="24"/>
          <w:szCs w:val="24"/>
        </w:rPr>
      </w:pPr>
      <w:r>
        <w:rPr>
          <w:b/>
          <w:sz w:val="24"/>
          <w:szCs w:val="24"/>
        </w:rPr>
      </w:r>
    </w:p>
    <w:tbl>
      <w:tblPr>
        <w:tblW w:w="485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23"/>
        <w:gridCol w:w="5723"/>
      </w:tblGrid>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b/>
                <w:sz w:val="24"/>
                <w:szCs w:val="24"/>
              </w:rPr>
            </w:pPr>
            <w:r>
              <w:rPr>
                <w:b/>
                <w:sz w:val="24"/>
                <w:szCs w:val="24"/>
              </w:rPr>
              <w:t>Виды нарушений</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b/>
                <w:sz w:val="24"/>
                <w:szCs w:val="24"/>
              </w:rPr>
            </w:pPr>
            <w:r>
              <w:rPr>
                <w:b/>
                <w:sz w:val="24"/>
                <w:szCs w:val="24"/>
              </w:rPr>
              <w:t>Штрафные санкции</w:t>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b/>
                <w:sz w:val="24"/>
                <w:szCs w:val="24"/>
              </w:rPr>
            </w:pPr>
            <w:r>
              <w:rPr>
                <w:b/>
                <w:sz w:val="24"/>
                <w:szCs w:val="24"/>
              </w:rPr>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Генподрядчика</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Генподрядчика.</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требований охраны труда, промышленной безопасности, охраны окружающей среды, санитарно-эпидемиологических правил и норм.</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- 500 (пятьсот) рублей в случае утраты или приведения в негодность электронного пропуска, выданного Генподрядчиком.</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b/>
                <w:sz w:val="24"/>
              </w:rPr>
            </w:pPr>
            <w:r>
              <w:rPr>
                <w:b/>
                <w:sz w:val="24"/>
              </w:rPr>
              <w:t>Генподрядчик:</w:t>
            </w:r>
          </w:p>
        </w:tc>
        <w:tc>
          <w:tcPr>
            <w:tcW w:w="4785" w:type="dxa"/>
            <w:tcBorders/>
          </w:tcPr>
          <w:p>
            <w:pPr>
              <w:pStyle w:val="Normal"/>
              <w:widowControl w:val="false"/>
              <w:spacing w:lineRule="auto" w:line="240"/>
              <w:ind w:hanging="0"/>
              <w:rPr>
                <w:b/>
                <w:b/>
                <w:sz w:val="24"/>
              </w:rPr>
            </w:pPr>
            <w:r>
              <w:rPr>
                <w:b/>
                <w:sz w:val="24"/>
              </w:rPr>
              <w:t>Субподрядчик: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hd w:val="clear" w:color="auto" w:fill="FFFFFF"/>
        <w:spacing w:lineRule="auto" w:line="240"/>
        <w:ind w:left="3119" w:firstLine="1984"/>
        <w:rPr>
          <w:sz w:val="24"/>
          <w:szCs w:val="24"/>
        </w:rPr>
      </w:pPr>
      <w:r>
        <w:rPr/>
      </w:r>
    </w:p>
    <w:sectPr>
      <w:headerReference w:type="default" r:id="rId11"/>
      <w:footerReference w:type="default" r:id="rId12"/>
      <w:footnotePr>
        <w:numFmt w:val="decimal"/>
      </w:footnotePr>
      <w:type w:val="nextPage"/>
      <w:pgSz w:w="11906" w:h="16838"/>
      <w:pgMar w:left="1418" w:right="851" w:header="567" w:top="1134" w:footer="284"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Verdana">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8"/>
      <w:jc w:val="right"/>
      <w:rPr>
        <w:sz w:val="20"/>
        <w:szCs w:val="20"/>
      </w:rPr>
    </w:pPr>
    <w:r>
      <w:rPr>
        <w:sz w:val="20"/>
        <w:szCs w:val="20"/>
      </w:rPr>
      <w:fldChar w:fldCharType="begin"/>
    </w:r>
    <w:r>
      <w:rPr>
        <w:sz w:val="20"/>
        <w:szCs w:val="20"/>
      </w:rPr>
      <w:instrText> PAGE </w:instrText>
    </w:r>
    <w:r>
      <w:rPr>
        <w:sz w:val="20"/>
        <w:szCs w:val="20"/>
      </w:rPr>
      <w:fldChar w:fldCharType="separate"/>
    </w:r>
    <w:r>
      <w:rPr>
        <w:sz w:val="20"/>
        <w:szCs w:val="20"/>
      </w:rPr>
      <w:t>20</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8"/>
      <w:jc w:val="right"/>
      <w:rPr/>
    </w:pPr>
    <w:r>
      <w:rPr>
        <w:sz w:val="24"/>
      </w:rPr>
      <w:fldChar w:fldCharType="begin"/>
    </w:r>
    <w:r>
      <w:rPr>
        <w:sz w:val="24"/>
      </w:rPr>
      <w:instrText> PAGE </w:instrText>
    </w:r>
    <w:r>
      <w:rPr>
        <w:sz w:val="24"/>
      </w:rPr>
      <w:fldChar w:fldCharType="separate"/>
    </w:r>
    <w:r>
      <w:rPr>
        <w:sz w:val="24"/>
      </w:rPr>
      <w:t>21</w:t>
    </w:r>
    <w:r>
      <w:rPr>
        <w:sz w:val="24"/>
      </w:rPr>
      <w:fldChar w:fldCharType="end"/>
    </w:r>
  </w:p>
  <w:p>
    <w:pPr>
      <w:pStyle w:val="Style38"/>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8"/>
      <w:jc w:val="right"/>
      <w:rPr/>
    </w:pPr>
    <w:r>
      <w:rPr>
        <w:sz w:val="24"/>
      </w:rPr>
      <w:fldChar w:fldCharType="begin"/>
    </w:r>
    <w:r>
      <w:rPr>
        <w:sz w:val="24"/>
      </w:rPr>
      <w:instrText> PAGE </w:instrText>
    </w:r>
    <w:r>
      <w:rPr>
        <w:sz w:val="24"/>
      </w:rPr>
      <w:fldChar w:fldCharType="separate"/>
    </w:r>
    <w:r>
      <w:rPr>
        <w:sz w:val="24"/>
      </w:rPr>
      <w:t>22</w:t>
    </w:r>
    <w:r>
      <w:rPr>
        <w:sz w:val="24"/>
      </w:rPr>
      <w:fldChar w:fldCharType="end"/>
    </w:r>
  </w:p>
  <w:p>
    <w:pPr>
      <w:pStyle w:val="Style38"/>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8"/>
      <w:jc w:val="right"/>
      <w:rPr/>
    </w:pPr>
    <w:r>
      <w:rPr>
        <w:sz w:val="24"/>
        <w:szCs w:val="24"/>
      </w:rPr>
      <w:fldChar w:fldCharType="begin"/>
    </w:r>
    <w:r>
      <w:rPr>
        <w:sz w:val="24"/>
        <w:szCs w:val="24"/>
      </w:rPr>
      <w:instrText> PAGE </w:instrText>
    </w:r>
    <w:r>
      <w:rPr>
        <w:sz w:val="24"/>
        <w:szCs w:val="24"/>
      </w:rPr>
      <w:fldChar w:fldCharType="separate"/>
    </w:r>
    <w:r>
      <w:rPr>
        <w:sz w:val="24"/>
        <w:szCs w:val="24"/>
      </w:rPr>
      <w:t>26</w:t>
    </w:r>
    <w:r>
      <w:rPr>
        <w:sz w:val="24"/>
        <w:szCs w:val="24"/>
      </w:rPr>
      <w:fldChar w:fldCharType="end"/>
    </w:r>
  </w:p>
  <w:p>
    <w:pPr>
      <w:pStyle w:val="Style38"/>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Style33"/>
        <w:rPr/>
      </w:pPr>
      <w:r>
        <w:rPr>
          <w:rStyle w:val="Style5"/>
        </w:rPr>
        <w:footnoteRef/>
      </w:r>
      <w:r>
        <w:rPr/>
        <w:t>Для электронной формы документа</w:t>
      </w:r>
    </w:p>
  </w:footnote>
  <w:footnote w:id="3">
    <w:p>
      <w:pPr>
        <w:pStyle w:val="Style33"/>
        <w:rPr/>
      </w:pPr>
      <w:r>
        <w:rPr>
          <w:rStyle w:val="Style5"/>
        </w:rPr>
        <w:footnoteRef/>
      </w:r>
      <w:r>
        <w:rPr/>
        <w:t xml:space="preserve"> </w:t>
      </w:r>
      <w:r>
        <w:rPr/>
        <w:t xml:space="preserve">Применяется в случае, если Контрагент является МСП, </w:t>
      </w:r>
    </w:p>
  </w:footnote>
  <w:footnote w:id="4">
    <w:p>
      <w:pPr>
        <w:pStyle w:val="Style33"/>
        <w:rPr>
          <w:sz w:val="16"/>
          <w:szCs w:val="16"/>
        </w:rPr>
      </w:pPr>
      <w:r>
        <w:rPr>
          <w:rStyle w:val="Style5"/>
        </w:rPr>
        <w:footnoteRef/>
      </w:r>
      <w:r>
        <w:rPr>
          <w:rStyle w:val="Style5"/>
          <w:sz w:val="16"/>
          <w:szCs w:val="16"/>
        </w:rPr>
        <w:tab/>
      </w:r>
      <w:r>
        <w:rPr>
          <w:sz w:val="16"/>
          <w:szCs w:val="16"/>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5">
    <w:p>
      <w:pPr>
        <w:pStyle w:val="Style33"/>
        <w:rPr>
          <w:shd w:fill="auto" w:val="clear"/>
        </w:rPr>
      </w:pPr>
      <w:r>
        <w:rPr>
          <w:rStyle w:val="Style5"/>
        </w:rPr>
        <w:footnoteRef/>
      </w:r>
      <w:r>
        <w:rPr>
          <w:shd w:fill="auto" w:val="clear"/>
        </w:rPr>
        <w:t xml:space="preserve"> </w:t>
      </w:r>
      <w:r>
        <w:rPr>
          <w:shd w:fill="auto" w:val="clea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1"/>
      <w:rPr/>
    </w:pPr>
    <w:r>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1"/>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1"/>
      <w:ind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Статья %1."/>
      <w:lvlJc w:val="left"/>
      <w:pPr>
        <w:tabs>
          <w:tab w:val="num" w:pos="720"/>
        </w:tabs>
        <w:ind w:left="720" w:hanging="360"/>
      </w:p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u w:val="none"/>
        <w:b w:val="false"/>
      </w:rPr>
    </w:lvl>
    <w:lvl w:ilvl="2">
      <w:start w:val="1"/>
      <w:numFmt w:val="decimal"/>
      <w:lvlText w:val="%1.%2.%3."/>
      <w:lvlJc w:val="left"/>
      <w:pPr>
        <w:tabs>
          <w:tab w:val="num" w:pos="0"/>
        </w:tabs>
        <w:ind w:left="1214" w:hanging="504"/>
      </w:pPr>
      <w:rPr>
        <w:sz w:val="24"/>
        <w:b w:val="false"/>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lvl w:ilvl="0">
      <w:start w:val="1"/>
      <w:numFmt w:val="decimal"/>
      <w:lvlText w:val="%1."/>
      <w:lvlJc w:val="left"/>
      <w:pPr>
        <w:tabs>
          <w:tab w:val="num" w:pos="3240"/>
        </w:tabs>
        <w:ind w:left="3240" w:hanging="0"/>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lowerLetter"/>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75"/>
  <w:defaultTabStop w:val="709"/>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Lohit Devanagari"/>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360" w:before="0" w:after="0"/>
      <w:ind w:firstLine="567"/>
      <w:jc w:val="both"/>
    </w:pPr>
    <w:rPr>
      <w:rFonts w:ascii="Times New Roman" w:hAnsi="Times New Roman" w:eastAsia="Noto Serif CJK SC" w:cs="Lohit Devanagari"/>
      <w:color w:val="auto"/>
      <w:kern w:val="0"/>
      <w:sz w:val="28"/>
      <w:szCs w:val="28"/>
      <w:lang w:val="ru-RU" w:eastAsia="ru-RU" w:bidi="ar-SA"/>
    </w:rPr>
  </w:style>
  <w:style w:type="paragraph" w:styleId="1">
    <w:name w:val="Heading 1"/>
    <w:basedOn w:val="Normal"/>
    <w:qFormat/>
    <w:pPr>
      <w:keepNext w:val="true"/>
      <w:spacing w:before="240" w:after="60"/>
      <w:outlineLvl w:val="0"/>
    </w:pPr>
    <w:rPr>
      <w:rFonts w:ascii="Cambria" w:hAnsi="Cambria"/>
      <w:b/>
      <w:bCs/>
      <w:sz w:val="32"/>
      <w:szCs w:val="32"/>
    </w:rPr>
  </w:style>
  <w:style w:type="paragraph" w:styleId="2">
    <w:name w:val="Heading 2"/>
    <w:basedOn w:val="Normal"/>
    <w:qFormat/>
    <w:pPr>
      <w:keepNext w:val="true"/>
      <w:spacing w:before="240" w:after="60"/>
      <w:outlineLvl w:val="1"/>
    </w:pPr>
    <w:rPr>
      <w:rFonts w:ascii="Cambria" w:hAnsi="Cambria"/>
      <w:b/>
      <w:bCs/>
      <w:i/>
      <w:iCs/>
    </w:rPr>
  </w:style>
  <w:style w:type="paragraph" w:styleId="3">
    <w:name w:val="Heading 3"/>
    <w:basedOn w:val="Normal"/>
    <w:uiPriority w:val="9"/>
    <w:qFormat/>
    <w:pPr>
      <w:keepNext w:val="true"/>
      <w:spacing w:lineRule="auto" w:line="240" w:before="120" w:after="120"/>
      <w:ind w:hanging="0"/>
      <w:jc w:val="left"/>
      <w:outlineLvl w:val="2"/>
    </w:pPr>
    <w:rPr>
      <w:b/>
      <w:szCs w:val="20"/>
    </w:rPr>
  </w:style>
  <w:style w:type="paragraph" w:styleId="4">
    <w:name w:val="Heading 4"/>
    <w:basedOn w:val="Normal"/>
    <w:unhideWhenUsed/>
    <w:qFormat/>
    <w:pPr>
      <w:keepNext w:val="true"/>
      <w:keepLines/>
      <w:spacing w:lineRule="auto" w:line="276" w:before="200" w:after="0"/>
      <w:ind w:hanging="0"/>
      <w:jc w:val="left"/>
      <w:outlineLvl w:val="3"/>
    </w:pPr>
    <w:rPr>
      <w:rFonts w:ascii="Cambria" w:hAnsi="Cambria" w:eastAsia="Arial" w:cs="Arial" w:asciiTheme="majorHAnsi" w:cstheme="majorBidi" w:eastAsiaTheme="majorEastAsia" w:hAnsiTheme="majorHAnsi"/>
      <w:b/>
      <w:bCs/>
      <w:i/>
      <w:iCs/>
      <w:color w:val="4F81BD" w:themeColor="accent1"/>
      <w:sz w:val="22"/>
      <w:szCs w:val="22"/>
      <w:lang w:eastAsia="en-US"/>
    </w:rPr>
  </w:style>
  <w:style w:type="paragraph" w:styleId="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uiPriority w:val="99"/>
    <w:qFormat/>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Style5">
    <w:name w:val="Символ сноски"/>
    <w:qFormat/>
    <w:rPr>
      <w:vertAlign w:val="superscript"/>
    </w:rPr>
  </w:style>
  <w:style w:type="character" w:styleId="Style6">
    <w:name w:val="Привязка сноски"/>
    <w:rPr>
      <w:vertAlign w:val="superscript"/>
    </w:rPr>
  </w:style>
  <w:style w:type="character" w:styleId="FootnoteCharacters">
    <w:name w:val="Footnote Characters"/>
    <w:qFormat/>
    <w:rPr>
      <w:vertAlign w:val="superscript"/>
    </w:rPr>
  </w:style>
  <w:style w:type="character" w:styleId="31" w:customStyle="1">
    <w:name w:val="Заголовок 3 Знак"/>
    <w:qFormat/>
    <w:rPr>
      <w:b/>
      <w:sz w:val="28"/>
    </w:rPr>
  </w:style>
  <w:style w:type="character" w:styleId="32" w:customStyle="1">
    <w:name w:val="3. Подпункт Знак"/>
    <w:qFormat/>
    <w:rPr>
      <w:b/>
      <w:bCs/>
      <w:sz w:val="24"/>
      <w:szCs w:val="24"/>
    </w:rPr>
  </w:style>
  <w:style w:type="character" w:styleId="Style7" w:customStyle="1">
    <w:name w:val="Текст выноски Знак"/>
    <w:qFormat/>
    <w:rPr>
      <w:rFonts w:ascii="Tahoma" w:hAnsi="Tahoma" w:cs="Tahoma"/>
      <w:sz w:val="16"/>
      <w:szCs w:val="16"/>
    </w:rPr>
  </w:style>
  <w:style w:type="character" w:styleId="11" w:customStyle="1">
    <w:name w:val="1. Статья Знак"/>
    <w:qFormat/>
    <w:rPr>
      <w:sz w:val="24"/>
      <w:szCs w:val="24"/>
    </w:rPr>
  </w:style>
  <w:style w:type="character" w:styleId="41" w:customStyle="1">
    <w:name w:val="4. Отчерк Знак"/>
    <w:qFormat/>
    <w:rPr>
      <w:sz w:val="24"/>
      <w:szCs w:val="24"/>
    </w:rPr>
  </w:style>
  <w:style w:type="character" w:styleId="Annotationreference">
    <w:name w:val="annotation reference"/>
    <w:qFormat/>
    <w:rPr>
      <w:sz w:val="16"/>
      <w:szCs w:val="16"/>
    </w:rPr>
  </w:style>
  <w:style w:type="character" w:styleId="Style8" w:customStyle="1">
    <w:name w:val="Текст примечания Знак"/>
    <w:qFormat/>
    <w:rPr/>
  </w:style>
  <w:style w:type="character" w:styleId="Style9" w:customStyle="1">
    <w:name w:val="Тема примечания Знак"/>
    <w:qFormat/>
    <w:rPr>
      <w:b/>
      <w:bCs/>
    </w:rPr>
  </w:style>
  <w:style w:type="character" w:styleId="Style10" w:customStyle="1">
    <w:name w:val="Нижний колонтитул Знак"/>
    <w:uiPriority w:val="99"/>
    <w:qFormat/>
    <w:rPr>
      <w:sz w:val="28"/>
      <w:szCs w:val="28"/>
    </w:rPr>
  </w:style>
  <w:style w:type="character" w:styleId="33" w:customStyle="1">
    <w:name w:val="Основной текст 3 Знак"/>
    <w:qFormat/>
    <w:rPr>
      <w:color w:val="0000FF"/>
      <w:sz w:val="24"/>
      <w:szCs w:val="24"/>
      <w:lang w:eastAsia="en-US"/>
    </w:rPr>
  </w:style>
  <w:style w:type="character" w:styleId="Style11" w:customStyle="1">
    <w:name w:val="Название Знак"/>
    <w:qFormat/>
    <w:rPr>
      <w:b/>
      <w:sz w:val="22"/>
      <w:szCs w:val="22"/>
      <w:shd w:fill="FFFFFF" w:val="clear"/>
    </w:rPr>
  </w:style>
  <w:style w:type="character" w:styleId="12" w:customStyle="1">
    <w:name w:val="Заголовок 1 Знак"/>
    <w:qFormat/>
    <w:rPr>
      <w:rFonts w:ascii="Cambria" w:hAnsi="Cambria" w:eastAsia="Times New Roman" w:cs="Times New Roman"/>
      <w:b/>
      <w:bCs/>
      <w:sz w:val="32"/>
      <w:szCs w:val="32"/>
    </w:rPr>
  </w:style>
  <w:style w:type="character" w:styleId="21" w:customStyle="1">
    <w:name w:val="Заголовок 2 Знак"/>
    <w:semiHidden/>
    <w:qFormat/>
    <w:rPr>
      <w:rFonts w:ascii="Cambria" w:hAnsi="Cambria" w:eastAsia="Times New Roman" w:cs="Times New Roman"/>
      <w:b/>
      <w:bCs/>
      <w:i/>
      <w:iCs/>
      <w:sz w:val="28"/>
      <w:szCs w:val="28"/>
    </w:rPr>
  </w:style>
  <w:style w:type="character" w:styleId="Style12" w:customStyle="1">
    <w:name w:val="Основной текст с отступом Знак"/>
    <w:qFormat/>
    <w:rPr>
      <w:sz w:val="28"/>
      <w:szCs w:val="28"/>
    </w:rPr>
  </w:style>
  <w:style w:type="character" w:styleId="FontStyle16" w:customStyle="1">
    <w:name w:val="Font Style16"/>
    <w:qFormat/>
    <w:rPr>
      <w:rFonts w:ascii="Times New Roman" w:hAnsi="Times New Roman" w:cs="Times New Roman"/>
      <w:sz w:val="24"/>
      <w:szCs w:val="24"/>
    </w:rPr>
  </w:style>
  <w:style w:type="character" w:styleId="Style13" w:customStyle="1">
    <w:name w:val="Текст сноски Знак"/>
    <w:uiPriority w:val="99"/>
    <w:qFormat/>
    <w:rPr/>
  </w:style>
  <w:style w:type="character" w:styleId="Style14">
    <w:name w:val="Интернет-ссылка"/>
    <w:unhideWhenUsed/>
    <w:rPr>
      <w:color w:val="0000FF"/>
      <w:u w:val="single"/>
    </w:rPr>
  </w:style>
  <w:style w:type="character" w:styleId="Style15" w:customStyle="1">
    <w:name w:val="Текст концевой сноски Знак"/>
    <w:uiPriority w:val="99"/>
    <w:semiHidden/>
    <w:qFormat/>
    <w:rPr/>
  </w:style>
  <w:style w:type="character" w:styleId="Style16">
    <w:name w:val="Символ концевой сноски"/>
    <w:uiPriority w:val="99"/>
    <w:semiHidden/>
    <w:unhideWhenUsed/>
    <w:qFormat/>
    <w:rPr>
      <w:vertAlign w:val="superscript"/>
    </w:rPr>
  </w:style>
  <w:style w:type="character" w:styleId="Style17">
    <w:name w:val="Привязка концевой сноски"/>
    <w:rPr>
      <w:vertAlign w:val="superscript"/>
    </w:rPr>
  </w:style>
  <w:style w:type="character" w:styleId="EndnoteCharacters">
    <w:name w:val="Endnote Characters"/>
    <w:qFormat/>
    <w:rPr>
      <w:vertAlign w:val="superscript"/>
    </w:rPr>
  </w:style>
  <w:style w:type="character" w:styleId="Style18" w:customStyle="1">
    <w:name w:val="Абзац списка Знак"/>
    <w:uiPriority w:val="34"/>
    <w:qFormat/>
    <w:rPr>
      <w:sz w:val="24"/>
      <w:szCs w:val="24"/>
    </w:rPr>
  </w:style>
  <w:style w:type="character" w:styleId="42" w:customStyle="1">
    <w:name w:val="Заголовок 4 Знак"/>
    <w:basedOn w:val="DefaultParagraphFont"/>
    <w:qFormat/>
    <w:rPr>
      <w:rFonts w:ascii="Cambria" w:hAnsi="Cambria" w:eastAsia="Arial" w:cs="Arial" w:asciiTheme="majorHAnsi" w:cstheme="majorBidi" w:eastAsiaTheme="majorEastAsia" w:hAnsiTheme="majorHAnsi"/>
      <w:b/>
      <w:bCs/>
      <w:i/>
      <w:iCs/>
      <w:color w:val="4F81BD" w:themeColor="accent1"/>
      <w:sz w:val="22"/>
      <w:szCs w:val="22"/>
      <w:lang w:eastAsia="en-US"/>
    </w:rPr>
  </w:style>
  <w:style w:type="character" w:styleId="Style19" w:customStyle="1">
    <w:name w:val="Верхний колонтитул Знак"/>
    <w:basedOn w:val="DefaultParagraphFont"/>
    <w:uiPriority w:val="99"/>
    <w:qFormat/>
    <w:rPr>
      <w:sz w:val="28"/>
      <w:szCs w:val="28"/>
    </w:rPr>
  </w:style>
  <w:style w:type="character" w:styleId="Pagenumber">
    <w:name w:val="page number"/>
    <w:basedOn w:val="DefaultParagraphFont"/>
    <w:qFormat/>
    <w:rPr/>
  </w:style>
  <w:style w:type="character" w:styleId="Style20" w:customStyle="1">
    <w:name w:val="комментарий"/>
    <w:qFormat/>
    <w:rPr>
      <w:b/>
      <w:i/>
      <w:shd w:fill="FFFF99" w:val="clear"/>
    </w:rPr>
  </w:style>
  <w:style w:type="character" w:styleId="Style21">
    <w:name w:val="Символ нумерации"/>
    <w:qFormat/>
    <w:rPr/>
  </w:style>
  <w:style w:type="character" w:styleId="Style22">
    <w:name w:val="Нумерация строк"/>
    <w:rPr/>
  </w:style>
  <w:style w:type="paragraph" w:styleId="Style23">
    <w:name w:val="Заголовок"/>
    <w:basedOn w:val="Normal"/>
    <w:next w:val="Style24"/>
    <w:qFormat/>
    <w:pPr>
      <w:keepNext w:val="true"/>
      <w:spacing w:before="240" w:after="120"/>
    </w:pPr>
    <w:rPr>
      <w:rFonts w:ascii="Liberation Sans" w:hAnsi="Liberation Sans" w:eastAsia="Noto Sans CJK SC" w:cs="Lohit Devanagari"/>
      <w:sz w:val="28"/>
      <w:szCs w:val="28"/>
    </w:rPr>
  </w:style>
  <w:style w:type="paragraph" w:styleId="Style24">
    <w:name w:val="Body Text"/>
    <w:basedOn w:val="Normal"/>
    <w:pPr>
      <w:spacing w:before="0" w:after="120"/>
    </w:pPr>
    <w:rPr/>
  </w:style>
  <w:style w:type="paragraph" w:styleId="Style25">
    <w:name w:val="List"/>
    <w:basedOn w:val="Style24"/>
    <w:pPr/>
    <w:rPr>
      <w:rFonts w:cs="Lohit Devanagari"/>
    </w:rPr>
  </w:style>
  <w:style w:type="paragraph" w:styleId="Style26">
    <w:name w:val="Caption"/>
    <w:basedOn w:val="Normal"/>
    <w:qFormat/>
    <w:pPr>
      <w:widowControl w:val="false"/>
      <w:spacing w:lineRule="auto" w:line="240" w:before="120" w:after="120"/>
      <w:ind w:hanging="0"/>
    </w:pPr>
    <w:rPr>
      <w:b/>
      <w:bCs/>
      <w:sz w:val="24"/>
      <w:szCs w:val="24"/>
    </w:rPr>
  </w:style>
  <w:style w:type="paragraph" w:styleId="Style27">
    <w:name w:val="Указатель"/>
    <w:basedOn w:val="Normal"/>
    <w:qFormat/>
    <w:pPr>
      <w:suppressLineNumbers/>
    </w:pPr>
    <w:rPr>
      <w:rFonts w:cs="Lohit Devanagari"/>
    </w:rPr>
  </w:style>
  <w:style w:type="paragraph" w:styleId="NoSpacing">
    <w:name w:val="No Spacing"/>
    <w:uiPriority w:val="1"/>
    <w:qFormat/>
    <w:pPr>
      <w:widowControl/>
      <w:suppressAutoHyphens w:val="true"/>
      <w:bidi w:val="0"/>
      <w:spacing w:lineRule="auto" w:line="240" w:before="0" w:after="0"/>
      <w:jc w:val="left"/>
    </w:pPr>
    <w:rPr>
      <w:rFonts w:ascii="Times New Roman" w:hAnsi="Times New Roman" w:eastAsia="Noto Serif CJK SC" w:cs="Lohit Devanagari"/>
      <w:color w:val="auto"/>
      <w:kern w:val="0"/>
      <w:sz w:val="20"/>
      <w:szCs w:val="20"/>
      <w:lang w:val="ru-RU" w:eastAsia="ru-RU" w:bidi="ar-SA"/>
    </w:rPr>
  </w:style>
  <w:style w:type="paragraph" w:styleId="Style28">
    <w:name w:val="Subtitle"/>
    <w:basedOn w:val="Normal"/>
    <w:uiPriority w:val="11"/>
    <w:qFormat/>
    <w:pPr>
      <w:spacing w:before="200" w:after="200"/>
    </w:pPr>
    <w:rPr>
      <w:sz w:val="24"/>
      <w:szCs w:val="24"/>
    </w:rPr>
  </w:style>
  <w:style w:type="paragraph" w:styleId="Quote">
    <w:name w:val="Quote"/>
    <w:basedOn w:val="Normal"/>
    <w:uiPriority w:val="29"/>
    <w:qFormat/>
    <w:pPr>
      <w:ind w:left="720" w:right="720" w:hanging="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hanging="0"/>
    </w:pPr>
    <w:rPr>
      <w:i/>
    </w:rPr>
  </w:style>
  <w:style w:type="paragraph" w:styleId="13">
    <w:name w:val="TOC 1"/>
    <w:basedOn w:val="Normal"/>
    <w:uiPriority w:val="39"/>
    <w:unhideWhenUsed/>
    <w:pPr>
      <w:spacing w:before="0" w:after="57"/>
      <w:ind w:left="0" w:right="0" w:hanging="0"/>
    </w:pPr>
    <w:rPr/>
  </w:style>
  <w:style w:type="paragraph" w:styleId="22">
    <w:name w:val="TOC 2"/>
    <w:basedOn w:val="Normal"/>
    <w:uiPriority w:val="39"/>
    <w:unhideWhenUsed/>
    <w:pPr>
      <w:spacing w:before="0" w:after="57"/>
      <w:ind w:left="283" w:right="0" w:hanging="0"/>
    </w:pPr>
    <w:rPr/>
  </w:style>
  <w:style w:type="paragraph" w:styleId="34">
    <w:name w:val="TOC 3"/>
    <w:basedOn w:val="Normal"/>
    <w:uiPriority w:val="39"/>
    <w:unhideWhenUsed/>
    <w:pPr>
      <w:spacing w:before="0" w:after="57"/>
      <w:ind w:left="567" w:right="0" w:hanging="0"/>
    </w:pPr>
    <w:rPr/>
  </w:style>
  <w:style w:type="paragraph" w:styleId="43">
    <w:name w:val="TOC 4"/>
    <w:basedOn w:val="Normal"/>
    <w:uiPriority w:val="39"/>
    <w:unhideWhenUsed/>
    <w:pPr>
      <w:spacing w:before="0" w:after="57"/>
      <w:ind w:left="850" w:right="0" w:hanging="0"/>
    </w:pPr>
    <w:rPr/>
  </w:style>
  <w:style w:type="paragraph" w:styleId="51">
    <w:name w:val="TOC 5"/>
    <w:basedOn w:val="Normal"/>
    <w:uiPriority w:val="39"/>
    <w:unhideWhenUsed/>
    <w:pPr>
      <w:spacing w:before="0" w:after="57"/>
      <w:ind w:left="1134" w:right="0" w:hanging="0"/>
    </w:pPr>
    <w:rPr/>
  </w:style>
  <w:style w:type="paragraph" w:styleId="61">
    <w:name w:val="TOC 6"/>
    <w:basedOn w:val="Normal"/>
    <w:uiPriority w:val="39"/>
    <w:unhideWhenUsed/>
    <w:pPr>
      <w:spacing w:before="0" w:after="57"/>
      <w:ind w:left="1417" w:right="0" w:hanging="0"/>
    </w:pPr>
    <w:rPr/>
  </w:style>
  <w:style w:type="paragraph" w:styleId="71">
    <w:name w:val="TOC 7"/>
    <w:basedOn w:val="Normal"/>
    <w:uiPriority w:val="39"/>
    <w:unhideWhenUsed/>
    <w:pPr>
      <w:spacing w:before="0" w:after="57"/>
      <w:ind w:left="1701" w:right="0" w:hanging="0"/>
    </w:pPr>
    <w:rPr/>
  </w:style>
  <w:style w:type="paragraph" w:styleId="81">
    <w:name w:val="TOC 8"/>
    <w:basedOn w:val="Normal"/>
    <w:uiPriority w:val="39"/>
    <w:unhideWhenUsed/>
    <w:pPr>
      <w:spacing w:before="0" w:after="57"/>
      <w:ind w:left="1984" w:right="0" w:hanging="0"/>
    </w:pPr>
    <w:rPr/>
  </w:style>
  <w:style w:type="paragraph" w:styleId="91">
    <w:name w:val="TOC 9"/>
    <w:basedOn w:val="Normal"/>
    <w:uiPriority w:val="39"/>
    <w:unhideWhenUsed/>
    <w:pPr>
      <w:spacing w:before="0" w:after="57"/>
      <w:ind w:left="2268" w:right="0" w:hanging="0"/>
    </w:pPr>
    <w:rPr/>
  </w:style>
  <w:style w:type="paragraph" w:styleId="Style29">
    <w:name w:val="Index Heading"/>
    <w:basedOn w:val="Style23"/>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Noto Serif CJK SC" w:cs="Lohit Devanagari"/>
      <w:color w:val="auto"/>
      <w:kern w:val="0"/>
      <w:sz w:val="20"/>
      <w:szCs w:val="20"/>
      <w:lang w:val="ru-RU" w:eastAsia="ru-RU" w:bidi="ar-SA"/>
    </w:rPr>
  </w:style>
  <w:style w:type="paragraph" w:styleId="Tableoffigures">
    <w:name w:val="table of figures"/>
    <w:basedOn w:val="Normal"/>
    <w:uiPriority w:val="99"/>
    <w:unhideWhenUsed/>
    <w:qFormat/>
    <w:pPr>
      <w:spacing w:before="0" w:afterAutospacing="0" w:after="0"/>
    </w:pPr>
    <w:rPr/>
  </w:style>
  <w:style w:type="paragraph" w:styleId="BodyText3">
    <w:name w:val="Body Text 3"/>
    <w:basedOn w:val="Normal"/>
    <w:qFormat/>
    <w:pPr>
      <w:spacing w:lineRule="auto" w:line="240"/>
      <w:ind w:hanging="0"/>
    </w:pPr>
    <w:rPr>
      <w:color w:val="0000FF"/>
      <w:sz w:val="24"/>
      <w:szCs w:val="24"/>
      <w:lang w:eastAsia="en-US"/>
    </w:rPr>
  </w:style>
  <w:style w:type="paragraph" w:styleId="Style30">
    <w:name w:val="Колонтитул"/>
    <w:basedOn w:val="Normal"/>
    <w:qFormat/>
    <w:pPr/>
    <w:rPr/>
  </w:style>
  <w:style w:type="paragraph" w:styleId="Style31">
    <w:name w:val="Header"/>
    <w:basedOn w:val="Normal"/>
    <w:uiPriority w:val="99"/>
    <w:pPr>
      <w:tabs>
        <w:tab w:val="clear" w:pos="709"/>
        <w:tab w:val="center" w:pos="4677" w:leader="none"/>
        <w:tab w:val="right" w:pos="9355" w:leader="none"/>
      </w:tabs>
    </w:pPr>
    <w:rPr/>
  </w:style>
  <w:style w:type="paragraph" w:styleId="Style110" w:customStyle="1">
    <w:name w:val="Style1"/>
    <w:basedOn w:val="Normal"/>
    <w:qFormat/>
    <w:pPr>
      <w:spacing w:lineRule="auto" w:line="240" w:before="240" w:after="0"/>
      <w:ind w:hanging="0"/>
      <w:jc w:val="left"/>
    </w:pPr>
    <w:rPr>
      <w:b/>
      <w:sz w:val="22"/>
      <w:szCs w:val="20"/>
    </w:rPr>
  </w:style>
  <w:style w:type="paragraph" w:styleId="BodyText2">
    <w:name w:val="Body Text 2"/>
    <w:basedOn w:val="Normal"/>
    <w:qFormat/>
    <w:pPr>
      <w:widowControl w:val="false"/>
      <w:spacing w:lineRule="auto" w:line="480" w:before="0" w:after="120"/>
      <w:ind w:hanging="0"/>
      <w:jc w:val="left"/>
    </w:pPr>
    <w:rPr>
      <w:sz w:val="20"/>
      <w:szCs w:val="20"/>
    </w:rPr>
  </w:style>
  <w:style w:type="paragraph" w:styleId="Style32" w:customStyle="1">
    <w:name w:val="Знак"/>
    <w:basedOn w:val="Normal"/>
    <w:qFormat/>
    <w:pPr>
      <w:spacing w:lineRule="exact" w:line="240" w:before="0" w:after="160"/>
      <w:ind w:hanging="0"/>
      <w:jc w:val="left"/>
    </w:pPr>
    <w:rPr>
      <w:rFonts w:ascii="Verdana" w:hAnsi="Verdana" w:cs="Verdana"/>
      <w:sz w:val="20"/>
      <w:szCs w:val="20"/>
      <w:lang w:val="en-US" w:eastAsia="en-US"/>
    </w:rPr>
  </w:style>
  <w:style w:type="paragraph" w:styleId="Style33">
    <w:name w:val="Footnote Text"/>
    <w:basedOn w:val="Normal"/>
    <w:uiPriority w:val="99"/>
    <w:pPr>
      <w:spacing w:lineRule="auto" w:line="240"/>
      <w:ind w:hanging="0"/>
      <w:jc w:val="left"/>
    </w:pPr>
    <w:rPr>
      <w:sz w:val="20"/>
      <w:szCs w:val="20"/>
    </w:rPr>
  </w:style>
  <w:style w:type="paragraph" w:styleId="Style34" w:customStyle="1">
    <w:name w:val="Знак Знак Знак Знак Знак Знак Знак"/>
    <w:basedOn w:val="Normal"/>
    <w:qFormat/>
    <w:pPr>
      <w:spacing w:lineRule="exact" w:line="240" w:before="0" w:after="160"/>
      <w:ind w:hanging="0"/>
      <w:jc w:val="left"/>
    </w:pPr>
    <w:rPr>
      <w:rFonts w:ascii="Verdana" w:hAnsi="Verdana" w:cs="Verdana"/>
      <w:sz w:val="20"/>
      <w:szCs w:val="20"/>
      <w:lang w:val="en-US" w:eastAsia="en-US"/>
    </w:rPr>
  </w:style>
  <w:style w:type="paragraph" w:styleId="23" w:customStyle="1">
    <w:name w:val="Знак2"/>
    <w:basedOn w:val="Normal"/>
    <w:qFormat/>
    <w:pPr>
      <w:spacing w:lineRule="exact" w:line="240" w:before="0" w:after="160"/>
      <w:ind w:hanging="0"/>
      <w:jc w:val="left"/>
    </w:pPr>
    <w:rPr>
      <w:rFonts w:ascii="Verdana" w:hAnsi="Verdana" w:cs="Verdana"/>
      <w:sz w:val="20"/>
      <w:szCs w:val="20"/>
      <w:lang w:val="en-US" w:eastAsia="en-US"/>
    </w:rPr>
  </w:style>
  <w:style w:type="paragraph" w:styleId="Style35" w:customStyle="1">
    <w:name w:val="Знак Знак Знак Знак Знак Знак Знак Знак Знак"/>
    <w:basedOn w:val="Normal"/>
    <w:qFormat/>
    <w:pPr>
      <w:spacing w:lineRule="exact" w:line="240" w:before="0" w:after="160"/>
      <w:ind w:hanging="0"/>
    </w:pPr>
    <w:rPr>
      <w:rFonts w:ascii="Verdana" w:hAnsi="Verdana"/>
      <w:sz w:val="22"/>
      <w:szCs w:val="20"/>
      <w:lang w:val="en-US" w:eastAsia="en-US"/>
    </w:rPr>
  </w:style>
  <w:style w:type="paragraph" w:styleId="Style36" w:customStyle="1">
    <w:name w:val="Пункт договора"/>
    <w:basedOn w:val="Normal"/>
    <w:qFormat/>
    <w:pPr>
      <w:widowControl w:val="false"/>
      <w:spacing w:lineRule="auto" w:line="240"/>
      <w:ind w:hanging="0"/>
    </w:pPr>
    <w:rPr>
      <w:rFonts w:ascii="Arial" w:hAnsi="Arial"/>
      <w:sz w:val="20"/>
      <w:szCs w:val="20"/>
    </w:rPr>
  </w:style>
  <w:style w:type="paragraph" w:styleId="Style37" w:customStyle="1">
    <w:name w:val="Подпункт договора"/>
    <w:basedOn w:val="Normal"/>
    <w:qFormat/>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pPr>
      <w:spacing w:before="0" w:after="120"/>
      <w:ind w:left="283" w:firstLine="567"/>
    </w:pPr>
    <w:rPr>
      <w:sz w:val="16"/>
      <w:szCs w:val="16"/>
    </w:rPr>
  </w:style>
  <w:style w:type="paragraph" w:styleId="ListParagraph">
    <w:name w:val="List Paragraph"/>
    <w:basedOn w:val="Normal"/>
    <w:uiPriority w:val="34"/>
    <w:qFormat/>
    <w:pPr>
      <w:spacing w:lineRule="auto" w:line="240" w:before="0" w:after="0"/>
      <w:ind w:left="720" w:hanging="0"/>
      <w:contextualSpacing/>
      <w:jc w:val="left"/>
    </w:pPr>
    <w:rPr>
      <w:sz w:val="24"/>
      <w:szCs w:val="24"/>
    </w:rPr>
  </w:style>
  <w:style w:type="paragraph" w:styleId="14" w:customStyle="1">
    <w:name w:val="1. Статья"/>
    <w:basedOn w:val="3"/>
    <w:qFormat/>
    <w:pPr>
      <w:keepNext w:val="false"/>
      <w:widowControl w:val="false"/>
      <w:numPr>
        <w:ilvl w:val="0"/>
        <w:numId w:val="1"/>
      </w:numPr>
      <w:tabs>
        <w:tab w:val="clear" w:pos="709"/>
        <w:tab w:val="left" w:pos="2340" w:leader="none"/>
      </w:tabs>
      <w:spacing w:before="0" w:after="0"/>
      <w:ind w:right="1462" w:hanging="0"/>
      <w:jc w:val="center"/>
    </w:pPr>
    <w:rPr>
      <w:b w:val="false"/>
      <w:sz w:val="24"/>
      <w:szCs w:val="24"/>
    </w:rPr>
  </w:style>
  <w:style w:type="paragraph" w:styleId="24" w:customStyle="1">
    <w:name w:val="2. Пункт"/>
    <w:basedOn w:val="3"/>
    <w:qFormat/>
    <w:pPr>
      <w:keepNext w:val="false"/>
      <w:widowControl w:val="false"/>
      <w:numPr>
        <w:ilvl w:val="0"/>
        <w:numId w:val="1"/>
      </w:numPr>
      <w:spacing w:before="0" w:after="0"/>
      <w:jc w:val="both"/>
    </w:pPr>
    <w:rPr>
      <w:b w:val="false"/>
      <w:sz w:val="24"/>
      <w:szCs w:val="24"/>
    </w:rPr>
  </w:style>
  <w:style w:type="paragraph" w:styleId="35" w:customStyle="1">
    <w:name w:val="3. Подпункт"/>
    <w:basedOn w:val="3"/>
    <w:qFormat/>
    <w:pPr>
      <w:keepNext w:val="false"/>
      <w:widowControl w:val="false"/>
      <w:numPr>
        <w:ilvl w:val="0"/>
        <w:numId w:val="1"/>
      </w:numPr>
      <w:tabs>
        <w:tab w:val="clear" w:pos="709"/>
        <w:tab w:val="left" w:pos="1620" w:leader="none"/>
      </w:tabs>
      <w:spacing w:before="0" w:after="0"/>
      <w:jc w:val="both"/>
    </w:pPr>
    <w:rPr>
      <w:bCs/>
      <w:sz w:val="24"/>
      <w:szCs w:val="24"/>
    </w:rPr>
  </w:style>
  <w:style w:type="paragraph" w:styleId="ConsNormal" w:customStyle="1">
    <w:name w:val="ConsNormal"/>
    <w:qFormat/>
    <w:pPr>
      <w:widowControl/>
      <w:suppressAutoHyphens w:val="true"/>
      <w:bidi w:val="0"/>
      <w:spacing w:before="0" w:after="0"/>
      <w:ind w:right="19772" w:firstLine="720"/>
      <w:jc w:val="left"/>
    </w:pPr>
    <w:rPr>
      <w:rFonts w:ascii="Arial" w:hAnsi="Arial" w:eastAsia="Noto Serif CJK SC" w:cs="Lohit Devanagari"/>
      <w:color w:val="auto"/>
      <w:kern w:val="0"/>
      <w:sz w:val="32"/>
      <w:szCs w:val="20"/>
      <w:lang w:val="ru-RU" w:eastAsia="en-US" w:bidi="ar-SA"/>
    </w:rPr>
  </w:style>
  <w:style w:type="paragraph" w:styleId="BalloonText">
    <w:name w:val="Balloon Text"/>
    <w:basedOn w:val="Normal"/>
    <w:qFormat/>
    <w:pPr>
      <w:spacing w:lineRule="auto" w:line="240"/>
    </w:pPr>
    <w:rPr>
      <w:rFonts w:ascii="Tahoma" w:hAnsi="Tahoma"/>
      <w:sz w:val="16"/>
      <w:szCs w:val="16"/>
    </w:rPr>
  </w:style>
  <w:style w:type="paragraph" w:styleId="44" w:customStyle="1">
    <w:name w:val="4. Отчерк"/>
    <w:basedOn w:val="Normal"/>
    <w:qFormat/>
    <w:pPr>
      <w:widowControl w:val="false"/>
      <w:numPr>
        <w:ilvl w:val="0"/>
        <w:numId w:val="2"/>
      </w:numPr>
      <w:spacing w:lineRule="auto" w:line="240"/>
    </w:pPr>
    <w:rPr>
      <w:sz w:val="24"/>
      <w:szCs w:val="24"/>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qFormat/>
    <w:pPr/>
    <w:rPr>
      <w:b/>
      <w:bCs/>
    </w:rPr>
  </w:style>
  <w:style w:type="paragraph" w:styleId="Style38">
    <w:name w:val="Footer"/>
    <w:basedOn w:val="Normal"/>
    <w:uiPriority w:val="99"/>
    <w:pPr>
      <w:tabs>
        <w:tab w:val="clear" w:pos="709"/>
        <w:tab w:val="center" w:pos="4677" w:leader="none"/>
        <w:tab w:val="right" w:pos="9355" w:leader="none"/>
      </w:tabs>
      <w:spacing w:lineRule="auto" w:line="240"/>
    </w:pPr>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Noto Serif CJK SC" w:cs="Lohit Devanagari"/>
      <w:color w:val="auto"/>
      <w:kern w:val="0"/>
      <w:sz w:val="28"/>
      <w:szCs w:val="28"/>
      <w:lang w:val="ru-RU" w:eastAsia="ru-RU" w:bidi="ar-SA"/>
    </w:rPr>
  </w:style>
  <w:style w:type="paragraph" w:styleId="Style39" w:customStyle="1">
    <w:name w:val="Title"/>
    <w:basedOn w:val="Normal"/>
    <w:qFormat/>
    <w:pPr>
      <w:widowControl w:val="false"/>
      <w:spacing w:lineRule="auto" w:line="240" w:before="0" w:after="120"/>
      <w:ind w:hanging="0"/>
      <w:jc w:val="center"/>
    </w:pPr>
    <w:rPr>
      <w:b/>
      <w:bCs/>
      <w:sz w:val="32"/>
      <w:szCs w:val="20"/>
    </w:rPr>
  </w:style>
  <w:style w:type="paragraph" w:styleId="Style40">
    <w:name w:val="Body Text Indent"/>
    <w:basedOn w:val="Normal"/>
    <w:pPr>
      <w:spacing w:before="0" w:after="120"/>
      <w:ind w:left="283" w:firstLine="567"/>
    </w:pPr>
    <w:rPr/>
  </w:style>
  <w:style w:type="paragraph" w:styleId="333" w:customStyle="1">
    <w:name w:val="Пункт 3.3.3"/>
    <w:basedOn w:val="Normal"/>
    <w:qFormat/>
    <w:pPr>
      <w:keepNext w:val="true"/>
      <w:keepLines/>
      <w:widowControl w:val="false"/>
      <w:tabs>
        <w:tab w:val="clear" w:pos="709"/>
        <w:tab w:val="left" w:pos="920" w:leader="none"/>
      </w:tabs>
      <w:spacing w:lineRule="auto" w:line="240" w:before="240" w:after="240"/>
      <w:ind w:left="704" w:hanging="504"/>
      <w:jc w:val="left"/>
      <w:outlineLvl w:val="1"/>
    </w:pPr>
    <w:rPr>
      <w:sz w:val="24"/>
      <w:szCs w:val="20"/>
    </w:rPr>
  </w:style>
  <w:style w:type="paragraph" w:styleId="15" w:customStyle="1">
    <w:name w:val="Знак1"/>
    <w:basedOn w:val="Normal"/>
    <w:qFormat/>
    <w:pPr>
      <w:spacing w:lineRule="exact" w:line="240" w:before="0" w:after="160"/>
      <w:ind w:hanging="0"/>
      <w:jc w:val="left"/>
    </w:pPr>
    <w:rPr>
      <w:rFonts w:ascii="Verdana" w:hAnsi="Verdana" w:cs="Verdana"/>
      <w:sz w:val="20"/>
      <w:szCs w:val="20"/>
      <w:lang w:val="en-US" w:eastAsia="en-US"/>
    </w:rPr>
  </w:style>
  <w:style w:type="paragraph" w:styleId="Style41" w:customStyle="1">
    <w:name w:val="Контракт-раздел"/>
    <w:basedOn w:val="Normal"/>
    <w:qFormat/>
    <w:pPr>
      <w:keepNext w:val="true"/>
      <w:keepLines/>
      <w:tabs>
        <w:tab w:val="clear" w:pos="709"/>
        <w:tab w:val="left" w:pos="0" w:leader="none"/>
        <w:tab w:val="left" w:pos="567" w:leader="none"/>
      </w:tabs>
      <w:spacing w:lineRule="auto" w:line="240" w:before="360" w:after="120"/>
      <w:jc w:val="center"/>
      <w:outlineLvl w:val="1"/>
    </w:pPr>
    <w:rPr>
      <w:b/>
      <w:bCs/>
      <w:caps/>
    </w:rPr>
  </w:style>
  <w:style w:type="paragraph" w:styleId="Style42" w:customStyle="1">
    <w:name w:val="Контракт-пункт"/>
    <w:basedOn w:val="Normal"/>
    <w:qFormat/>
    <w:pPr>
      <w:numPr>
        <w:ilvl w:val="0"/>
        <w:numId w:val="4"/>
      </w:numPr>
    </w:pPr>
    <w:rPr/>
  </w:style>
  <w:style w:type="paragraph" w:styleId="Style43" w:customStyle="1">
    <w:name w:val="Контракт-подпункт"/>
    <w:basedOn w:val="Normal"/>
    <w:qFormat/>
    <w:pPr>
      <w:numPr>
        <w:ilvl w:val="0"/>
        <w:numId w:val="4"/>
      </w:numPr>
    </w:pPr>
    <w:rPr/>
  </w:style>
  <w:style w:type="paragraph" w:styleId="Style44" w:customStyle="1">
    <w:name w:val="Контракт-подподпункт"/>
    <w:basedOn w:val="Normal"/>
    <w:qFormat/>
    <w:pPr>
      <w:numPr>
        <w:ilvl w:val="0"/>
        <w:numId w:val="4"/>
      </w:numPr>
    </w:pPr>
    <w:rPr/>
  </w:style>
  <w:style w:type="paragraph" w:styleId="Style45">
    <w:name w:val="Endnote Text"/>
    <w:basedOn w:val="Normal"/>
    <w:uiPriority w:val="99"/>
    <w:semiHidden/>
    <w:unhideWhenUsed/>
    <w:pPr/>
    <w:rPr>
      <w:sz w:val="20"/>
      <w:szCs w:val="20"/>
    </w:rPr>
  </w:style>
  <w:style w:type="paragraph" w:styleId="Style46" w:customStyle="1">
    <w:name w:val="Таблица"/>
    <w:basedOn w:val="Normal"/>
    <w:qFormat/>
    <w:pPr>
      <w:keepNext w:val="true"/>
      <w:spacing w:lineRule="auto" w:line="240" w:before="60" w:after="60"/>
      <w:ind w:hanging="0"/>
      <w:jc w:val="center"/>
    </w:pPr>
    <w:rPr>
      <w:rFonts w:eastAsia="Calibri"/>
      <w:b/>
      <w:sz w:val="24"/>
      <w:szCs w:val="24"/>
    </w:rPr>
  </w:style>
  <w:style w:type="paragraph" w:styleId="Style47" w:customStyle="1">
    <w:name w:val="Таблица шапка"/>
    <w:basedOn w:val="Normal"/>
    <w:qFormat/>
    <w:pPr>
      <w:keepNext w:val="true"/>
      <w:spacing w:lineRule="auto" w:line="240" w:before="40" w:after="40"/>
      <w:ind w:left="57" w:right="57" w:hanging="0"/>
      <w:jc w:val="left"/>
    </w:pPr>
    <w:rPr>
      <w:sz w:val="22"/>
      <w:szCs w:val="26"/>
    </w:rPr>
  </w:style>
  <w:style w:type="numbering" w:styleId="NoList" w:default="1">
    <w:name w:val="No List"/>
    <w:uiPriority w:val="99"/>
    <w:semiHidden/>
    <w:unhideWhenUsed/>
    <w:qFormat/>
  </w:style>
  <w:style w:type="numbering" w:styleId="123">
    <w:name w:val="Нумерованный 1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1922</TotalTime>
  <Application>LibreOffice/7.1.8.1$Linux_X86_64 LibreOffice_project/10$Build-1</Application>
  <AppVersion>15.0000</AppVersion>
  <Pages>26</Pages>
  <Words>8991</Words>
  <Characters>66321</Characters>
  <CharactersWithSpaces>75150</CharactersWithSpaces>
  <Paragraphs>457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2024-04-22T11:02:00Z</dcterms:created>
  <dc:creator>UK VoHEC</dc:creator>
  <dc:description/>
  <dc:language>ru-RU</dc:language>
  <cp:lastModifiedBy/>
  <cp:lastPrinted>2026-07-21T11:51:10Z</cp:lastPrinted>
  <dcterms:modified xsi:type="dcterms:W3CDTF">2026-09-10T16:43:52Z</dcterms:modified>
  <cp:revision>73</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