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ind w:firstLine="567"/>
        <w:jc w:val="righ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b/>
          <w:sz w:val="28"/>
        </w:rPr>
      </w:pPr>
      <w:r>
        <w:rPr>
          <w:rFonts w:eastAsia="Calibri"/>
          <w:b/>
          <w:sz w:val="28"/>
        </w:rPr>
        <w:t>Технические требования на выполнение работ</w:t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b/>
          <w:sz w:val="28"/>
        </w:rPr>
      </w:pPr>
      <w:r>
        <w:rPr>
          <w:rFonts w:eastAsia="Calibri"/>
          <w:b/>
          <w:sz w:val="28"/>
        </w:rPr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b/>
          <w:sz w:val="28"/>
        </w:rPr>
      </w:pPr>
      <w:r>
        <w:rPr>
          <w:rFonts w:eastAsia="Calibri"/>
          <w:b/>
          <w:sz w:val="28"/>
        </w:rPr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b/>
          <w:sz w:val="28"/>
        </w:rPr>
      </w:pPr>
      <w:r>
        <w:rPr>
          <w:rFonts w:eastAsia="Calibri"/>
          <w:b/>
          <w:sz w:val="28"/>
        </w:rPr>
        <w:t xml:space="preserve">Проведение инженерно-геофизических исследований на прибрежной морской акватории по титулу: </w:t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b/>
          <w:sz w:val="28"/>
        </w:rPr>
      </w:pPr>
      <w:r>
        <w:rPr>
          <w:rFonts w:eastAsia="Calibri"/>
          <w:b/>
          <w:sz w:val="28"/>
        </w:rPr>
        <w:t>«Прямоточная система технического водоснабжения с морским водозабором ковшового типа по объекту «Строительство Сахалинской ГРЭС-2 (расширение)»</w:t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b/>
          <w:sz w:val="28"/>
        </w:rPr>
      </w:pPr>
      <w:r>
        <w:rPr>
          <w:rFonts w:eastAsia="Calibri"/>
          <w:b/>
          <w:sz w:val="28"/>
        </w:rPr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b/>
          <w:sz w:val="28"/>
        </w:rPr>
      </w:pPr>
      <w:r>
        <w:rPr>
          <w:rFonts w:eastAsia="Calibri"/>
          <w:b/>
          <w:sz w:val="28"/>
        </w:rPr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b/>
          <w:sz w:val="28"/>
        </w:rPr>
      </w:pPr>
      <w:r>
        <w:rPr>
          <w:rFonts w:eastAsia="Calibri"/>
          <w:b/>
          <w:sz w:val="28"/>
        </w:rPr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widowControl w:val="false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widowControl w:val="false"/>
        <w:ind w:firstLine="567"/>
        <w:jc w:val="center"/>
        <w:rPr>
          <w:b/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8"/>
            <w:tabs>
              <w:tab w:val="clear" w:pos="708"/>
              <w:tab w:val="left" w:pos="56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vanish w:val="false"/>
            </w:rPr>
            <w:instrText> TOC \z \o "1-4" \u \h</w:instrText>
          </w:r>
          <w:r>
            <w:rPr>
              <w:webHidden/>
              <w:vanish w:val="false"/>
            </w:rPr>
            <w:fldChar w:fldCharType="separate"/>
          </w:r>
          <w:hyperlink w:anchor="_Toc222907806" w:tgtFrame="#_Toc222907806">
            <w:r>
              <w:rPr>
                <w:webHidden/>
                <w:vanish w:val="false"/>
              </w:rPr>
              <w:t>1.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_Toc222907806 \h</w:instrText>
            </w:r>
            <w:r>
              <w:rPr>
                <w:webHidden/>
              </w:rPr>
              <w:fldChar w:fldCharType="separate"/>
            </w:r>
            <w:r>
              <w:rPr/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left" w:pos="112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22907807" w:tgtFrame="#_Toc222907807">
            <w:r>
              <w:rPr>
                <w:webHidden/>
                <w:iCs/>
                <w:vanish w:val="false"/>
              </w:rPr>
              <w:t>1.1.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_Toc222907807 \h</w:instrText>
            </w:r>
            <w:r>
              <w:rPr>
                <w:webHidden/>
              </w:rPr>
              <w:fldChar w:fldCharType="separate"/>
            </w:r>
            <w:r>
              <w:rPr/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left" w:pos="112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22907808" w:tgtFrame="#_Toc222907808">
            <w:r>
              <w:rPr>
                <w:webHidden/>
                <w:iCs/>
                <w:vanish w:val="false"/>
              </w:rPr>
              <w:t>1.2.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_Toc222907808 \h</w:instrText>
            </w:r>
            <w:r>
              <w:rPr>
                <w:webHidden/>
              </w:rPr>
              <w:fldChar w:fldCharType="separate"/>
            </w:r>
            <w:r>
              <w:rPr/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left" w:pos="112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22907809" w:tgtFrame="#_Toc222907809">
            <w:r>
              <w:rPr>
                <w:webHidden/>
                <w:iCs/>
                <w:vanish w:val="false"/>
              </w:rPr>
              <w:t>1.3.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_Toc222907809 \h</w:instrText>
            </w:r>
            <w:r>
              <w:rPr>
                <w:webHidden/>
              </w:rPr>
              <w:fldChar w:fldCharType="separate"/>
            </w:r>
            <w:r>
              <w:rPr/>
              <w:t>Цель выполнения работ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left" w:pos="112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22907810" w:tgtFrame="#_Toc222907810">
            <w:r>
              <w:rPr>
                <w:webHidden/>
                <w:iCs/>
                <w:vanish w:val="false"/>
              </w:rPr>
              <w:t>1.4.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_Toc222907810 \h</w:instrText>
            </w:r>
            <w:r>
              <w:rPr>
                <w:webHidden/>
              </w:rPr>
              <w:fldChar w:fldCharType="separate"/>
            </w:r>
            <w:r>
              <w:rPr/>
              <w:t>Существующее положение и проектируемые мероприятия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left" w:pos="112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22907811" w:tgtFrame="#_Toc222907811">
            <w:r>
              <w:rPr>
                <w:webHidden/>
                <w:iCs/>
                <w:vanish w:val="false"/>
              </w:rPr>
              <w:t>1.5.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_Toc222907811 \h</w:instrText>
            </w:r>
            <w:r>
              <w:rPr>
                <w:webHidden/>
              </w:rPr>
              <w:fldChar w:fldCharType="separate"/>
            </w:r>
            <w:r>
              <w:rPr/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22907812" w:tgtFrame="#_Toc22290781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_Toc222907812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vanish w:val="false"/>
              </w:rPr>
              <w:t>1.6. Иные требования и сведения общего характера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8"/>
            <w:tabs>
              <w:tab w:val="clear" w:pos="708"/>
              <w:tab w:val="left" w:pos="56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22907813" w:tgtFrame="#_Toc222907813">
            <w:r>
              <w:rPr>
                <w:webHidden/>
                <w:vanish w:val="false"/>
              </w:rPr>
              <w:t>2.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_Toc222907813 \h</w:instrText>
            </w:r>
            <w:r>
              <w:rPr>
                <w:webHidden/>
              </w:rPr>
              <w:fldChar w:fldCharType="separate"/>
            </w:r>
            <w:r>
              <w:rPr/>
              <w:t>Требования к продукции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left" w:pos="112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22907814" w:tgtFrame="#_Toc222907814">
            <w:r>
              <w:rPr>
                <w:webHidden/>
                <w:iCs/>
                <w:vanish w:val="false"/>
              </w:rPr>
              <w:t>2.1.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_Toc222907814 \h</w:instrText>
            </w:r>
            <w:r>
              <w:rPr>
                <w:webHidden/>
              </w:rPr>
              <w:fldChar w:fldCharType="separate"/>
            </w:r>
            <w:r>
              <w:rPr/>
              <w:t>Перечень нормативной документации, в соответствии с требованиями которых необходимо выполнить инженерно-геофизические исследования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left" w:pos="112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22907815" w:tgtFrame="#_Toc222907815">
            <w:r>
              <w:rPr>
                <w:webHidden/>
                <w:iCs/>
                <w:vanish w:val="false"/>
              </w:rPr>
              <w:t>2.2.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_Toc222907815 \h</w:instrText>
            </w:r>
            <w:r>
              <w:rPr>
                <w:webHidden/>
              </w:rPr>
              <w:fldChar w:fldCharType="separate"/>
            </w:r>
            <w:r>
              <w:rPr/>
              <w:t>Требования к объемам и срокам выполнения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5"/>
            <w:tabs>
              <w:tab w:val="clear" w:pos="708"/>
              <w:tab w:val="left" w:pos="112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22907816" w:tgtFrame="#_Toc222907816">
            <w:r>
              <w:rPr>
                <w:webHidden/>
                <w:vanish w:val="false"/>
              </w:rPr>
              <w:t>2.2.1.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_Toc222907816 \h</w:instrText>
            </w:r>
            <w:r>
              <w:rPr>
                <w:webHidden/>
              </w:rPr>
              <w:fldChar w:fldCharType="separate"/>
            </w:r>
            <w:r>
              <w:rPr/>
              <w:t>Требования к видам и объемам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5"/>
            <w:tabs>
              <w:tab w:val="clear" w:pos="708"/>
              <w:tab w:val="left" w:pos="112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22907817" w:tgtFrame="#_Toc222907817">
            <w:r>
              <w:rPr>
                <w:webHidden/>
                <w:vanish w:val="false"/>
              </w:rPr>
              <w:t>2.2.2.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_Toc222907817 \h</w:instrText>
            </w:r>
            <w:r>
              <w:rPr>
                <w:webHidden/>
              </w:rPr>
              <w:fldChar w:fldCharType="separate"/>
            </w:r>
            <w:r>
              <w:rPr/>
              <w:t>Требования к срокам выполнения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left" w:pos="112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222907818" w:tgtFrame="#_Toc222907818">
            <w:r>
              <w:rPr>
                <w:webHidden/>
                <w:iCs/>
                <w:vanish w:val="false"/>
              </w:rPr>
              <w:t>2.3.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_Toc222907818 \h</w:instrText>
            </w:r>
            <w:r>
              <w:rPr>
                <w:webHidden/>
              </w:rPr>
              <w:fldChar w:fldCharType="separate"/>
            </w:r>
            <w:r>
              <w:rPr/>
              <w:t>Требования к качеству работ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8"/>
            <w:tabs>
              <w:tab w:val="clear" w:pos="708"/>
              <w:tab w:val="left" w:pos="56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22907819" w:tgtFrame="#_Toc222907819">
            <w:r>
              <w:rPr>
                <w:webHidden/>
                <w:vanish w:val="false"/>
              </w:rPr>
              <w:t>3.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_Toc222907819 \h</w:instrText>
            </w:r>
            <w:r>
              <w:rPr>
                <w:webHidden/>
              </w:rPr>
              <w:fldChar w:fldCharType="separate"/>
            </w:r>
            <w:r>
              <w:rPr/>
              <w:t>Требования к документации по ценообразованию на этапе закупки</w:t>
              <w:tab/>
              <w:t>15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8"/>
            <w:tabs>
              <w:tab w:val="clear" w:pos="708"/>
              <w:tab w:val="left" w:pos="56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22907820" w:tgtFrame="#_Toc222907820">
            <w:r>
              <w:rPr>
                <w:webHidden/>
                <w:vanish w:val="false"/>
              </w:rPr>
              <w:t>4.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_Toc222907820 \h</w:instrText>
            </w:r>
            <w:r>
              <w:rPr>
                <w:webHidden/>
              </w:rPr>
              <w:fldChar w:fldCharType="separate"/>
            </w:r>
            <w:r>
              <w:rPr/>
              <w:t>Требования к документации по ценообразованию на этапе исполнения договора</w:t>
              <w:tab/>
              <w:t>15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8"/>
            <w:tabs>
              <w:tab w:val="clear" w:pos="708"/>
              <w:tab w:val="left" w:pos="560" w:leader="none"/>
              <w:tab w:val="right" w:pos="10055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222907821" w:tgtFrame="#_Toc222907821">
            <w:r>
              <w:rPr>
                <w:webHidden/>
                <w:vanish w:val="false"/>
              </w:rPr>
              <w:t>5.</w:t>
            </w:r>
            <w:r>
              <w:rPr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_Toc222907821 \h</w:instrText>
            </w:r>
            <w:r>
              <w:rPr>
                <w:webHidden/>
              </w:rPr>
              <w:fldChar w:fldCharType="separate"/>
            </w:r>
            <w:r>
              <w:rPr/>
              <w:t>Приложения</w:t>
              <w:tab/>
              <w:t>15</w:t>
            </w:r>
            <w:r>
              <w:rPr>
                <w:webHidden/>
              </w:rPr>
              <w:fldChar w:fldCharType="end"/>
            </w:r>
          </w:hyperlink>
          <w:r>
            <w:rPr/>
            <w:fldChar w:fldCharType="end"/>
          </w:r>
        </w:p>
      </w:sdtContent>
    </w:sdt>
    <w:p>
      <w:pPr>
        <w:pStyle w:val="2"/>
        <w:ind w:firstLine="567"/>
        <w:rPr/>
      </w:pPr>
      <w:r>
        <w:rPr/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b/>
          <w:i/>
          <w:i/>
          <w:szCs w:val="24"/>
        </w:rPr>
      </w:pPr>
      <w:r>
        <w:rPr>
          <w:rFonts w:eastAsia="Calibri"/>
          <w:b/>
          <w:i/>
          <w:szCs w:val="24"/>
        </w:rPr>
      </w:r>
      <w:r>
        <w:br w:type="page"/>
      </w:r>
    </w:p>
    <w:p>
      <w:pPr>
        <w:pStyle w:val="1"/>
        <w:widowControl w:val="false"/>
        <w:suppressAutoHyphens w:val="true"/>
        <w:bidi w:val="0"/>
        <w:spacing w:before="120" w:after="120"/>
        <w:ind w:left="964" w:right="0" w:firstLine="567"/>
        <w:jc w:val="left"/>
        <w:outlineLvl w:val="0"/>
        <w:rPr>
          <w:caps/>
        </w:rPr>
      </w:pPr>
      <w:bookmarkStart w:id="0" w:name="_Toc222907806"/>
      <w:bookmarkStart w:id="1" w:name="_Toc51339692"/>
      <w:r>
        <w:rPr/>
        <w:t>Общие сведения</w:t>
      </w:r>
      <w:bookmarkEnd w:id="0"/>
      <w:bookmarkEnd w:id="1"/>
    </w:p>
    <w:p>
      <w:pPr>
        <w:pStyle w:val="4"/>
        <w:numPr>
          <w:ilvl w:val="1"/>
          <w:numId w:val="31"/>
        </w:numPr>
        <w:ind w:firstLine="567"/>
        <w:rPr/>
      </w:pPr>
      <w:bookmarkStart w:id="2" w:name="_Toc222907807"/>
      <w:bookmarkStart w:id="3" w:name="_Toc46743505"/>
      <w:r>
        <w:rPr/>
        <w:t>Обозначения и сокращения</w:t>
      </w:r>
      <w:bookmarkEnd w:id="2"/>
      <w:bookmarkEnd w:id="3"/>
    </w:p>
    <w:tbl>
      <w:tblPr>
        <w:tblW w:w="7054" w:type="dxa"/>
        <w:jc w:val="left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43"/>
        <w:gridCol w:w="5210"/>
      </w:tblGrid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ГТС</w:t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Гидротехническое сооружение</w:t>
            </w:r>
          </w:p>
        </w:tc>
      </w:tr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БНС</w:t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Береговая насосная станция</w:t>
            </w:r>
          </w:p>
        </w:tc>
      </w:tr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ГРЭС</w:t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Государственная районная электростанция</w:t>
            </w:r>
          </w:p>
        </w:tc>
      </w:tr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ГОСТ</w:t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Государственные стандарты РФ</w:t>
            </w:r>
          </w:p>
        </w:tc>
      </w:tr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СП</w:t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Свод правил</w:t>
            </w:r>
          </w:p>
        </w:tc>
      </w:tr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СанПиН</w:t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spacing w:before="120" w:after="120"/>
              <w:jc w:val="both"/>
              <w:rPr>
                <w:szCs w:val="24"/>
              </w:rPr>
            </w:pPr>
            <w:r>
              <w:rPr>
                <w:szCs w:val="24"/>
              </w:rPr>
              <w:t>Санитарные (санитарно-эпидемиологические) правила и нормы</w:t>
            </w:r>
          </w:p>
        </w:tc>
      </w:tr>
    </w:tbl>
    <w:p>
      <w:pPr>
        <w:pStyle w:val="Normal"/>
        <w:widowControl w:val="false"/>
        <w:ind w:firstLine="567"/>
        <w:jc w:val="both"/>
        <w:rPr>
          <w:szCs w:val="24"/>
        </w:rPr>
      </w:pPr>
      <w:r>
        <w:rPr>
          <w:szCs w:val="24"/>
        </w:rPr>
      </w:r>
    </w:p>
    <w:p>
      <w:pPr>
        <w:pStyle w:val="4"/>
        <w:numPr>
          <w:ilvl w:val="1"/>
          <w:numId w:val="32"/>
        </w:numPr>
        <w:ind w:firstLine="567"/>
        <w:rPr/>
      </w:pPr>
      <w:bookmarkStart w:id="4" w:name="_Toc46743506"/>
      <w:bookmarkStart w:id="5" w:name="_Toc222907808"/>
      <w:r>
        <w:rPr/>
        <w:t>Наименование закупаемой продукции</w:t>
      </w:r>
      <w:bookmarkEnd w:id="4"/>
      <w:bookmarkEnd w:id="5"/>
    </w:p>
    <w:p>
      <w:pPr>
        <w:pStyle w:val="Normal"/>
        <w:ind w:firstLine="567"/>
        <w:jc w:val="both"/>
        <w:rPr>
          <w:color w:val="FF0000"/>
          <w:szCs w:val="24"/>
        </w:rPr>
      </w:pPr>
      <w:r>
        <w:rPr/>
        <w:t xml:space="preserve">Проведение инженерно-геофизических исследований на прибрежной морской акватории по титулу: «Прямоточная система технического водоснабжения с морским водозабором ковшового типа по объекту «Строительство Сахалинской ГРЭС-2 (расширение)». </w:t>
      </w:r>
    </w:p>
    <w:p>
      <w:pPr>
        <w:pStyle w:val="4"/>
        <w:numPr>
          <w:ilvl w:val="1"/>
          <w:numId w:val="33"/>
        </w:numPr>
        <w:ind w:firstLine="567"/>
        <w:rPr/>
      </w:pPr>
      <w:bookmarkStart w:id="6" w:name="_Toc222907809"/>
      <w:bookmarkStart w:id="7" w:name="_Toc46743507"/>
      <w:r>
        <w:rPr/>
        <w:t xml:space="preserve">Цель </w:t>
      </w:r>
      <w:bookmarkEnd w:id="7"/>
      <w:r>
        <w:rPr/>
        <w:t>выполнения работ</w:t>
      </w:r>
      <w:bookmarkEnd w:id="6"/>
      <w:r>
        <w:rPr/>
        <w:t xml:space="preserve"> </w:t>
      </w:r>
    </w:p>
    <w:p>
      <w:pPr>
        <w:pStyle w:val="Normal"/>
        <w:widowControl w:val="false"/>
        <w:spacing w:lineRule="auto" w:line="276"/>
        <w:ind w:firstLine="567"/>
        <w:jc w:val="both"/>
        <w:rPr>
          <w:szCs w:val="24"/>
        </w:rPr>
      </w:pPr>
      <w:r>
        <w:rPr>
          <w:szCs w:val="24"/>
        </w:rPr>
        <w:t>Проведение инженерных изысканий:</w:t>
      </w:r>
    </w:p>
    <w:p>
      <w:pPr>
        <w:pStyle w:val="Normal"/>
        <w:widowControl w:val="false"/>
        <w:spacing w:lineRule="auto" w:line="276"/>
        <w:ind w:firstLine="567"/>
        <w:jc w:val="both"/>
        <w:rPr>
          <w:szCs w:val="24"/>
        </w:rPr>
      </w:pPr>
      <w:r>
        <w:rPr>
          <w:szCs w:val="24"/>
        </w:rPr>
        <w:t>- инженерно-геофизические исследования;</w:t>
      </w:r>
    </w:p>
    <w:p>
      <w:pPr>
        <w:pStyle w:val="Normal"/>
        <w:widowControl w:val="false"/>
        <w:spacing w:lineRule="auto" w:line="276"/>
        <w:ind w:firstLine="567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8"/>
          <w:tab w:val="left" w:pos="991" w:leader="none"/>
          <w:tab w:val="left" w:pos="1032" w:leader="none"/>
        </w:tabs>
        <w:ind w:firstLine="709"/>
        <w:jc w:val="both"/>
        <w:rPr/>
      </w:pPr>
      <w:r>
        <w:rPr>
          <w:b/>
          <w:i/>
          <w:szCs w:val="24"/>
        </w:rPr>
        <w:t>Цель инженерно-геофизических исследований</w:t>
      </w:r>
      <w:r>
        <w:rPr>
          <w:szCs w:val="24"/>
        </w:rPr>
        <w:t xml:space="preserve"> заключается в изучении геологических условий участка работ и </w:t>
      </w:r>
      <w:r>
        <w:rPr>
          <w:bCs/>
          <w:szCs w:val="24"/>
        </w:rPr>
        <w:t>подтверждении литологического разреза геофизическими методами</w:t>
      </w:r>
      <w:r>
        <w:rPr>
          <w:szCs w:val="24"/>
        </w:rPr>
        <w:t xml:space="preserve"> на прибрежной морской акватории в пределах размещения сооружений в соответствии с требованиями действующих нормативно-технических документов в полном и достоверном объеме, необходимом и достаточном для принятия проектных решений (в том числе по защите от опасных процессов) и обоснования принятых проектных решений (в том числе расчетных), а также для разработки проектной документации и строительства объекта.</w:t>
      </w:r>
    </w:p>
    <w:p>
      <w:pPr>
        <w:pStyle w:val="Normal"/>
        <w:tabs>
          <w:tab w:val="clear" w:pos="708"/>
          <w:tab w:val="left" w:pos="991" w:leader="none"/>
          <w:tab w:val="left" w:pos="1050" w:leader="none"/>
        </w:tabs>
        <w:ind w:firstLine="992"/>
        <w:jc w:val="both"/>
        <w:rPr/>
      </w:pPr>
      <w:r>
        <w:rPr>
          <w:szCs w:val="24"/>
        </w:rPr>
        <w:t>В задачи инженерно-геофизических исследований входит:</w:t>
      </w:r>
    </w:p>
    <w:p>
      <w:pPr>
        <w:pStyle w:val="Normal"/>
        <w:numPr>
          <w:ilvl w:val="2"/>
          <w:numId w:val="12"/>
        </w:numPr>
        <w:tabs>
          <w:tab w:val="clear" w:pos="708"/>
          <w:tab w:val="left" w:pos="58" w:leader="none"/>
          <w:tab w:val="left" w:pos="200" w:leader="none"/>
        </w:tabs>
        <w:ind w:left="0" w:firstLine="992"/>
        <w:jc w:val="both"/>
        <w:rPr/>
      </w:pPr>
      <w:r>
        <w:rPr>
          <w:szCs w:val="24"/>
        </w:rPr>
        <w:t xml:space="preserve">выполнение в соответствии с настоящими Техническими требованиями и программой работ полевых и камеральных работ в составе инженерных изысканий, а также – лабораторных и специальных исследований; </w:t>
      </w:r>
    </w:p>
    <w:p>
      <w:pPr>
        <w:pStyle w:val="Normal"/>
        <w:numPr>
          <w:ilvl w:val="2"/>
          <w:numId w:val="12"/>
        </w:numPr>
        <w:tabs>
          <w:tab w:val="clear" w:pos="708"/>
          <w:tab w:val="left" w:pos="58" w:leader="none"/>
          <w:tab w:val="left" w:pos="200" w:leader="none"/>
        </w:tabs>
        <w:ind w:left="0" w:firstLine="992"/>
        <w:jc w:val="both"/>
        <w:rPr/>
      </w:pPr>
      <w:r>
        <w:rPr>
          <w:szCs w:val="24"/>
        </w:rPr>
        <w:t>формирование отчётной документации по результатам инженерно-геофизических исследований, обеспечивающих получение положительного заключения государственной экспертизы результатов инженерных изысканий.</w:t>
      </w:r>
    </w:p>
    <w:p>
      <w:pPr>
        <w:pStyle w:val="Normal"/>
        <w:numPr>
          <w:ilvl w:val="2"/>
          <w:numId w:val="12"/>
        </w:numPr>
        <w:tabs>
          <w:tab w:val="clear" w:pos="708"/>
          <w:tab w:val="left" w:pos="58" w:leader="none"/>
          <w:tab w:val="left" w:pos="200" w:leader="none"/>
        </w:tabs>
        <w:ind w:left="0" w:firstLine="992"/>
        <w:jc w:val="both"/>
        <w:rPr/>
      </w:pPr>
      <w:r>
        <w:rPr>
          <w:szCs w:val="24"/>
        </w:rPr>
        <w:t>защита результатов инженерных изысканий при прохождении государственной экологической экспертизы и государственной экспертизы проектной документации и результатов инженерных изысканий – до получения положительных заключений.</w:t>
      </w:r>
    </w:p>
    <w:p>
      <w:pPr>
        <w:pStyle w:val="Normal"/>
        <w:tabs>
          <w:tab w:val="clear" w:pos="708"/>
          <w:tab w:val="left" w:pos="58" w:leader="none"/>
          <w:tab w:val="left" w:pos="200" w:leader="none"/>
        </w:tabs>
        <w:ind w:left="992" w:hanging="0"/>
        <w:jc w:val="both"/>
        <w:rPr>
          <w:szCs w:val="24"/>
        </w:rPr>
      </w:pPr>
      <w:r>
        <w:rPr>
          <w:szCs w:val="24"/>
        </w:rPr>
      </w:r>
    </w:p>
    <w:p>
      <w:pPr>
        <w:pStyle w:val="4"/>
        <w:numPr>
          <w:ilvl w:val="1"/>
          <w:numId w:val="34"/>
        </w:numPr>
        <w:ind w:firstLine="567"/>
        <w:rPr/>
      </w:pPr>
      <w:bookmarkStart w:id="8" w:name="_Toc222907810"/>
      <w:bookmarkStart w:id="9" w:name="_Toc46743508"/>
      <w:r>
        <w:rPr/>
        <w:t>Существующее положение</w:t>
      </w:r>
      <w:bookmarkEnd w:id="9"/>
      <w:r>
        <w:rPr/>
        <w:t xml:space="preserve"> и проектируемые мероприятия</w:t>
      </w:r>
      <w:bookmarkEnd w:id="8"/>
    </w:p>
    <w:p>
      <w:pPr>
        <w:pStyle w:val="Normal"/>
        <w:rPr/>
      </w:pPr>
      <w:r>
        <w:rPr/>
        <w:t>Идентификационные сведения по каждому объекту проектирования представлены в Приложении 2 к настоящим Техническим требованиями.</w:t>
      </w:r>
    </w:p>
    <w:p>
      <w:pPr>
        <w:pStyle w:val="Normal"/>
        <w:rPr/>
      </w:pPr>
      <w:r>
        <w:rPr/>
        <w:t>Категория сложности по данным ранее выполненных инженерно-геологических изысканий III (сложная).</w:t>
      </w:r>
    </w:p>
    <w:p>
      <w:pPr>
        <w:pStyle w:val="Normal"/>
        <w:rPr/>
      </w:pPr>
      <w:r>
        <w:rPr/>
        <w:t>Нормативная сейсмичность участка проектирования составляет: по карте А (ОСР-2015) – 8 баллов, по карте В (ОСР-2015) – 9 баллов, по карте С – 9 баллов</w:t>
      </w:r>
    </w:p>
    <w:p>
      <w:pPr>
        <w:pStyle w:val="Normal"/>
        <w:rPr/>
      </w:pPr>
      <w:r>
        <w:rPr/>
        <w:t>Нормативная величина вертикального заплеска цунами по данным СП 292.1325800.2017 для данного района составляет: 1 раз в 50 лет – 0,5 м; 1 раз в 100 лет – 1 м.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64" w:before="0" w:after="80"/>
        <w:ind w:firstLine="567"/>
        <w:jc w:val="both"/>
        <w:rPr>
          <w:b/>
          <w:b/>
          <w:color w:val="000000"/>
          <w:szCs w:val="24"/>
        </w:rPr>
      </w:pPr>
      <w:r>
        <w:rPr>
          <w:b/>
          <w:color w:val="000000"/>
          <w:szCs w:val="24"/>
        </w:rPr>
        <w:t>Проектом предусматривается: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>Рассматривается система технического водоснабжения с организацией водозабора «ковшового» типа, с использованием морской воды для охлаждения отработанного пара в конденсаторах турбин и механизмов 2 и 3 этапов Сахалинской ГРЭС-2.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>Параметры проектируемой системы технического водоснабжения: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>Расход охлаждающей воды</w:t>
        <w:tab/>
        <w:t>, м3/ч - 56 000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>Давление на выходе БНС</w:t>
        <w:tab/>
        <w:t>м.в.ст - 63-70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>Допустимые температуры воды,</w:t>
        <w:tab/>
        <w:t>°C</w:t>
        <w:tab/>
        <w:t>1 – 30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>Источник технического водоснабжения</w:t>
        <w:tab/>
        <w:t>-</w:t>
        <w:tab/>
        <w:t>Татарский пролив.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>Технологическая схема: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>Требуемые параметры в заданных условиях обеспечит следующая схема системы технического водоснабжения: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 xml:space="preserve"> </w:t>
      </w:r>
      <w:r>
        <w:rPr>
          <w:szCs w:val="24"/>
          <w:lang w:eastAsia="ar-SA"/>
        </w:rPr>
        <w:t>- береговая насосная станция получает морскую воду из водозаборного сооружения ковшевого типа огражденного от Татарского пролива дамбой с водопропускными трубами. Внутренняя акватория ковша углубляется до отметки минус 13,3 м с вывозом изымаемого грунта на полигон на суше;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>- подачу воды в требуемых объемах осуществляют 6 насосов (дополнительно 2 насоса в резерве);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>- от БНС до ГРЭС-2 прокладываются напорные водоводы Ду1800 в количестве 6шт. Водоводы прокладываются траншейным способом, материал водоводов - сталь</w:t>
      </w:r>
      <w:r>
        <w:rPr>
          <w:rFonts w:cs="Arial" w:ascii="Arial" w:hAnsi="Arial"/>
          <w:sz w:val="28"/>
          <w:szCs w:val="20"/>
          <w:lang w:eastAsia="ar-SA"/>
        </w:rPr>
        <w:t xml:space="preserve"> </w:t>
      </w:r>
      <w:r>
        <w:rPr>
          <w:szCs w:val="24"/>
          <w:lang w:eastAsia="ar-SA"/>
        </w:rPr>
        <w:t>09Г2С. Граница проектирования – периметр ГРЭС-2;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 xml:space="preserve"> </w:t>
      </w:r>
      <w:r>
        <w:rPr>
          <w:szCs w:val="24"/>
          <w:lang w:eastAsia="ar-SA"/>
        </w:rPr>
        <w:t>- нагретая в конденсаторах турбин вода по сбросным трубопроводам Ду1800 6шт. поступает в сифонный колодец. Сбросные водоводы прокладываются траншейным способом;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>- после сифонного колодца вода поступает в уравнительную камеру по водоотводящему каналу;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 xml:space="preserve"> </w:t>
      </w:r>
      <w:r>
        <w:rPr>
          <w:szCs w:val="24"/>
          <w:lang w:eastAsia="ar-SA"/>
        </w:rPr>
        <w:t>- из уравнительной камеры вода отводится по сбросным водоводам Ду2000 6шт. через водовыпуск в Татарский пролив. Водовыпуск находится на удалении 700м от БНС. Сбросные водоводы уложены по дну в траншее. Для исключения всплытия труб применяются утяжелители.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 xml:space="preserve">Конструктивные решения могут быть уточнены в процессе разработки проектной документации 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>Для обеспечения функционирования БНС требуются системы: электроснабжения, водоснабжения, канализации, пожаротушения, сети связи.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>Перечень основных сооружений:</w:t>
      </w:r>
    </w:p>
    <w:p>
      <w:pPr>
        <w:pStyle w:val="Normal"/>
        <w:numPr>
          <w:ilvl w:val="0"/>
          <w:numId w:val="20"/>
        </w:numPr>
        <w:ind w:left="349" w:hanging="36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Огораживающая дамба с водопропускными трубами Ду2000 в теле – 6 шт.;</w:t>
      </w:r>
    </w:p>
    <w:p>
      <w:pPr>
        <w:pStyle w:val="Normal"/>
        <w:numPr>
          <w:ilvl w:val="0"/>
          <w:numId w:val="20"/>
        </w:numPr>
        <w:ind w:left="349" w:hanging="36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Береговая насосная станция, Q=56000м</w:t>
      </w:r>
      <w:r>
        <w:rPr>
          <w:szCs w:val="24"/>
          <w:vertAlign w:val="superscript"/>
          <w:lang w:eastAsia="ar-SA"/>
        </w:rPr>
        <w:t>3</w:t>
      </w:r>
      <w:r>
        <w:rPr>
          <w:szCs w:val="24"/>
          <w:lang w:eastAsia="ar-SA"/>
        </w:rPr>
        <w:t>/час;</w:t>
      </w:r>
    </w:p>
    <w:p>
      <w:pPr>
        <w:pStyle w:val="Normal"/>
        <w:numPr>
          <w:ilvl w:val="0"/>
          <w:numId w:val="20"/>
        </w:numPr>
        <w:ind w:left="349" w:hanging="36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Напорные водоводы Ду1800 – 6 шт;</w:t>
      </w:r>
    </w:p>
    <w:p>
      <w:pPr>
        <w:pStyle w:val="Normal"/>
        <w:numPr>
          <w:ilvl w:val="0"/>
          <w:numId w:val="20"/>
        </w:numPr>
        <w:ind w:left="349" w:hanging="36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Коллекторная;</w:t>
      </w:r>
    </w:p>
    <w:p>
      <w:pPr>
        <w:pStyle w:val="Normal"/>
        <w:numPr>
          <w:ilvl w:val="0"/>
          <w:numId w:val="20"/>
        </w:numPr>
        <w:ind w:left="349" w:hanging="36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Сбросные водоводы Ду1800 – 6 шт;</w:t>
      </w:r>
    </w:p>
    <w:p>
      <w:pPr>
        <w:pStyle w:val="Normal"/>
        <w:numPr>
          <w:ilvl w:val="0"/>
          <w:numId w:val="20"/>
        </w:numPr>
        <w:ind w:left="349" w:hanging="36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Сифонный колодец;</w:t>
      </w:r>
    </w:p>
    <w:p>
      <w:pPr>
        <w:pStyle w:val="Normal"/>
        <w:numPr>
          <w:ilvl w:val="0"/>
          <w:numId w:val="20"/>
        </w:numPr>
        <w:ind w:left="349" w:hanging="36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Водоотводящий канал;</w:t>
      </w:r>
    </w:p>
    <w:p>
      <w:pPr>
        <w:pStyle w:val="Normal"/>
        <w:numPr>
          <w:ilvl w:val="0"/>
          <w:numId w:val="20"/>
        </w:numPr>
        <w:ind w:left="349" w:hanging="36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Уравнительная камера;</w:t>
      </w:r>
    </w:p>
    <w:p>
      <w:pPr>
        <w:pStyle w:val="Normal"/>
        <w:numPr>
          <w:ilvl w:val="0"/>
          <w:numId w:val="20"/>
        </w:numPr>
        <w:ind w:left="349" w:hanging="36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Сбросные водоводы Ду2000 с водовыпуском – 6 шт;</w:t>
      </w:r>
    </w:p>
    <w:p>
      <w:pPr>
        <w:pStyle w:val="Normal"/>
        <w:jc w:val="both"/>
        <w:rPr>
          <w:szCs w:val="24"/>
          <w:lang w:eastAsia="ar-SA"/>
        </w:rPr>
      </w:pPr>
      <w:r>
        <w:rPr>
          <w:szCs w:val="24"/>
          <w:lang w:eastAsia="ar-SA"/>
        </w:rPr>
        <w:t>Технические характеристики сооружений, включая размеры проектируемых зданий и сооружений, представлены в Приложении 1 и Приложении 2 к настоящим Техническим требованиями.</w:t>
      </w:r>
    </w:p>
    <w:p>
      <w:pPr>
        <w:pStyle w:val="Normal"/>
        <w:spacing w:lineRule="auto" w:line="264" w:before="0" w:after="80"/>
        <w:ind w:firstLine="567"/>
        <w:jc w:val="both"/>
        <w:rPr>
          <w:b/>
          <w:b/>
          <w:color w:val="000000"/>
          <w:szCs w:val="24"/>
        </w:rPr>
      </w:pPr>
      <w:r>
        <w:rPr>
          <w:szCs w:val="24"/>
          <w:lang w:eastAsia="ar-SA"/>
        </w:rPr>
        <w:t>Параметры проектируемых зданий и сооружений могут быть уточнены в процессе разработки проектной документации.</w:t>
      </w:r>
    </w:p>
    <w:p>
      <w:pPr>
        <w:pStyle w:val="Normal"/>
        <w:spacing w:lineRule="auto" w:line="264" w:before="0" w:after="80"/>
        <w:ind w:firstLine="567"/>
        <w:jc w:val="both"/>
        <w:rPr>
          <w:b/>
          <w:b/>
          <w:color w:val="000000"/>
          <w:szCs w:val="24"/>
        </w:rPr>
      </w:pPr>
      <w:r>
        <w:rPr>
          <w:b/>
          <w:color w:val="000000"/>
          <w:szCs w:val="24"/>
        </w:rPr>
      </w:r>
    </w:p>
    <w:p>
      <w:pPr>
        <w:pStyle w:val="Normal"/>
        <w:spacing w:lineRule="auto" w:line="264" w:before="0" w:after="80"/>
        <w:ind w:firstLine="567"/>
        <w:jc w:val="both"/>
        <w:rPr>
          <w:b/>
          <w:b/>
          <w:color w:val="000000"/>
          <w:szCs w:val="24"/>
        </w:rPr>
      </w:pPr>
      <w:r>
        <w:rPr>
          <w:b/>
          <w:color w:val="000000"/>
          <w:szCs w:val="24"/>
        </w:rPr>
      </w:r>
    </w:p>
    <w:p>
      <w:pPr>
        <w:pStyle w:val="Normal"/>
        <w:spacing w:lineRule="auto" w:line="264" w:before="0" w:after="80"/>
        <w:ind w:firstLine="567"/>
        <w:jc w:val="both"/>
        <w:rPr>
          <w:b/>
          <w:b/>
          <w:color w:val="000000"/>
          <w:szCs w:val="24"/>
        </w:rPr>
      </w:pPr>
      <w:r>
        <w:rPr>
          <w:b/>
          <w:color w:val="000000"/>
          <w:szCs w:val="24"/>
        </w:rPr>
      </w:r>
    </w:p>
    <w:p>
      <w:pPr>
        <w:pStyle w:val="Normal"/>
        <w:spacing w:lineRule="auto" w:line="264" w:before="0" w:after="80"/>
        <w:ind w:firstLine="567"/>
        <w:jc w:val="both"/>
        <w:rPr>
          <w:b/>
          <w:b/>
          <w:color w:val="000000"/>
          <w:szCs w:val="24"/>
        </w:rPr>
      </w:pPr>
      <w:r>
        <w:rPr>
          <w:b/>
          <w:color w:val="000000"/>
          <w:szCs w:val="24"/>
        </w:rPr>
      </w:r>
    </w:p>
    <w:p>
      <w:pPr>
        <w:pStyle w:val="Normal"/>
        <w:spacing w:lineRule="auto" w:line="264" w:before="0" w:after="80"/>
        <w:ind w:firstLine="567"/>
        <w:jc w:val="both"/>
        <w:rPr>
          <w:b/>
          <w:b/>
          <w:color w:val="000000"/>
          <w:szCs w:val="24"/>
        </w:rPr>
      </w:pPr>
      <w:r>
        <w:rPr>
          <w:b/>
          <w:color w:val="000000"/>
          <w:szCs w:val="24"/>
        </w:rPr>
      </w:r>
    </w:p>
    <w:p>
      <w:pPr>
        <w:pStyle w:val="Normal"/>
        <w:spacing w:lineRule="auto" w:line="264" w:before="0" w:after="80"/>
        <w:ind w:firstLine="567"/>
        <w:jc w:val="both"/>
        <w:rPr>
          <w:b/>
          <w:b/>
          <w:color w:val="000000"/>
          <w:szCs w:val="24"/>
        </w:rPr>
      </w:pPr>
      <w:r>
        <w:rPr>
          <w:b/>
          <w:color w:val="000000"/>
          <w:szCs w:val="24"/>
        </w:rPr>
      </w:r>
    </w:p>
    <w:p>
      <w:pPr>
        <w:pStyle w:val="Normal"/>
        <w:rPr>
          <w:rStyle w:val="Style19"/>
          <w:b w:val="false"/>
          <w:b w:val="false"/>
          <w:bCs/>
          <w:szCs w:val="24"/>
        </w:rPr>
      </w:pPr>
      <w:r>
        <w:rPr>
          <w:b/>
        </w:rPr>
        <w:t>Таблица 1. Перечень объектов заказчика</w:t>
      </w:r>
    </w:p>
    <w:tbl>
      <w:tblPr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09"/>
        <w:gridCol w:w="2268"/>
        <w:gridCol w:w="2977"/>
        <w:gridCol w:w="2134"/>
        <w:gridCol w:w="1843"/>
      </w:tblGrid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Расположение объекта </w:t>
              <w:br/>
            </w:r>
            <w:r>
              <w:rPr>
                <w:i/>
                <w:iCs/>
                <w:sz w:val="20"/>
                <w:szCs w:val="20"/>
              </w:rPr>
              <w:t>(место производства работ)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Примечания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Сахалинская ГРЭС-2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Cs w:val="24"/>
              </w:rPr>
              <w:t>Россия, Сахалинская область, Томаринский район, Ильинское шоссе, д. 1 (водоохранная зона)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0"/>
                <w:szCs w:val="20"/>
              </w:rPr>
            </w:pPr>
            <w:r>
              <w:rPr/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4"/>
        <w:numPr>
          <w:ilvl w:val="1"/>
          <w:numId w:val="35"/>
        </w:numPr>
        <w:ind w:left="0" w:firstLine="567"/>
        <w:rPr/>
      </w:pPr>
      <w:bookmarkStart w:id="10" w:name="_Toc222907811"/>
      <w:bookmarkStart w:id="11" w:name="_Toc46743509"/>
      <w:bookmarkStart w:id="12" w:name="_Hlk49857604"/>
      <w:r>
        <w:rPr/>
        <w:t xml:space="preserve">Информация в отношении исполнения договора, </w:t>
      </w:r>
      <w:bookmarkStart w:id="13" w:name="_Hlk46492347"/>
      <w:r>
        <w:rPr/>
        <w:t xml:space="preserve">которая должна быть учтена при подготовке заявки </w:t>
      </w:r>
      <w:bookmarkEnd w:id="13"/>
      <w:r>
        <w:rPr/>
        <w:t>(в том числе перечень ресурсов, услуг и документов, предоставляемых Генподрядчиком на этапе исполнения договора)</w:t>
      </w:r>
      <w:bookmarkEnd w:id="10"/>
      <w:bookmarkEnd w:id="11"/>
      <w:bookmarkEnd w:id="12"/>
      <w:r>
        <w:rPr/>
        <w:t xml:space="preserve"> </w:t>
      </w:r>
    </w:p>
    <w:p>
      <w:pPr>
        <w:pStyle w:val="Normal"/>
        <w:ind w:firstLine="567"/>
        <w:rPr>
          <w:b/>
          <w:b/>
        </w:rPr>
      </w:pPr>
      <w:bookmarkStart w:id="14" w:name="_Toc50125126"/>
      <w:bookmarkEnd w:id="14"/>
      <w:r>
        <w:rPr>
          <w:b/>
        </w:rPr>
        <w:t>1.5.1. Перечень исходных данных, предоставляемых для проведения комплекса дополнительных инженерных изысканий:</w:t>
      </w:r>
    </w:p>
    <w:p>
      <w:pPr>
        <w:pStyle w:val="Normal"/>
        <w:rPr>
          <w:szCs w:val="24"/>
        </w:rPr>
      </w:pPr>
      <w:r>
        <w:rPr>
          <w:szCs w:val="24"/>
        </w:rPr>
        <w:t>- Основные технические решения;</w:t>
      </w:r>
    </w:p>
    <w:p>
      <w:pPr>
        <w:pStyle w:val="Normal"/>
        <w:rPr>
          <w:szCs w:val="24"/>
        </w:rPr>
      </w:pPr>
      <w:r>
        <w:rPr>
          <w:szCs w:val="24"/>
        </w:rPr>
        <w:t>- Материалы инженерных изысканий прошлых лет.</w:t>
      </w:r>
    </w:p>
    <w:p>
      <w:pPr>
        <w:pStyle w:val="Normal"/>
        <w:rPr>
          <w:szCs w:val="24"/>
        </w:rPr>
      </w:pPr>
      <w:r>
        <w:rPr>
          <w:szCs w:val="24"/>
        </w:rPr>
        <w:t>- Материалы инженерно-геологических изысканий на суше.</w:t>
      </w:r>
    </w:p>
    <w:p>
      <w:pPr>
        <w:pStyle w:val="Normal"/>
        <w:rPr>
          <w:szCs w:val="24"/>
        </w:rPr>
      </w:pPr>
      <w:r>
        <w:rPr>
          <w:szCs w:val="24"/>
        </w:rPr>
        <w:t>- Топографическую основу для камеральной обработки материалов.</w: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4"/>
        <w:numPr>
          <w:ilvl w:val="0"/>
          <w:numId w:val="0"/>
        </w:numPr>
        <w:ind w:left="567" w:hanging="0"/>
        <w:rPr/>
      </w:pPr>
      <w:bookmarkStart w:id="15" w:name="_Toc222907812"/>
      <w:r>
        <w:rPr/>
        <w:t>1.6. Иные требования и сведения общего характера</w:t>
      </w:r>
      <w:bookmarkEnd w:id="15"/>
    </w:p>
    <w:p>
      <w:pPr>
        <w:pStyle w:val="Normal"/>
        <w:spacing w:lineRule="auto" w:line="276"/>
        <w:ind w:firstLine="567"/>
        <w:jc w:val="both"/>
        <w:rPr/>
      </w:pPr>
      <w:r>
        <w:rPr/>
        <w:t>Инженерно-геофизические исследования на прибрежной морской акватории проводятся в составе комплексных изысканий по данному объекту.</w:t>
      </w:r>
    </w:p>
    <w:p>
      <w:pPr>
        <w:pStyle w:val="Normal"/>
        <w:spacing w:lineRule="auto" w:line="276"/>
        <w:ind w:firstLine="567"/>
        <w:jc w:val="both"/>
        <w:rPr/>
      </w:pPr>
      <w:r>
        <w:rPr/>
        <w:t>Геофизические исследования выполнить в соответствии с требованиями технических регламентов, указанных в п. 2 настоящих Технических требований.</w:t>
      </w:r>
    </w:p>
    <w:p>
      <w:pPr>
        <w:pStyle w:val="Normal"/>
        <w:spacing w:lineRule="auto" w:line="276"/>
        <w:ind w:firstLine="567"/>
        <w:jc w:val="both"/>
        <w:rPr/>
      </w:pPr>
      <w:r>
        <w:rPr/>
        <w:t>До начала полевых работ собрать (получить) в установленном порядке исходные данные и разработать программу инженерных изысканий. Программу согласовать с Генподрядчиком.</w:t>
      </w:r>
    </w:p>
    <w:p>
      <w:pPr>
        <w:pStyle w:val="Normal"/>
        <w:spacing w:lineRule="auto" w:line="276"/>
        <w:ind w:firstLine="567"/>
        <w:jc w:val="both"/>
        <w:rPr/>
      </w:pPr>
      <w:r>
        <w:rPr/>
        <w:t>При определении состава и объемов работ в составе инженерных изысканий следует  учитывать материалы изученности, в том числе результаты инженерных изысканий прошлых лет. Границы участков размещения проектируемых объектов и сооружений, а также экспликация сооружений указаны в Приложении 1  настоящих Технических требований.</w:t>
      </w:r>
    </w:p>
    <w:p>
      <w:pPr>
        <w:pStyle w:val="Normal"/>
        <w:spacing w:lineRule="auto" w:line="276"/>
        <w:ind w:firstLine="567"/>
        <w:jc w:val="both"/>
        <w:rPr/>
      </w:pPr>
      <w:r>
        <w:rPr/>
        <w:t>Исполнитель инженерных изысканий в рамках договорных обязательств выполняет сопровождение государственной экспертизы проектной документации и материалов инженерных изысканий до получения положительного заключения.</w:t>
      </w:r>
    </w:p>
    <w:p>
      <w:pPr>
        <w:pStyle w:val="Normal"/>
        <w:spacing w:lineRule="auto" w:line="276"/>
        <w:ind w:firstLine="567"/>
        <w:jc w:val="both"/>
        <w:rPr/>
      </w:pPr>
      <w:r>
        <w:rPr/>
      </w:r>
    </w:p>
    <w:p>
      <w:pPr>
        <w:pStyle w:val="1"/>
        <w:ind w:left="737" w:hanging="340"/>
        <w:rPr/>
      </w:pPr>
      <w:bookmarkStart w:id="16" w:name="_Toc51339693"/>
      <w:bookmarkStart w:id="17" w:name="_Toc222907813"/>
      <w:r>
        <w:rPr/>
        <w:t>Требования к продукции</w:t>
      </w:r>
      <w:bookmarkEnd w:id="16"/>
      <w:bookmarkEnd w:id="17"/>
    </w:p>
    <w:p>
      <w:pPr>
        <w:pStyle w:val="4"/>
        <w:numPr>
          <w:ilvl w:val="1"/>
          <w:numId w:val="36"/>
        </w:numPr>
        <w:ind w:firstLine="567"/>
        <w:rPr/>
      </w:pPr>
      <w:bookmarkStart w:id="18" w:name="_Toc222907814"/>
      <w:r>
        <w:rPr/>
        <w:t>Перечень нормативной документации, в соответствии с требованиями которых необходимо выполнить инженерно-</w:t>
      </w:r>
      <w:bookmarkEnd w:id="18"/>
      <w:r>
        <w:rPr/>
        <w:t>геофизические исследования</w:t>
      </w:r>
    </w:p>
    <w:p>
      <w:pPr>
        <w:pStyle w:val="ListParagraph"/>
        <w:widowControl w:val="false"/>
        <w:numPr>
          <w:ilvl w:val="0"/>
          <w:numId w:val="11"/>
        </w:numPr>
        <w:ind w:left="0" w:firstLine="567"/>
        <w:rPr>
          <w:color w:val="7030A0"/>
        </w:rPr>
      </w:pPr>
      <w:r>
        <w:rPr/>
        <w:t xml:space="preserve">ГОСТ 21.301-2021 </w:t>
      </w:r>
      <w:r>
        <w:rPr>
          <w:sz w:val="22"/>
          <w:szCs w:val="22"/>
        </w:rPr>
        <w:t xml:space="preserve">Правила выполнения отчетной технической документации по инженерным изысканиям </w:t>
      </w:r>
      <w:hyperlink r:id="rId2" w:tgtFrame="https://files.stroyinf.ru/Data/769/76969.pdf?ysclid=lda4bsqyfc265697252">
        <w:r>
          <w:rPr/>
          <w:t>https://files.stroyinf.ru/Data/769/76969.pdf?ysclid=lda4bsqyfc265697252</w:t>
        </w:r>
      </w:hyperlink>
    </w:p>
    <w:p>
      <w:pPr>
        <w:pStyle w:val="ListParagraph"/>
        <w:numPr>
          <w:ilvl w:val="0"/>
          <w:numId w:val="10"/>
        </w:numPr>
        <w:ind w:left="0" w:firstLine="567"/>
        <w:jc w:val="both"/>
        <w:rPr>
          <w:color w:val="7030A0"/>
        </w:rPr>
      </w:pPr>
      <w:r>
        <w:rPr/>
        <w:t xml:space="preserve">СП 47.13330.2016 «Инженерные изыскания для строительства. Основные положения»; </w:t>
      </w:r>
      <w:r>
        <w:fldChar w:fldCharType="begin"/>
      </w:r>
      <w:r>
        <w:rPr/>
        <w:instrText> HYPERLINK "http://www.faufcc.ru/technical-regulation-in-constuction/formulary-list/" \l "form"</w:instrText>
      </w:r>
      <w:r>
        <w:rPr/>
        <w:fldChar w:fldCharType="separate"/>
      </w:r>
      <w:r>
        <w:rPr/>
        <w:t>http://www.faufcc.ru/technical-regulation-in-constuction/formulary-list/#form</w:t>
      </w:r>
      <w:r>
        <w:rPr/>
        <w:fldChar w:fldCharType="end"/>
      </w:r>
      <w:r>
        <w:rPr/>
        <w:t>;</w:t>
      </w:r>
    </w:p>
    <w:p>
      <w:pPr>
        <w:pStyle w:val="ListParagraph"/>
        <w:numPr>
          <w:ilvl w:val="0"/>
          <w:numId w:val="10"/>
        </w:numPr>
        <w:ind w:left="0" w:firstLine="567"/>
        <w:jc w:val="both"/>
        <w:rPr>
          <w:color w:val="7030A0"/>
        </w:rPr>
      </w:pPr>
      <w:r>
        <w:rPr/>
        <w:t xml:space="preserve">ГОСТ 21.302-2013 Условные графические обозначения в документации по инженерно-геологическим изысканиям </w:t>
      </w:r>
      <w:hyperlink r:id="rId3" w:tgtFrame="https://docs.cntd.ru/document/1200108745?ysclid=lda4wikohc132886615">
        <w:r>
          <w:rPr/>
          <w:t>https://docs.cntd.ru/document/1200108745?ysclid=lda4wikohc132886615</w:t>
        </w:r>
      </w:hyperlink>
    </w:p>
    <w:p>
      <w:pPr>
        <w:pStyle w:val="ListParagraph"/>
        <w:numPr>
          <w:ilvl w:val="0"/>
          <w:numId w:val="10"/>
        </w:numPr>
        <w:ind w:left="0" w:firstLine="567"/>
        <w:jc w:val="both"/>
        <w:rPr>
          <w:color w:val="7030A0"/>
        </w:rPr>
      </w:pPr>
      <w:r>
        <w:rPr/>
        <w:t xml:space="preserve">СП 446.1325800.2019 «Инженерно-геологические изыскания для строительства. Общие правила производства работ» </w:t>
      </w:r>
      <w:r>
        <w:fldChar w:fldCharType="begin"/>
      </w:r>
      <w:r>
        <w:rPr/>
        <w:instrText> HYPERLINK "http://www.faufcc.ru/technical-regulation-in-constuction/formulary-list/" \l "form"</w:instrText>
      </w:r>
      <w:r>
        <w:rPr/>
        <w:fldChar w:fldCharType="separate"/>
      </w:r>
      <w:r>
        <w:rPr/>
        <w:t>http://www.faufcc.ru/technical-regulation-in-constuction/formulary-list/#form</w:t>
      </w:r>
      <w:r>
        <w:rPr/>
        <w:fldChar w:fldCharType="end"/>
      </w:r>
      <w:r>
        <w:rPr/>
        <w:t>;</w:t>
      </w:r>
    </w:p>
    <w:p>
      <w:pPr>
        <w:pStyle w:val="ListParagraph"/>
        <w:numPr>
          <w:ilvl w:val="0"/>
          <w:numId w:val="10"/>
        </w:numPr>
        <w:ind w:left="0" w:firstLine="567"/>
        <w:jc w:val="both"/>
        <w:rPr>
          <w:color w:val="7030A0"/>
        </w:rPr>
      </w:pPr>
      <w:r>
        <w:rPr/>
        <w:t xml:space="preserve">ГОСТ 25100.2020 Грунты. Классификация </w:t>
      </w:r>
      <w:hyperlink r:id="rId4" w:tgtFrame="https://docs.cntd.ru/document/1200174302?ysclid=lda4yybr49696811453">
        <w:r>
          <w:rPr/>
          <w:t>https://docs.cntd.ru/document/1200174302?ysclid=lda4yybr49696811453</w:t>
        </w:r>
      </w:hyperlink>
    </w:p>
    <w:p>
      <w:pPr>
        <w:pStyle w:val="ListParagraph"/>
        <w:numPr>
          <w:ilvl w:val="0"/>
          <w:numId w:val="10"/>
        </w:numPr>
        <w:ind w:left="0" w:firstLine="567"/>
        <w:jc w:val="both"/>
        <w:rPr/>
      </w:pPr>
      <w:r>
        <w:rPr/>
        <w:t>ГОСТ 20522-2012 Грунты. Методы статистической обработки результатов испытаний</w:t>
      </w:r>
    </w:p>
    <w:p>
      <w:pPr>
        <w:pStyle w:val="ListParagraph"/>
        <w:ind w:left="567" w:hanging="0"/>
        <w:jc w:val="both"/>
        <w:rPr/>
      </w:pPr>
      <w:hyperlink r:id="rId5" w:tgtFrame="https://docs.cntd.ru/document/1200096130?ysclid=lda50plh9259717319">
        <w:r>
          <w:rPr/>
          <w:t>https://docs.cntd.ru/document/1200096130?ysclid=lda50plh9259717319</w:t>
        </w:r>
      </w:hyperlink>
    </w:p>
    <w:p>
      <w:pPr>
        <w:pStyle w:val="4"/>
        <w:numPr>
          <w:ilvl w:val="1"/>
          <w:numId w:val="37"/>
        </w:numPr>
        <w:ind w:firstLine="567"/>
        <w:rPr/>
      </w:pPr>
      <w:bookmarkStart w:id="19" w:name="_Toc222907815"/>
      <w:r>
        <w:rPr/>
        <w:t>Требования к объемам и срокам выполнения работ</w:t>
      </w:r>
      <w:bookmarkEnd w:id="19"/>
    </w:p>
    <w:p>
      <w:pPr>
        <w:pStyle w:val="3"/>
        <w:numPr>
          <w:ilvl w:val="2"/>
          <w:numId w:val="38"/>
        </w:numPr>
        <w:ind w:firstLine="567"/>
        <w:rPr/>
      </w:pPr>
      <w:bookmarkStart w:id="20" w:name="_Toc222907816"/>
      <w:r>
        <w:rPr/>
        <w:t>Требования к видам и объемам работ</w:t>
      </w:r>
      <w:bookmarkEnd w:id="20"/>
    </w:p>
    <w:p>
      <w:pPr>
        <w:pStyle w:val="Normal"/>
        <w:rPr>
          <w:b/>
          <w:b/>
        </w:rPr>
      </w:pPr>
      <w:bookmarkStart w:id="21" w:name="_Toc51339695"/>
      <w:r>
        <w:rPr>
          <w:b/>
        </w:rPr>
        <w:t xml:space="preserve">Таблица 2. Перечень </w:t>
      </w:r>
      <w:bookmarkEnd w:id="21"/>
      <w:r>
        <w:rPr>
          <w:b/>
        </w:rPr>
        <w:t>и объем выполняемых работ</w:t>
      </w:r>
    </w:p>
    <w:tbl>
      <w:tblPr>
        <w:tblW w:w="981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3"/>
        <w:gridCol w:w="2118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работ / этапа работ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Единица измерения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  <w:t>Инженерно-геофизические исследования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  <w:t>Условная единица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567"/>
        <w:rPr>
          <w:bCs/>
          <w:i/>
          <w:i/>
          <w:szCs w:val="24"/>
          <w:shd w:fill="FFFF99" w:val="clear"/>
        </w:rPr>
      </w:pPr>
      <w:r>
        <w:rPr>
          <w:bCs/>
          <w:i/>
          <w:szCs w:val="24"/>
          <w:shd w:fill="FFFF99" w:val="clear"/>
        </w:rPr>
      </w:r>
    </w:p>
    <w:p>
      <w:pPr>
        <w:pStyle w:val="3"/>
        <w:numPr>
          <w:ilvl w:val="2"/>
          <w:numId w:val="39"/>
        </w:numPr>
        <w:ind w:firstLine="567"/>
        <w:rPr/>
      </w:pPr>
      <w:bookmarkStart w:id="22" w:name="_Toc222907817"/>
      <w:bookmarkStart w:id="23" w:name="_Toc51339696"/>
      <w:r>
        <w:rPr/>
        <w:t xml:space="preserve">Требования </w:t>
      </w:r>
      <w:bookmarkEnd w:id="23"/>
      <w:r>
        <w:rPr/>
        <w:t>к срокам выполнения работ</w:t>
      </w:r>
      <w:bookmarkEnd w:id="22"/>
    </w:p>
    <w:p>
      <w:pPr>
        <w:pStyle w:val="Normal"/>
        <w:rPr>
          <w:b/>
          <w:b/>
        </w:rPr>
      </w:pPr>
      <w:bookmarkStart w:id="24" w:name="_Toc50125127"/>
      <w:bookmarkStart w:id="25" w:name="_Toc51339697"/>
      <w:bookmarkStart w:id="26" w:name="_Toc501251261"/>
      <w:bookmarkEnd w:id="26"/>
      <w:r>
        <w:rPr>
          <w:b/>
        </w:rPr>
        <w:t xml:space="preserve">Таблица 3. </w:t>
      </w:r>
      <w:bookmarkStart w:id="27" w:name="_Hlk50465284"/>
      <w:r>
        <w:rPr>
          <w:b/>
        </w:rPr>
        <w:t xml:space="preserve">Требования по срокам </w:t>
      </w:r>
      <w:bookmarkEnd w:id="24"/>
      <w:bookmarkEnd w:id="25"/>
      <w:bookmarkEnd w:id="27"/>
      <w:r>
        <w:rPr>
          <w:b/>
        </w:rPr>
        <w:t>выполнения работ</w:t>
      </w:r>
    </w:p>
    <w:tbl>
      <w:tblPr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2"/>
        <w:gridCol w:w="2985"/>
        <w:gridCol w:w="2977"/>
        <w:gridCol w:w="3116"/>
      </w:tblGrid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r>
              <w:rPr>
                <w:szCs w:val="24"/>
              </w:rPr>
              <w:t>п/п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работ/ этапа работ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 w:themeColor="text1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keepNext w:val="false"/>
              <w:widowControl w:val="false"/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bookmarkStart w:id="28" w:name="_Toc46743510"/>
            <w:r>
              <w:rPr>
                <w:b/>
                <w:color w:val="000000" w:themeColor="text1"/>
                <w:sz w:val="24"/>
                <w:szCs w:val="24"/>
              </w:rPr>
              <w:t>4</w:t>
            </w:r>
            <w:bookmarkEnd w:id="28"/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bidi w:val="0"/>
              <w:spacing w:before="0" w:after="0"/>
              <w:ind w:left="113" w:right="0" w:hanging="0"/>
              <w:contextualSpacing/>
              <w:jc w:val="left"/>
              <w:rPr/>
            </w:pPr>
            <w:r>
              <w:rPr/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Инженерно-геофизические исследования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</w:rPr>
              <w:t>С даты, следующей за датой заключения Договора.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 месяц с даты заключения договора</w:t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w="11906" w:h="16838"/>
          <w:pgMar w:left="1134" w:right="707" w:header="680" w:top="1134" w:footer="0" w:bottom="709" w:gutter="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4"/>
        <w:numPr>
          <w:ilvl w:val="1"/>
          <w:numId w:val="40"/>
        </w:numPr>
        <w:ind w:firstLine="567"/>
        <w:rPr/>
      </w:pPr>
      <w:bookmarkStart w:id="29" w:name="_Toc222907818"/>
      <w:r>
        <w:rPr/>
        <w:t>Требования к качеству работ</w:t>
      </w:r>
      <w:bookmarkEnd w:id="29"/>
    </w:p>
    <w:p>
      <w:pPr>
        <w:pStyle w:val="Normal"/>
        <w:rPr>
          <w:b/>
          <w:b/>
        </w:rPr>
      </w:pPr>
      <w:bookmarkStart w:id="30" w:name="_Toc51339698"/>
      <w:r>
        <w:rPr>
          <w:b/>
        </w:rPr>
        <w:t xml:space="preserve">Таблица 4. Требования к </w:t>
      </w:r>
      <w:bookmarkEnd w:id="30"/>
      <w:r>
        <w:rPr>
          <w:b/>
        </w:rPr>
        <w:t xml:space="preserve">качеству работ </w:t>
      </w:r>
    </w:p>
    <w:p>
      <w:pPr>
        <w:pStyle w:val="Normal"/>
        <w:rPr>
          <w:b/>
          <w:b/>
          <w:szCs w:val="24"/>
        </w:rPr>
      </w:pPr>
      <w:r>
        <w:rPr>
          <w:b/>
          <w:bCs/>
          <w:szCs w:val="24"/>
        </w:rPr>
        <w:t>Наименование работ:</w:t>
      </w:r>
      <w:r>
        <w:rPr/>
        <w:t xml:space="preserve"> </w:t>
      </w:r>
      <w:r>
        <w:rPr>
          <w:b/>
          <w:bCs/>
          <w:szCs w:val="24"/>
        </w:rPr>
        <w:t xml:space="preserve">Проведение инженерно-геофизических исследований на прибрежной морской акватории по титулу: «Прямоточная система технического водоснабжения с морским водозабором ковшового типа по объекту «Строительство Сахалинской ГРЭС-2 (расширение)». </w:t>
      </w:r>
    </w:p>
    <w:tbl>
      <w:tblPr>
        <w:tblW w:w="1502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88"/>
        <w:gridCol w:w="2846"/>
        <w:gridCol w:w="4930"/>
        <w:gridCol w:w="1859"/>
        <w:gridCol w:w="2239"/>
        <w:gridCol w:w="2163"/>
      </w:tblGrid>
      <w:tr>
        <w:trPr/>
        <w:tc>
          <w:tcPr>
            <w:tcW w:w="988" w:type="dxa"/>
            <w:vMerge w:val="restart"/>
            <w:tcBorders/>
          </w:tcPr>
          <w:p>
            <w:pPr>
              <w:pStyle w:val="Normal"/>
              <w:widowControl w:val="false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№ </w:t>
            </w:r>
            <w:r>
              <w:rPr>
                <w:b/>
                <w:bCs/>
                <w:szCs w:val="24"/>
              </w:rPr>
              <w:t>п/п</w:t>
            </w:r>
          </w:p>
        </w:tc>
        <w:tc>
          <w:tcPr>
            <w:tcW w:w="284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Наименование параметра</w:t>
            </w:r>
          </w:p>
        </w:tc>
        <w:tc>
          <w:tcPr>
            <w:tcW w:w="493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Требование Генподрядчика</w:t>
            </w:r>
          </w:p>
        </w:tc>
        <w:tc>
          <w:tcPr>
            <w:tcW w:w="40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Способ подтверждения участником соответствия требованиям</w:t>
            </w:r>
          </w:p>
        </w:tc>
        <w:tc>
          <w:tcPr>
            <w:tcW w:w="216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988" w:type="dxa"/>
            <w:vMerge w:val="continue"/>
            <w:tcBorders/>
          </w:tcPr>
          <w:p>
            <w:pPr>
              <w:pStyle w:val="Normal"/>
              <w:widowControl w:val="false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</w:r>
          </w:p>
        </w:tc>
        <w:tc>
          <w:tcPr>
            <w:tcW w:w="284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</w:r>
          </w:p>
        </w:tc>
        <w:tc>
          <w:tcPr>
            <w:tcW w:w="493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</w:r>
          </w:p>
        </w:tc>
        <w:tc>
          <w:tcPr>
            <w:tcW w:w="1859" w:type="dxa"/>
            <w:tcBorders/>
            <w:vAlign w:val="center"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Согласие с требованием/ указание характеристик</w:t>
            </w:r>
          </w:p>
        </w:tc>
        <w:tc>
          <w:tcPr>
            <w:tcW w:w="2239" w:type="dxa"/>
            <w:tcBorders/>
            <w:vAlign w:val="center"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Предоставление подтверждающего документа или иной способ подтверждения</w:t>
            </w:r>
          </w:p>
        </w:tc>
        <w:tc>
          <w:tcPr>
            <w:tcW w:w="216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</w:r>
          </w:p>
        </w:tc>
      </w:tr>
      <w:tr>
        <w:trPr/>
        <w:tc>
          <w:tcPr>
            <w:tcW w:w="988" w:type="dxa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b/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2846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4930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1859" w:type="dxa"/>
            <w:tcBorders/>
            <w:vAlign w:val="center"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4</w:t>
            </w:r>
          </w:p>
        </w:tc>
        <w:tc>
          <w:tcPr>
            <w:tcW w:w="2239" w:type="dxa"/>
            <w:tcBorders/>
            <w:vAlign w:val="center"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5</w:t>
            </w:r>
          </w:p>
        </w:tc>
        <w:tc>
          <w:tcPr>
            <w:tcW w:w="2163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bidi w:val="0"/>
              <w:spacing w:before="60" w:after="60"/>
              <w:ind w:left="113" w:right="0" w:hanging="0"/>
              <w:contextualSpacing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7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Требования к выполнению работ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-//-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hanging="0"/>
              <w:contextualSpacing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77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Общие требования к выполнению работ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spacing w:before="60" w:after="60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5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846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Инженерно-геофизические исследования</w:t>
            </w:r>
          </w:p>
        </w:tc>
        <w:tc>
          <w:tcPr>
            <w:tcW w:w="4930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Состав, методики, технологии и объемы работ определить в соответствии с требованиями</w:t>
            </w:r>
          </w:p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- СП 47.13330.2016,</w:t>
            </w:r>
          </w:p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- СП  446.1325800.2019, и обосновать в программе изысканий и согласовать с проектной организацией.</w:t>
            </w:r>
          </w:p>
        </w:tc>
        <w:tc>
          <w:tcPr>
            <w:tcW w:w="1859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239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</w:t>
            </w:r>
          </w:p>
        </w:tc>
        <w:tc>
          <w:tcPr>
            <w:tcW w:w="2163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7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Требования к организации работ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-//-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5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8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Cs w:val="24"/>
              </w:rPr>
            </w:pPr>
            <w:r>
              <w:rPr>
                <w:szCs w:val="24"/>
              </w:rPr>
              <w:t>Инженерно-геофизические исследования</w:t>
            </w:r>
          </w:p>
        </w:tc>
        <w:tc>
          <w:tcPr>
            <w:tcW w:w="49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525" w:leader="none"/>
                <w:tab w:val="left" w:pos="849" w:leader="none"/>
              </w:tabs>
              <w:jc w:val="both"/>
              <w:rPr>
                <w:rFonts w:eastAsia="Calibri"/>
                <w:b/>
                <w:b/>
                <w:szCs w:val="24"/>
              </w:rPr>
            </w:pPr>
            <w:r>
              <w:rPr/>
              <w:t>Состав и объем инженерно-геологических изысканий определить согласно требованиям СП 47.13330.2016; СП 446.1325800.2019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Fonts w:eastAsia="Calibri"/>
                <w:b/>
                <w:b/>
                <w:szCs w:val="24"/>
              </w:rPr>
            </w:pPr>
            <w:r>
              <w:rPr/>
              <w:t>Объем работ обосновать в программе работ.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Fonts w:eastAsia="Calibri"/>
                <w:b/>
                <w:b/>
                <w:szCs w:val="24"/>
              </w:rPr>
            </w:pPr>
            <w:r>
              <w:rPr/>
              <w:t>Инженерно-геофизические исследования должны включать следующие виды работ: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25" w:leader="none"/>
                <w:tab w:val="left" w:pos="849" w:leader="none"/>
              </w:tabs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1. Выполнить сбор материалов геофизических исследования прошлых лет, оценить возможность их использования при выполнении настоящих исследований в соответствии СП 47.13330.2016.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25" w:leader="none"/>
                <w:tab w:val="left" w:pos="849" w:leader="none"/>
              </w:tabs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 </w:t>
            </w:r>
            <w:r>
              <w:rPr>
                <w:szCs w:val="24"/>
                <w:lang w:eastAsia="ar-SA"/>
              </w:rPr>
              <w:t>2. Выполнить полевые геофизические исследования сейсмоакустическим методом в границах изысканий.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25" w:leader="none"/>
                <w:tab w:val="left" w:pos="849" w:leader="none"/>
              </w:tabs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3. Профили геофизических исследований должны иметь направления параллельно и вкрест береговой линии и проходить вблизи (в радиусе до 10 метров) скважин (по 1-2 скважины на профиль.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25" w:leader="none"/>
                <w:tab w:val="left" w:pos="849" w:leader="none"/>
              </w:tabs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4. Для выполнения геофизических исследований необходимы работы судна сопровождения и по инженерно-геодезическому сопровождению, требуется наличие понтона. Судно должно отвечать следующим техническим требованиям: максимальная осадка до 2 метров, водоизмещение до 70 т. Понтон должен иметь размеры, достаточные для размещения геофизического оборудования свыше 60 кв. м, а также устройства для его буксировки.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25" w:leader="none"/>
                <w:tab w:val="left" w:pos="849" w:leader="none"/>
              </w:tabs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5. Количество профилей и расстояние между ними обосновать в программе работ с учетом требований СП 446.1325800.2019.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25" w:leader="none"/>
                <w:tab w:val="left" w:pos="849" w:leader="none"/>
              </w:tabs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6. Составить технический отчет по результатам инженерно-геофизических исследований в составе на прибрежной морской акватории в соответствии с требованиями СП 47.13330.2016, СП 446.1325800.2019. В составе камеральной обработки полевых работ предусмотреть увязку результатов с результатами инженерно-геологических изысканий на суше (предоставляются Генподрядчиком) в рамках комплексных изысканий по данному объекту.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7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-//-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0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8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Cs w:val="24"/>
              </w:rPr>
            </w:pPr>
            <w:r>
              <w:rPr>
                <w:szCs w:val="24"/>
              </w:rPr>
              <w:t>Инженерно-геофизические исследования</w:t>
            </w:r>
          </w:p>
        </w:tc>
        <w:tc>
          <w:tcPr>
            <w:tcW w:w="4930" w:type="dxa"/>
            <w:tcBorders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Применяемые методы геофизических исследований должны соответствовать требованиям СП 47.13330.2016. Используемое оборудование должно иметь соответствующие поверки или сертификаты.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7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Требования к контролю качества работ и материалов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-//-</w:t>
            </w:r>
          </w:p>
        </w:tc>
      </w:tr>
      <w:tr>
        <w:trPr/>
        <w:tc>
          <w:tcPr>
            <w:tcW w:w="98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0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8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Cs w:val="24"/>
              </w:rPr>
            </w:pPr>
            <w:r>
              <w:rPr>
                <w:szCs w:val="24"/>
              </w:rPr>
              <w:t>Требования к обеспечению контроля качества при выполнении геофизических исследований</w:t>
            </w:r>
          </w:p>
        </w:tc>
        <w:tc>
          <w:tcPr>
            <w:tcW w:w="4930" w:type="dxa"/>
            <w:tcBorders/>
          </w:tcPr>
          <w:p>
            <w:pPr>
              <w:pStyle w:val="Normal"/>
              <w:widowControl w:val="false"/>
              <w:spacing w:before="0" w:after="60"/>
              <w:rPr>
                <w:bCs/>
                <w:szCs w:val="24"/>
              </w:rPr>
            </w:pPr>
            <w:r>
              <w:rPr>
                <w:bCs/>
                <w:szCs w:val="24"/>
              </w:rPr>
              <w:t>Требования устанавливаются в соответствии с требованиями п.4.9, п.4.10 СП 47.13330.2016 с соблюдением всех требований ГОСТ для каждого вида работ.</w:t>
            </w:r>
          </w:p>
          <w:p>
            <w:pPr>
              <w:pStyle w:val="Normal"/>
              <w:widowControl w:val="false"/>
              <w:spacing w:before="0" w:after="60"/>
              <w:rPr>
                <w:bCs/>
                <w:szCs w:val="24"/>
              </w:rPr>
            </w:pPr>
            <w:r>
              <w:rPr>
                <w:bCs/>
                <w:szCs w:val="24"/>
              </w:rPr>
              <w:t>Организация, выполняющая инженерно-геофизические исследования, должна вести учет средств измерений, подлежащих поверке в установленном порядке.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7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-//-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0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8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Cs w:val="24"/>
              </w:rPr>
            </w:pPr>
            <w:r>
              <w:rPr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4930" w:type="dxa"/>
            <w:tcBorders/>
          </w:tcPr>
          <w:p>
            <w:pPr>
              <w:pStyle w:val="ListParagraph"/>
              <w:widowControl w:val="false"/>
              <w:ind w:left="-20" w:hanging="0"/>
              <w:rPr>
                <w:b/>
                <w:b/>
              </w:rPr>
            </w:pPr>
            <w:r>
              <w:rPr/>
              <w:t>1.</w:t>
              <w:tab/>
              <w:t>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т.ч. законодательство о недрах, охране окружающей 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сфере деятельности;</w:t>
            </w:r>
          </w:p>
          <w:p>
            <w:pPr>
              <w:pStyle w:val="ListParagraph"/>
              <w:widowControl w:val="false"/>
              <w:ind w:left="-20" w:hanging="0"/>
              <w:rPr>
                <w:b/>
                <w:b/>
              </w:rPr>
            </w:pPr>
            <w:r>
              <w:rPr/>
              <w:t>2.</w:t>
              <w:tab/>
              <w:t>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</w:t>
            </w:r>
          </w:p>
        </w:tc>
        <w:tc>
          <w:tcPr>
            <w:tcW w:w="2163" w:type="dxa"/>
            <w:tcBorders/>
          </w:tcPr>
          <w:p>
            <w:pPr>
              <w:pStyle w:val="Style4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b w:val="false"/>
              </w:rPr>
            </w:pPr>
            <w:r>
              <w:rPr>
                <w:rFonts w:eastAsia="Times New Roman"/>
                <w:b w:val="false"/>
              </w:rPr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bidi w:val="0"/>
              <w:spacing w:before="60" w:after="60"/>
              <w:ind w:left="0" w:right="0" w:hanging="0"/>
              <w:contextualSpacing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7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Требования к результатам работ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-//-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7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Общие требования к результатам работ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-//-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0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846" w:type="dxa"/>
            <w:tcBorders/>
          </w:tcPr>
          <w:p>
            <w:pPr>
              <w:pStyle w:val="Normal"/>
              <w:widowControl w:val="false"/>
              <w:ind w:right="57" w:hanging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Инженерно-геофизические исследования</w:t>
            </w:r>
          </w:p>
        </w:tc>
        <w:tc>
          <w:tcPr>
            <w:tcW w:w="49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ind w:left="72" w:hanging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Состав технического отчета должен соответствовать требованиям СП 47.13330.2016.  Срок представления отчета - в соответствии с календарным планом к договору.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ind w:left="72" w:hanging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Порядок представления - на бумажном носителе в 4 экз. и на электронном носителе (CD) в 2 экз. (формат pdf) с учетом требований Приказа Минстроя от 21 ноября 2014 г. N 728/пр.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ind w:left="72" w:hanging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Представить также исходные форматы материалов: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ind w:left="72" w:hanging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- графический материал –dwg;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ind w:left="72" w:hanging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- текстовый материал – doc, xls.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7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eastAsia="Calibri"/>
                <w:b/>
                <w:b/>
                <w:szCs w:val="24"/>
              </w:rPr>
            </w:pPr>
            <w:r>
              <w:rPr>
                <w:b/>
                <w:szCs w:val="24"/>
              </w:rP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-//-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bidi w:val="0"/>
              <w:spacing w:before="60" w:after="60"/>
              <w:ind w:left="0" w:right="0" w:hanging="0"/>
              <w:contextualSpacing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8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Не требуется</w:t>
            </w:r>
          </w:p>
        </w:tc>
        <w:tc>
          <w:tcPr>
            <w:tcW w:w="4930" w:type="dxa"/>
            <w:tcBorders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7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rPr>
                <w:bCs/>
                <w:szCs w:val="24"/>
              </w:rPr>
            </w:pPr>
            <w:r>
              <w:rPr>
                <w:b/>
                <w:bCs/>
                <w:szCs w:val="24"/>
              </w:rPr>
              <w:t>Требования к порядку приемки результатов работ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-//-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bidi w:val="0"/>
              <w:spacing w:before="60" w:after="60"/>
              <w:ind w:left="-57" w:right="0" w:hanging="0"/>
              <w:contextualSpacing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8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Cs w:val="24"/>
              </w:rPr>
            </w:pPr>
            <w:r>
              <w:rPr>
                <w:szCs w:val="24"/>
              </w:rPr>
              <w:t>Порядок приемки</w:t>
            </w:r>
          </w:p>
        </w:tc>
        <w:tc>
          <w:tcPr>
            <w:tcW w:w="49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Cs w:val="24"/>
              </w:rPr>
            </w:pPr>
            <w:r>
              <w:rPr>
                <w:szCs w:val="24"/>
              </w:rPr>
              <w:t>В соответствии с условиями проекта договора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7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Требования к оформлению документации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-//-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bidi w:val="0"/>
              <w:spacing w:before="60" w:after="60"/>
              <w:ind w:left="-113" w:right="0" w:hanging="0"/>
              <w:contextualSpacing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846" w:type="dxa"/>
            <w:tcBorders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Оформление документации</w:t>
            </w:r>
          </w:p>
        </w:tc>
        <w:tc>
          <w:tcPr>
            <w:tcW w:w="4930" w:type="dxa"/>
            <w:tcBorders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  <w:u w:val="single"/>
              </w:rPr>
              <w:t>ГОСТ 21.301-2021</w:t>
            </w:r>
            <w:r>
              <w:rPr>
                <w:sz w:val="22"/>
                <w:szCs w:val="22"/>
              </w:rPr>
              <w:t xml:space="preserve">  Правила выполнения отчетной технической документации по инженерным изысканиям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</w:t>
            </w:r>
          </w:p>
        </w:tc>
        <w:tc>
          <w:tcPr>
            <w:tcW w:w="2163" w:type="dxa"/>
            <w:tcBorders/>
          </w:tcPr>
          <w:p>
            <w:pPr>
              <w:pStyle w:val="Style4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/>
            </w:pPr>
            <w:r>
              <w:rPr/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bidi w:val="0"/>
              <w:spacing w:before="60" w:after="60"/>
              <w:ind w:left="0" w:right="0" w:hanging="0"/>
              <w:contextualSpacing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7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40" w:after="0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Требования к соблюдению положений нормативной и иной обязательной для Субодрядчика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-//-</w:t>
            </w:r>
          </w:p>
        </w:tc>
      </w:tr>
      <w:tr>
        <w:trPr>
          <w:trHeight w:val="63" w:hRule="atLeast"/>
        </w:trPr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0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8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Cs w:val="24"/>
              </w:rPr>
            </w:pPr>
            <w:r>
              <w:rPr>
                <w:szCs w:val="24"/>
              </w:rPr>
              <w:t>Инженерно-геофизические исследования</w:t>
            </w:r>
          </w:p>
        </w:tc>
        <w:tc>
          <w:tcPr>
            <w:tcW w:w="4930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340" w:leader="none"/>
              </w:tabs>
              <w:ind w:left="0" w:firstLine="198"/>
              <w:rPr>
                <w:color w:val="7030A0"/>
              </w:rPr>
            </w:pPr>
            <w:r>
              <w:rPr/>
              <w:t>ГОСТ 21.301-2021 Правила выполнения отчетной технической документации по инженерным изысканиям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340" w:leader="none"/>
              </w:tabs>
              <w:ind w:left="0" w:firstLine="198"/>
              <w:rPr>
                <w:color w:val="7030A0"/>
              </w:rPr>
            </w:pPr>
            <w:r>
              <w:rPr/>
              <w:t>СП 47.13330.2016 «Инженерные изыскания для строительства. Основные положения»;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340" w:leader="none"/>
              </w:tabs>
              <w:ind w:left="0" w:firstLine="198"/>
              <w:rPr>
                <w:color w:val="7030A0"/>
              </w:rPr>
            </w:pPr>
            <w:r>
              <w:rPr/>
              <w:t>ГОСТ 21.302-2013 Условные графические обозначения в документации по инженерно-геологическим изысканиям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340" w:leader="none"/>
              </w:tabs>
              <w:ind w:left="0" w:firstLine="198"/>
              <w:rPr>
                <w:color w:val="7030A0"/>
              </w:rPr>
            </w:pPr>
            <w:r>
              <w:rPr/>
              <w:t>СП 446.1325800.2019 «Инженерно-геологические изыскания для строительства. Общие правила производства работ»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340" w:leader="none"/>
              </w:tabs>
              <w:ind w:left="0" w:firstLine="198"/>
              <w:rPr>
                <w:color w:val="7030A0"/>
              </w:rPr>
            </w:pPr>
            <w:r>
              <w:rPr/>
              <w:t>ГОСТ 25100.2020 Грунты. Классификация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340" w:leader="none"/>
              </w:tabs>
              <w:ind w:left="0" w:firstLine="198"/>
              <w:rPr>
                <w:b/>
                <w:b/>
              </w:rPr>
            </w:pPr>
            <w:r>
              <w:rPr/>
              <w:t>ГОСТ 20522-2012 Грунты. Методы статистической обработки результатов испытаний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340" w:leader="none"/>
              </w:tabs>
              <w:ind w:left="0" w:firstLine="198"/>
              <w:rPr>
                <w:color w:val="4472C4"/>
              </w:rPr>
            </w:pPr>
            <w:r>
              <w:rPr/>
              <w:t>ГОСТ 23278-2014. Грунты. Методы полевых испытаний проницаемости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</w:t>
            </w:r>
          </w:p>
        </w:tc>
        <w:tc>
          <w:tcPr>
            <w:tcW w:w="2163" w:type="dxa"/>
            <w:tcBorders/>
          </w:tcPr>
          <w:p>
            <w:pPr>
              <w:pStyle w:val="Style4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/>
            </w:pPr>
            <w:r>
              <w:rPr/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bidi w:val="0"/>
              <w:spacing w:before="60" w:after="60"/>
              <w:ind w:left="57" w:right="0" w:hanging="0"/>
              <w:contextualSpacing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7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Требования к субподрядчику и его обязательствам, влияющим на исполнение договора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-//-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0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846" w:type="dxa"/>
            <w:tcBorders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Инженерно-геофизические исследования</w:t>
            </w:r>
          </w:p>
        </w:tc>
        <w:tc>
          <w:tcPr>
            <w:tcW w:w="4930" w:type="dxa"/>
            <w:tcBorders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- Субподрядчк самостоятельно получает все необходимые разрешения и согласования, необходимые при геофизических исследованиях на морском шельфе.</w:t>
            </w:r>
          </w:p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- Субподрядчки инженерно-геофизических исследований в рамках договорных обязательств выполняет сопровождение государственной экспертизы проектной документации и материалов инженерных изысканий до получения положительного заключения.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</w:t>
            </w:r>
          </w:p>
        </w:tc>
        <w:tc>
          <w:tcPr>
            <w:tcW w:w="2163" w:type="dxa"/>
            <w:tcBorders/>
          </w:tcPr>
          <w:p>
            <w:pPr>
              <w:pStyle w:val="Style4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/>
            </w:pPr>
            <w:r>
              <w:rPr/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ind w:left="720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7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Прочие требования к выполняемым работам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-//-</w:t>
            </w:r>
          </w:p>
        </w:tc>
        <w:tc>
          <w:tcPr>
            <w:tcW w:w="2163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-//-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hanging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846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Требования к оценке и прогнозу возможных изменений природных и техногенных условий территории изысканий</w:t>
            </w:r>
          </w:p>
        </w:tc>
        <w:tc>
          <w:tcPr>
            <w:tcW w:w="4930" w:type="dxa"/>
            <w:tcBorders/>
            <w:vAlign w:val="center"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 В материалах инженерных изысканий представить прогноз изменений инженерно-геологических условий участка строительства проектируемых сооружений в период строительства и эксплуатации с детальностью необходимой и достаточной для разработки проектных решений в соответствии с СП 47.13330.2016. В случае выявления неблагоприятных природных и техногенных условий площадки строительства, разработать программу мониторинга неблагоприятных природных и техногенных процессов.</w:t>
            </w:r>
          </w:p>
        </w:tc>
        <w:tc>
          <w:tcPr>
            <w:tcW w:w="185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239" w:type="dxa"/>
            <w:tcBorders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Cs w:val="24"/>
              </w:rPr>
            </w:pPr>
            <w:r>
              <w:rPr/>
              <w:t>-</w:t>
            </w:r>
          </w:p>
        </w:tc>
        <w:tc>
          <w:tcPr>
            <w:tcW w:w="2163" w:type="dxa"/>
            <w:tcBorders/>
          </w:tcPr>
          <w:p>
            <w:pPr>
              <w:pStyle w:val="Style4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/>
            </w:pPr>
            <w:r>
              <w:rPr/>
            </w:r>
          </w:p>
        </w:tc>
      </w:tr>
    </w:tbl>
    <w:p>
      <w:pPr>
        <w:sectPr>
          <w:headerReference w:type="default" r:id="rId8"/>
          <w:headerReference w:type="first" r:id="rId9"/>
          <w:type w:val="nextPage"/>
          <w:pgSz w:orient="landscape" w:w="16838" w:h="11906"/>
          <w:pgMar w:left="993" w:right="707" w:header="680" w:top="851" w:footer="0" w:bottom="851" w:gutter="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jc w:val="right"/>
        <w:rPr>
          <w:szCs w:val="24"/>
        </w:rPr>
      </w:pPr>
      <w:r>
        <w:rPr>
          <w:szCs w:val="24"/>
        </w:rPr>
      </w:r>
    </w:p>
    <w:p>
      <w:pPr>
        <w:pStyle w:val="1"/>
        <w:numPr>
          <w:ilvl w:val="0"/>
          <w:numId w:val="0"/>
        </w:numPr>
        <w:tabs>
          <w:tab w:val="clear" w:pos="708"/>
          <w:tab w:val="left" w:pos="0" w:leader="none"/>
        </w:tabs>
        <w:spacing w:before="120" w:after="60"/>
        <w:ind w:left="1134" w:hanging="0"/>
        <w:rPr>
          <w:i/>
          <w:i/>
          <w:szCs w:val="24"/>
        </w:rPr>
      </w:pPr>
      <w:r>
        <w:rPr>
          <w:iCs/>
        </w:rPr>
        <w:t xml:space="preserve">3. </w:t>
      </w:r>
      <w:bookmarkStart w:id="31" w:name="_Toc53393312"/>
      <w:bookmarkStart w:id="32" w:name="_Toc54646411"/>
      <w:r>
        <w:rPr>
          <w:iCs/>
        </w:rPr>
        <w:t>Требования к документации по ценообразованию</w:t>
      </w:r>
      <w:bookmarkEnd w:id="31"/>
      <w:bookmarkEnd w:id="32"/>
      <w:r>
        <w:rPr>
          <w:iCs/>
        </w:rPr>
        <w:t xml:space="preserve"> на этапе закупки</w:t>
      </w:r>
    </w:p>
    <w:p>
      <w:pPr>
        <w:pStyle w:val="1"/>
        <w:numPr>
          <w:ilvl w:val="0"/>
          <w:numId w:val="0"/>
        </w:numPr>
        <w:ind w:left="1134" w:hanging="0"/>
        <w:rPr>
          <w:i/>
          <w:i/>
          <w:szCs w:val="24"/>
        </w:rPr>
      </w:pPr>
      <w:r>
        <w:rPr>
          <w:i/>
          <w:szCs w:val="24"/>
        </w:rPr>
      </w:r>
    </w:p>
    <w:p>
      <w:pPr>
        <w:pStyle w:val="Normal"/>
        <w:spacing w:lineRule="auto" w:line="276" w:before="0" w:after="0"/>
        <w:ind w:left="-57" w:hanging="0"/>
        <w:contextualSpacing/>
        <w:jc w:val="both"/>
        <w:rPr>
          <w:b/>
          <w:b/>
          <w:i/>
          <w:i/>
          <w:szCs w:val="24"/>
        </w:rPr>
      </w:pPr>
      <w:r>
        <w:rPr>
          <w:rFonts w:eastAsia="Calibri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 В стоимость выполнения работ должны быть включены все затраты и расходные материалы, необходимые для выполнения работ согласно Техническим требованиям, любые другие сопутствующие расходы Субподрядчика, все налоги, сборы и другие обязательные платежи.</w:t>
      </w:r>
    </w:p>
    <w:p>
      <w:pPr>
        <w:pStyle w:val="Normal"/>
        <w:spacing w:lineRule="auto" w:line="276" w:before="0" w:after="0"/>
        <w:ind w:left="-57" w:hanging="0"/>
        <w:contextualSpacing/>
        <w:jc w:val="both"/>
        <w:rPr>
          <w:b/>
          <w:b/>
          <w:i/>
          <w:i/>
          <w:szCs w:val="24"/>
        </w:rPr>
      </w:pPr>
      <w:r>
        <w:rPr>
          <w:rFonts w:eastAsia="Calibri"/>
          <w:szCs w:val="24"/>
        </w:rPr>
        <w:t>3.2. Дополнительные документы по ценообразованию (сметная документация) в состав заявки Участника не включается.</w:t>
      </w:r>
    </w:p>
    <w:p>
      <w:pPr>
        <w:pStyle w:val="Normal"/>
        <w:spacing w:lineRule="auto" w:line="276" w:before="0" w:after="0"/>
        <w:ind w:left="425" w:hanging="0"/>
        <w:contextualSpacing/>
        <w:jc w:val="both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1"/>
        <w:numPr>
          <w:ilvl w:val="0"/>
          <w:numId w:val="0"/>
        </w:numPr>
        <w:ind w:left="1134" w:hanging="0"/>
        <w:rPr>
          <w:i/>
          <w:i/>
          <w:szCs w:val="24"/>
        </w:rPr>
      </w:pPr>
      <w:bookmarkStart w:id="33" w:name="__RefHeading___Toc7349_984014236"/>
      <w:bookmarkEnd w:id="33"/>
      <w:r>
        <w:rPr/>
        <w:t xml:space="preserve">4. </w:t>
      </w:r>
      <w:bookmarkStart w:id="34" w:name="_Toc54646412"/>
      <w:bookmarkEnd w:id="34"/>
      <w:r>
        <w:rPr/>
        <w:t>Требования к документации по ценообразованию на этапе заключения (исполнения) договора</w:t>
      </w:r>
    </w:p>
    <w:p>
      <w:pPr>
        <w:pStyle w:val="1"/>
        <w:numPr>
          <w:ilvl w:val="0"/>
          <w:numId w:val="0"/>
        </w:numPr>
        <w:ind w:left="1134" w:hanging="0"/>
        <w:rPr>
          <w:i/>
          <w:i/>
          <w:szCs w:val="24"/>
        </w:rPr>
      </w:pPr>
      <w:r>
        <w:rPr>
          <w:i/>
          <w:szCs w:val="24"/>
        </w:rPr>
      </w:r>
    </w:p>
    <w:p>
      <w:pPr>
        <w:pStyle w:val="Normal"/>
        <w:tabs>
          <w:tab w:val="clear" w:pos="708"/>
          <w:tab w:val="left" w:pos="1077" w:leader="none"/>
        </w:tabs>
        <w:spacing w:lineRule="auto" w:line="276" w:before="0" w:after="0"/>
        <w:ind w:left="-57" w:hanging="0"/>
        <w:contextualSpacing/>
        <w:jc w:val="both"/>
        <w:rPr>
          <w:b/>
          <w:b/>
          <w:i/>
          <w:i/>
          <w:szCs w:val="24"/>
        </w:rPr>
      </w:pPr>
      <w:r>
        <w:rPr>
          <w:rFonts w:eastAsia="Calibri"/>
          <w:bCs/>
          <w:iCs/>
          <w:szCs w:val="24"/>
        </w:rPr>
        <w:t>4.1.</w:t>
        <w:tab/>
        <w:t>Требования к составлению сметной документации (при заключении договора):</w:t>
      </w:r>
    </w:p>
    <w:p>
      <w:pPr>
        <w:pStyle w:val="Normal"/>
        <w:tabs>
          <w:tab w:val="clear" w:pos="708"/>
          <w:tab w:val="left" w:pos="1077" w:leader="none"/>
        </w:tabs>
        <w:spacing w:lineRule="auto" w:line="276" w:before="0" w:after="0"/>
        <w:ind w:left="-57" w:hanging="0"/>
        <w:contextualSpacing/>
        <w:jc w:val="both"/>
        <w:rPr>
          <w:b/>
          <w:b/>
          <w:i/>
          <w:i/>
          <w:szCs w:val="24"/>
        </w:rPr>
      </w:pPr>
      <w:r>
        <w:rPr>
          <w:rFonts w:eastAsia="Calibri"/>
          <w:bCs/>
          <w:iCs/>
          <w:szCs w:val="24"/>
        </w:rPr>
        <w:t>4.1.1.</w:t>
        <w:tab/>
        <w:t>Сметная документация разработана заказчиком в рамках определения начальной (максимальной) цены договора в соответствии с требованиями, указанными в приложении № 3 к ТТ, и включается в состав договора с применением понижающего коэффициента, указанного в заявке Участника, с которым принято решение заключить договор. Понижающий коэффициент начисляется в локальных сметах единым индексом в итогах (после начисления лимитированных затрат в случае составления одной сметы).</w:t>
      </w:r>
    </w:p>
    <w:p>
      <w:pPr>
        <w:pStyle w:val="Normal"/>
        <w:rPr>
          <w:b/>
          <w:b/>
          <w:i/>
          <w:i/>
          <w:szCs w:val="24"/>
        </w:rPr>
      </w:pPr>
      <w:r>
        <w:rPr>
          <w:rFonts w:eastAsia="Calibri"/>
          <w:bCs/>
          <w:iCs/>
          <w:szCs w:val="24"/>
        </w:rPr>
        <w:t>4.1.2.</w:t>
        <w:tab/>
        <w:t>Внесение изменений в сметную документацию заказчика, кроме применения понижающего коэффициента в соответствии с пунктом 4.1.1, не допускается.</w:t>
      </w:r>
    </w:p>
    <w:p>
      <w:pPr>
        <w:pStyle w:val="Normal"/>
        <w:widowControl w:val="false"/>
        <w:ind w:firstLine="567"/>
        <w:rPr>
          <w:iCs/>
        </w:rPr>
      </w:pPr>
      <w:r>
        <w:rPr>
          <w:iCs/>
        </w:rPr>
      </w:r>
    </w:p>
    <w:p>
      <w:pPr>
        <w:pStyle w:val="1"/>
        <w:numPr>
          <w:ilvl w:val="0"/>
          <w:numId w:val="0"/>
        </w:numPr>
        <w:tabs>
          <w:tab w:val="clear" w:pos="708"/>
          <w:tab w:val="left" w:pos="0" w:leader="none"/>
        </w:tabs>
        <w:ind w:left="5038" w:hanging="0"/>
        <w:rPr>
          <w:i/>
          <w:i/>
          <w:szCs w:val="24"/>
        </w:rPr>
      </w:pPr>
      <w:r>
        <w:rPr/>
        <w:t xml:space="preserve">5. </w:t>
      </w:r>
      <w:bookmarkStart w:id="35" w:name="_Toc196483562"/>
      <w:bookmarkStart w:id="36" w:name="_Toc198126865"/>
      <w:bookmarkStart w:id="37" w:name="_Toc222907821"/>
      <w:r>
        <w:rPr/>
        <w:t>Приложения</w:t>
      </w:r>
      <w:bookmarkEnd w:id="35"/>
      <w:bookmarkEnd w:id="36"/>
      <w:bookmarkEnd w:id="37"/>
    </w:p>
    <w:p>
      <w:pPr>
        <w:pStyle w:val="Normal"/>
        <w:widowControl w:val="false"/>
        <w:ind w:firstLine="567"/>
        <w:rPr>
          <w:iCs/>
        </w:rPr>
      </w:pPr>
      <w:r>
        <w:rPr>
          <w:iCs/>
        </w:rPr>
        <w:t>Приложение №1: Сметная документация, разработанная (согласованная) заказчиком.</w:t>
      </w:r>
    </w:p>
    <w:p>
      <w:pPr>
        <w:pStyle w:val="Normal"/>
        <w:widowControl w:val="false"/>
        <w:ind w:firstLine="567"/>
        <w:rPr>
          <w:iCs/>
        </w:rPr>
      </w:pPr>
      <w:r>
        <w:rPr>
          <w:iCs/>
        </w:rPr>
        <w:t>Приложение №2: Требования к оформлению и составлению документации по ценообразованию.</w:t>
      </w:r>
    </w:p>
    <w:p>
      <w:pPr>
        <w:pStyle w:val="Normal"/>
        <w:widowControl w:val="false"/>
        <w:ind w:firstLine="567"/>
        <w:rPr>
          <w:iCs/>
        </w:rPr>
      </w:pPr>
      <w:r>
        <w:rPr>
          <w:iCs/>
        </w:rPr>
        <w:t>Приложение №3: Схема с границами инженерных изысканий.</w:t>
      </w:r>
    </w:p>
    <w:p>
      <w:pPr>
        <w:pStyle w:val="Normal"/>
        <w:widowControl w:val="false"/>
        <w:ind w:firstLine="567"/>
        <w:rPr>
          <w:iCs/>
        </w:rPr>
      </w:pPr>
      <w:r>
        <w:rPr>
          <w:iCs/>
        </w:rPr>
        <w:t>Приложение №4: Технические и идентификационные характеристики проектируемых объектов</w:t>
      </w:r>
    </w:p>
    <w:p>
      <w:pPr>
        <w:pStyle w:val="Normal"/>
        <w:rPr>
          <w:iCs/>
        </w:rPr>
      </w:pPr>
      <w:r>
        <w:rPr>
          <w:iCs/>
        </w:rPr>
        <w:t>Приложение №5 – ТЗ.</w:t>
      </w:r>
    </w:p>
    <w:p>
      <w:pPr>
        <w:pStyle w:val="Normal"/>
        <w:ind w:firstLine="567"/>
        <w:jc w:val="center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ind w:firstLine="567"/>
        <w:jc w:val="center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rPr>
          <w:b/>
          <w:b/>
          <w:szCs w:val="24"/>
        </w:rPr>
      </w:pPr>
      <w:r>
        <w:rPr>
          <w:b/>
          <w:szCs w:val="24"/>
        </w:rPr>
      </w:r>
      <w:r>
        <w:br w:type="page"/>
      </w:r>
    </w:p>
    <w:p>
      <w:pPr>
        <w:pStyle w:val="Normal"/>
        <w:jc w:val="right"/>
        <w:rPr>
          <w:sz w:val="20"/>
          <w:szCs w:val="24"/>
        </w:rPr>
      </w:pPr>
      <w:r>
        <w:rPr>
          <w:sz w:val="20"/>
          <w:szCs w:val="24"/>
        </w:rPr>
        <w:t xml:space="preserve">Приложение №1 </w:t>
      </w:r>
    </w:p>
    <w:p>
      <w:pPr>
        <w:pStyle w:val="Normal"/>
        <w:jc w:val="right"/>
        <w:rPr>
          <w:sz w:val="20"/>
          <w:szCs w:val="24"/>
        </w:rPr>
      </w:pPr>
      <w:r>
        <w:rPr>
          <w:sz w:val="20"/>
          <w:szCs w:val="24"/>
        </w:rPr>
        <w:t xml:space="preserve">К Техническим требованиям </w:t>
      </w:r>
    </w:p>
    <w:p>
      <w:pPr>
        <w:pStyle w:val="Normal"/>
        <w:jc w:val="center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jc w:val="center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jc w:val="center"/>
        <w:rPr>
          <w:b/>
          <w:b/>
          <w:szCs w:val="24"/>
        </w:rPr>
      </w:pPr>
      <w:r>
        <w:rPr>
          <w:b/>
          <w:szCs w:val="24"/>
        </w:rPr>
        <w:t>Сметная документация, разработанная (согласованная) заказчиком</w:t>
      </w:r>
    </w:p>
    <w:p>
      <w:pPr>
        <w:pStyle w:val="Normal"/>
        <w:jc w:val="center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jc w:val="center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  <w:t>Приложение представлено отдельным файлом в составе документации о закупке.</w:t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ind w:firstLine="567"/>
        <w:jc w:val="center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ind w:firstLine="567"/>
        <w:jc w:val="center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rPr>
          <w:b/>
          <w:b/>
          <w:szCs w:val="24"/>
        </w:rPr>
      </w:pPr>
      <w:r>
        <w:rPr>
          <w:b/>
          <w:szCs w:val="24"/>
        </w:rPr>
      </w:r>
      <w:r>
        <w:br w:type="page"/>
      </w:r>
    </w:p>
    <w:p>
      <w:pPr>
        <w:pStyle w:val="Normal"/>
        <w:ind w:firstLine="567"/>
        <w:jc w:val="right"/>
        <w:rPr>
          <w:sz w:val="20"/>
          <w:szCs w:val="24"/>
        </w:rPr>
      </w:pPr>
      <w:r>
        <w:rPr>
          <w:sz w:val="20"/>
          <w:szCs w:val="24"/>
        </w:rPr>
        <w:t xml:space="preserve">Приложение №2  </w:t>
      </w:r>
    </w:p>
    <w:p>
      <w:pPr>
        <w:pStyle w:val="Normal"/>
        <w:ind w:firstLine="567"/>
        <w:jc w:val="right"/>
        <w:rPr>
          <w:sz w:val="20"/>
          <w:szCs w:val="24"/>
        </w:rPr>
      </w:pPr>
      <w:r>
        <w:rPr>
          <w:sz w:val="20"/>
          <w:szCs w:val="24"/>
        </w:rPr>
        <w:t xml:space="preserve">К Техническим требованиям </w:t>
      </w:r>
    </w:p>
    <w:p>
      <w:pPr>
        <w:pStyle w:val="Normal"/>
        <w:ind w:firstLine="567"/>
        <w:jc w:val="right"/>
        <w:rPr>
          <w:sz w:val="20"/>
          <w:szCs w:val="24"/>
        </w:rPr>
      </w:pPr>
      <w:r>
        <w:rPr>
          <w:sz w:val="20"/>
          <w:szCs w:val="24"/>
        </w:rPr>
      </w:r>
    </w:p>
    <w:p>
      <w:pPr>
        <w:pStyle w:val="Normal"/>
        <w:ind w:firstLine="567"/>
        <w:jc w:val="center"/>
        <w:rPr>
          <w:b/>
          <w:b/>
          <w:szCs w:val="24"/>
        </w:rPr>
      </w:pPr>
      <w:r>
        <w:rPr>
          <w:b/>
          <w:szCs w:val="24"/>
        </w:rPr>
        <w:t>Требования к оформлению и составлению</w:t>
      </w:r>
    </w:p>
    <w:p>
      <w:pPr>
        <w:pStyle w:val="Normal"/>
        <w:ind w:firstLine="567"/>
        <w:jc w:val="center"/>
        <w:rPr>
          <w:b/>
          <w:b/>
          <w:szCs w:val="24"/>
        </w:rPr>
      </w:pPr>
      <w:r>
        <w:rPr>
          <w:b/>
          <w:szCs w:val="24"/>
        </w:rPr>
        <w:t>сметной документации на выполнение проектных и изыскательских работ.</w:t>
      </w:r>
    </w:p>
    <w:p>
      <w:pPr>
        <w:pStyle w:val="ConsPlusNormal1"/>
        <w:numPr>
          <w:ilvl w:val="0"/>
          <w:numId w:val="15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Настоящие требования разработаны для единого подхода к определению стоимости проектных и изыскательских работ (далее - ПИР).</w:t>
      </w:r>
    </w:p>
    <w:p>
      <w:pPr>
        <w:pStyle w:val="ConsPlusNormal1"/>
        <w:numPr>
          <w:ilvl w:val="0"/>
          <w:numId w:val="15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Затраты на проведение инженерных изысканий, подготовку проектной и рабочей документации определяются расчетами на основании сметных нормативов, сведения о которых включены в ФРСН.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</w:tabs>
        <w:ind w:left="284" w:firstLine="567"/>
        <w:jc w:val="both"/>
        <w:rPr>
          <w:b/>
          <w:b/>
          <w:i/>
          <w:i/>
        </w:rPr>
      </w:pPr>
      <w:r>
        <w:rPr/>
        <w:t xml:space="preserve">Сметы на ПИР составлять на основании технических требований (технического задания) заказчика, графиков производства работ, программы изысканий. 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</w:tabs>
        <w:ind w:left="284" w:firstLine="567"/>
        <w:jc w:val="both"/>
        <w:rPr>
          <w:b/>
          <w:b/>
          <w:i/>
          <w:i/>
        </w:rPr>
      </w:pPr>
      <w:r>
        <w:rPr/>
        <w:t>Сметный расчет стоимости изыскательских работ составляется в соответствии с прилагаемой к сметному расчету программой изысканий. Программа изысканий составляется Субподрядчиком на основе технического задания заказчика с учетом требований соответствующих нормативных документов, регламентирующих состав и объем изыскательских работ. По окончании изысканий составляется сметный расчет – исполнительная смета (необходимо предусмотреть условиями договора) на основе технического отчета по результатам изысканий в соответствии с составом и объемами фактически выполненных работ с учетом категории сложности их выполнения.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</w:tabs>
        <w:ind w:left="284" w:firstLine="567"/>
        <w:jc w:val="both"/>
        <w:rPr>
          <w:b/>
          <w:b/>
          <w:i/>
          <w:i/>
        </w:rPr>
      </w:pPr>
      <w:r>
        <w:rPr/>
        <w:t xml:space="preserve">Стоимость проектных работ на строительство, реконструкцию и техническое перевооружение объектов производственного назначения определяется на основе Справочников базовых цен на соответствующие работы, входящих в ФРСН, «Методических указаний по применению Справочников базовых цен на проектные работы в строительстве», утвержденных Приказом Министерства регионального развития РФ от 29.12.2009 № 620 (далее-МУ) или иных актуальных методических указаний. 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</w:tabs>
        <w:ind w:left="284" w:firstLine="567"/>
        <w:jc w:val="both"/>
        <w:rPr>
          <w:b/>
          <w:b/>
          <w:i/>
          <w:i/>
        </w:rPr>
      </w:pPr>
      <w:r>
        <w:rPr/>
        <w:t xml:space="preserve">Стоимость изыскательских работ определять на основе «Методического пособия по определению стоимости инженерных изысканий для строительства», утвержденного письмом Госстроя России от 31.03.2004 № НЗ-2078/10 и внесенного в ФРСН нормативов или иного актуального документа.  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</w:tabs>
        <w:ind w:left="284" w:firstLine="567"/>
        <w:jc w:val="both"/>
        <w:rPr>
          <w:b/>
          <w:b/>
          <w:i/>
          <w:i/>
        </w:rPr>
      </w:pPr>
      <w:r>
        <w:rPr/>
        <w:t xml:space="preserve">При определении стоимости изыскательских работ </w:t>
      </w:r>
      <w:r>
        <w:rPr>
          <w:b/>
        </w:rPr>
        <w:t>по согласованию с Заказчиком</w:t>
      </w:r>
      <w:r>
        <w:rPr/>
        <w:t xml:space="preserve"> возможно применять следующие коэффициенты в соответствии с письмом ПАО «ПНИИИС» от 03.04.2014 №11/298: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ind w:left="567" w:firstLine="567"/>
        <w:jc w:val="both"/>
        <w:rPr>
          <w:b/>
          <w:b/>
          <w:i/>
          <w:i/>
        </w:rPr>
      </w:pPr>
      <w:r>
        <w:rPr/>
        <w:t>1,75 – «выполнение картографических работ с составлением планов (продольных профилей) в двух видах: на магнитном и бумажном носителях» (п. 15 е Общих указаний) - при наличии в технических требованиях указания о необходимости составления инженерно-топографических планов (продольных профилей) в двух видах (в электронном виде и на планшете на жесткой основе), либо при выявлении данных требований в процессе выполнения изысканий;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ind w:left="567" w:firstLine="567"/>
        <w:jc w:val="both"/>
        <w:rPr>
          <w:b/>
          <w:b/>
          <w:i/>
          <w:i/>
        </w:rPr>
      </w:pPr>
      <w:r>
        <w:rPr/>
        <w:t>1,2 – «выполнение камеральных и картографических работ с применением компьютерных технологий» (п. 15 д Общих указаний) – применяется при условии, что топографические планы выполняются только в электронном виде (распечатка является вариантом электронной версии);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ind w:left="567" w:firstLine="567"/>
        <w:jc w:val="both"/>
        <w:rPr>
          <w:b/>
          <w:b/>
          <w:i/>
          <w:i/>
        </w:rPr>
      </w:pPr>
      <w:r>
        <w:rPr/>
        <w:t>1,25 – «при выполнении полевых работ на территориях гидроэлектростанций» (п. 8 в Общих указаний) – на станциях Северного Кавказа и Амурской области;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ind w:left="567" w:firstLine="567"/>
        <w:jc w:val="both"/>
        <w:rPr>
          <w:b/>
          <w:b/>
          <w:i/>
          <w:i/>
        </w:rPr>
      </w:pPr>
      <w:r>
        <w:rPr/>
        <w:t>1,15 – «при выполнении полевых работ на территориях гидроэлектростанций» (п. 8 в Общих указаний) – на всех гидроэлектростанциях, кроме станций Северного Кавказа и Амурской области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b/>
          <w:i/>
          <w:i/>
        </w:rPr>
      </w:pPr>
      <w:r>
        <w:rPr/>
        <w:t>Применение расценки, предусмотренной § 4 таблицы 73 «Изготовление копии профиля на кальке с оригинала, вычерченного в карандаше» обоснованно, если такой вид работ в действительности выполнялся (был предусмотрен заданием и/или программой работ).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b/>
          <w:i/>
          <w:i/>
        </w:rPr>
      </w:pPr>
      <w:r>
        <w:rPr/>
        <w:t>При определении стоимости ПИР в сметных расчетах указывать полное наименование нормативного документа, на основании, которого составляется сметная документация с указанием всех реквизитов документа.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b/>
          <w:i/>
          <w:i/>
        </w:rPr>
      </w:pPr>
      <w:r>
        <w:rPr/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b/>
          <w:i/>
          <w:i/>
        </w:rPr>
      </w:pPr>
      <w:r>
        <w:rPr/>
        <w:t>Проектная документация отдельных этапов строительства, реконструкции и различных видов объектов капитального строительства должна быть выполнена в соответствии с «Положением о составе разделов проектной документации и требованиях к их содержанию», утвержденным Постановлением Правительства РФ от 16.02.2008 №87.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b/>
          <w:i/>
          <w:i/>
        </w:rPr>
      </w:pPr>
      <w:r>
        <w:rPr/>
        <w:t>Пересчет сметной стоимости проектных (изыскательских) работ по состоянию на 01.01.2001г, 01.01.1995г. (1991г.) следует производить согласно индексам на указанные (проектные или изыскательские) работы, рекомендованным к применению письмом соответствующего органа исполнительной власти, уполномоченного в области сметного нормирования и ценообразования в сфере градостроительной деятельности.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  <w:tab w:val="left" w:pos="426" w:leader="none"/>
        </w:tabs>
        <w:ind w:left="284" w:firstLine="567"/>
        <w:jc w:val="both"/>
        <w:rPr>
          <w:b/>
          <w:b/>
          <w:i/>
          <w:i/>
        </w:rPr>
      </w:pPr>
      <w:r>
        <w:rPr/>
        <w:t xml:space="preserve">При определении стоимости проектных работ от стоимости строительства по сборникам базовых цен на проектные работы для строительства, разработанным в уровне цен 2001 года необходимо руководствоваться пунктом 2.2 раздела </w:t>
      </w:r>
      <w:r>
        <w:rPr>
          <w:lang w:val="en-US"/>
        </w:rPr>
        <w:t>II</w:t>
      </w:r>
      <w:r>
        <w:rPr/>
        <w:t xml:space="preserve"> МУ. При определении стоимости проектных работ от стоимости строительства по сборникам базовых цен на проектные работы для строительства (изд. 1994-1999 гг.) стоимость строительства следует приводить к уровню цен по состоянию на 01.01.1991. Для пересчета стоимости строительно-монтажных работ и прочих затрат из уровня цен по состоянию на 01.01.2000 в уровень цен по состоянию 01.01.1991 и обратно использовать соответствующее отношение индексов пересчета из уровня цен 1991-го и 2000 года в уровень цен I квартала 2010 года, опубликованных в последней официальной публикации индексов Министерства регионального развития Российской Федерации к уровню цен 1991 года (письмо от 20 января 2010 г. № 1289-СК/08). При отсутствии разделения стоимости строительства на «Строительно-монтажные работы», «Оборудование» и «Прочие затраты» применяется индекс на строительно-монтажные работы».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b/>
          <w:i/>
          <w:i/>
        </w:rPr>
      </w:pPr>
      <w:r>
        <w:rPr/>
        <w:t>Решение о стоимости работ принимать коллегиально на уровне Департамента закупок и Департамента капитального строительства (в лице Управления организации проектной деятельности) с учетом индивидуального подхода по каждому объекту.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b/>
          <w:i/>
          <w:i/>
        </w:rPr>
      </w:pPr>
      <w:r>
        <w:rPr/>
        <w:t>При определении стоимости ПИР, затраты проектной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N 9-10-17/40 учитываются путем введения к итогу базовой цены повышающих коэффициентов. Размер примененных коэффициентов, доплат и т.д. указывать с обоснованиями из технической части, вводных указаний сборников или других нормативных документов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b/>
          <w:i/>
          <w:i/>
        </w:rPr>
      </w:pPr>
      <w:r>
        <w:rPr/>
        <w:t>Стоимость разработки раздела «Оценка воздействия на окружающую среду» принимается в размере не более 4% от общей стоимости проектных работ.</w:t>
      </w:r>
    </w:p>
    <w:p>
      <w:pPr>
        <w:pStyle w:val="ConsPlusNormal1"/>
        <w:numPr>
          <w:ilvl w:val="0"/>
          <w:numId w:val="15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отсутствия в сметных нормативах, сведения о которых включены в ФРСН, показателей и нормативов цены проектных работ, стоимость работ по подготовке проектной документации определяется в соответствии с положениями МУ, либо по нормативному акту, пришедшему на смену данному документу.</w:t>
      </w:r>
    </w:p>
    <w:p>
      <w:pPr>
        <w:pStyle w:val="ConsPlusNormal1"/>
        <w:numPr>
          <w:ilvl w:val="0"/>
          <w:numId w:val="15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Стоимость работ, цены на которые отсутствуют в СБЦ и СЦ, внесенных в </w:t>
      </w:r>
      <w:r>
        <w:rPr>
          <w:rFonts w:cs="Times New Roman" w:ascii="Times New Roman" w:hAnsi="Times New Roman"/>
          <w:sz w:val="24"/>
          <w:szCs w:val="24"/>
        </w:rPr>
        <w:t>ФРСН</w:t>
      </w:r>
      <w:r>
        <w:rPr>
          <w:rFonts w:ascii="Times New Roman" w:hAnsi="Times New Roman"/>
          <w:sz w:val="24"/>
          <w:szCs w:val="24"/>
        </w:rPr>
        <w:t xml:space="preserve">, возможно определять сметным расчетом по себестоимости и сложившемуся уровню рентабельности (форма </w:t>
      </w:r>
      <w:r>
        <w:fldChar w:fldCharType="begin"/>
      </w:r>
      <w:r>
        <w:rPr>
          <w:sz w:val="24"/>
          <w:szCs w:val="24"/>
          <w:rFonts w:ascii="Times New Roman" w:hAnsi="Times New Roman"/>
        </w:rPr>
        <w:instrText> HYPERLINK "../../../../../H:/AppData/Local%20Settings/Temporary%20Internet%20Files/OLK7/%D0%9F%D0%BE%D1%81%D0%BE%D0%B1%D0%B8%D0%B5%20%D0%BF%D0%BE%20%D0%B8%D0%BD%D0%B6%D0%B5%D0%BD%D0%B5%D1%80%D0%BD%D1%8B%D0%BC%20%D0%B8%D0%B7%D1%8B%D1%81%D0%BA%D0%B0%D0%BD%D0%B8%D1%8F%D0%BC_2004.htm" \l "_blank"</w:instrText>
      </w:r>
      <w:r>
        <w:rPr>
          <w:sz w:val="24"/>
          <w:szCs w:val="24"/>
          <w:rFonts w:ascii="Times New Roman" w:hAnsi="Times New Roman"/>
        </w:rPr>
        <w:fldChar w:fldCharType="separate"/>
      </w:r>
      <w:r>
        <w:rPr>
          <w:rFonts w:ascii="Times New Roman" w:hAnsi="Times New Roman"/>
          <w:sz w:val="24"/>
          <w:szCs w:val="24"/>
        </w:rPr>
        <w:t>3п</w:t>
      </w:r>
      <w:r>
        <w:rPr>
          <w:sz w:val="24"/>
          <w:szCs w:val="24"/>
          <w:rFonts w:ascii="Times New Roman" w:hAnsi="Times New Roman"/>
        </w:rPr>
        <w:fldChar w:fldCharType="end"/>
      </w:r>
      <w:r>
        <w:rPr>
          <w:rFonts w:ascii="Times New Roman" w:hAnsi="Times New Roman"/>
          <w:sz w:val="24"/>
          <w:szCs w:val="24"/>
        </w:rPr>
        <w:t>) по согласованию с Заказчиком.</w:t>
      </w:r>
    </w:p>
    <w:p>
      <w:pPr>
        <w:pStyle w:val="ConsPlusNormal1"/>
        <w:numPr>
          <w:ilvl w:val="0"/>
          <w:numId w:val="15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проведения государственной экспертизы проектных работ определяется согласно Постановлению Правительства РФ от 5 марта 2007 г. № 145 «О порядке организации и проведения государственной экспертизы проектной документации и результатов инженерных изысканий».</w:t>
      </w:r>
    </w:p>
    <w:p>
      <w:pPr>
        <w:pStyle w:val="ConsPlusNormal1"/>
        <w:widowControl/>
        <w:numPr>
          <w:ilvl w:val="0"/>
          <w:numId w:val="15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Сметы на ПИР предоставляются в форматах: «Excel» и «</w:t>
      </w:r>
      <w:r>
        <w:rPr>
          <w:rFonts w:cs="Times New Roman" w:ascii="Times New Roman" w:hAnsi="Times New Roman"/>
          <w:sz w:val="24"/>
          <w:szCs w:val="24"/>
          <w:lang w:val="en-US"/>
        </w:rPr>
        <w:t>pdf</w:t>
      </w:r>
      <w:r>
        <w:rPr>
          <w:rFonts w:cs="Times New Roman" w:ascii="Times New Roman" w:hAnsi="Times New Roman"/>
          <w:sz w:val="24"/>
          <w:szCs w:val="24"/>
        </w:rPr>
        <w:t>» (с подписями и печатью). Сметная документация в формате «Exce</w:t>
      </w:r>
      <w:r>
        <w:rPr>
          <w:rFonts w:cs="Times New Roman" w:ascii="Times New Roman" w:hAnsi="Times New Roman"/>
          <w:sz w:val="24"/>
          <w:szCs w:val="24"/>
          <w:lang w:val="en-US"/>
        </w:rPr>
        <w:t>l</w:t>
      </w:r>
      <w:r>
        <w:rPr>
          <w:rFonts w:cs="Times New Roman" w:ascii="Times New Roman" w:hAnsi="Times New Roman"/>
          <w:sz w:val="24"/>
          <w:szCs w:val="24"/>
        </w:rPr>
        <w:t>» должна быть представлена в одном файле с внесением ССРСС, ЛСР и других расчетов на отдельные листы (вкладки) документа.</w:t>
      </w:r>
    </w:p>
    <w:p>
      <w:pPr>
        <w:pStyle w:val="ConsPlusNormal1"/>
        <w:numPr>
          <w:ilvl w:val="0"/>
          <w:numId w:val="15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вычислений </w:t>
      </w:r>
      <w:r>
        <w:rPr>
          <w:rFonts w:cs="Times New Roman" w:ascii="Times New Roman" w:hAnsi="Times New Roman"/>
          <w:sz w:val="24"/>
          <w:szCs w:val="24"/>
        </w:rPr>
        <w:t xml:space="preserve">(построчные) </w:t>
      </w:r>
      <w:r>
        <w:rPr>
          <w:rFonts w:ascii="Times New Roman" w:hAnsi="Times New Roman"/>
          <w:sz w:val="24"/>
          <w:szCs w:val="24"/>
        </w:rPr>
        <w:t xml:space="preserve">и итоговые данные в </w:t>
      </w:r>
      <w:r>
        <w:rPr>
          <w:rFonts w:cs="Times New Roman" w:ascii="Times New Roman" w:hAnsi="Times New Roman"/>
          <w:sz w:val="24"/>
          <w:szCs w:val="24"/>
        </w:rPr>
        <w:t>ЛСР (ЛС), приводятся в рублях,</w:t>
      </w:r>
    </w:p>
    <w:p>
      <w:pPr>
        <w:pStyle w:val="ConsPlusNormal1"/>
        <w:numPr>
          <w:ilvl w:val="0"/>
          <w:numId w:val="16"/>
        </w:numPr>
        <w:tabs>
          <w:tab w:val="clear" w:pos="708"/>
          <w:tab w:val="left" w:pos="567" w:leader="none"/>
        </w:tabs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базисно-индексном методе, с округлением до двух знаков после запятой (до копеек);</w:t>
      </w:r>
    </w:p>
    <w:p>
      <w:pPr>
        <w:pStyle w:val="ConsPlusNormal1"/>
        <w:numPr>
          <w:ilvl w:val="0"/>
          <w:numId w:val="16"/>
        </w:numPr>
        <w:tabs>
          <w:tab w:val="clear" w:pos="708"/>
          <w:tab w:val="left" w:pos="567" w:leader="none"/>
        </w:tabs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ресурсно-индексном и ресурсным методах, а также сметных расчетах на отдельные виды затрат - с округлением до целых единиц;</w:t>
      </w:r>
    </w:p>
    <w:p>
      <w:pPr>
        <w:pStyle w:val="ConsPlusNormal1"/>
        <w:numPr>
          <w:ilvl w:val="0"/>
          <w:numId w:val="16"/>
        </w:numPr>
        <w:tabs>
          <w:tab w:val="clear" w:pos="708"/>
          <w:tab w:val="left" w:pos="567" w:leader="none"/>
        </w:tabs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сводной смете - в рублях с округлением до целых единиц. </w:t>
      </w:r>
    </w:p>
    <w:p>
      <w:pPr>
        <w:pStyle w:val="ConsPlusNormal1"/>
        <w:numPr>
          <w:ilvl w:val="0"/>
          <w:numId w:val="15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Командировочные расходы, учтенные в смете, подтверждаются отдельным расчетом.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Лимиты командировочных расходов при производстве ПИР:</w:t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суточные - 700 руб./сутки;</w:t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проживание – 4000 руб./сутки;</w:t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проезд: поезд (купе) или самолет (класс–эконом с багажом до 20 (двадцати) кг, ручная кладь до 10 (десяти) кг).</w:t>
      </w:r>
    </w:p>
    <w:p>
      <w:pPr>
        <w:pStyle w:val="Normal"/>
        <w:ind w:firstLine="567"/>
        <w:rPr>
          <w:b/>
          <w:b/>
          <w:i/>
          <w:i/>
          <w:color w:val="000000"/>
          <w:szCs w:val="24"/>
        </w:rPr>
      </w:pPr>
      <w:r>
        <w:rPr>
          <w:szCs w:val="24"/>
        </w:rPr>
        <w:t xml:space="preserve">    </w:t>
      </w:r>
      <w:r>
        <w:rPr>
          <w:b/>
          <w:i/>
          <w:color w:val="000000" w:themeColor="text1"/>
          <w:szCs w:val="24"/>
        </w:rPr>
        <w:t>Данные лимиты могут быть пересмотрены на этапе согласования технических требований.</w:t>
      </w:r>
    </w:p>
    <w:p>
      <w:pPr>
        <w:pStyle w:val="ConsPlusNormal1"/>
        <w:numPr>
          <w:ilvl w:val="0"/>
          <w:numId w:val="15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 одновременной разработке проектной и полной или частичной разработке рабочей </w:t>
      </w:r>
    </w:p>
    <w:p>
      <w:pPr>
        <w:pStyle w:val="Normal"/>
        <w:tabs>
          <w:tab w:val="clear" w:pos="708"/>
          <w:tab w:val="left" w:pos="284" w:leader="none"/>
        </w:tabs>
        <w:ind w:firstLine="567"/>
        <w:jc w:val="both"/>
        <w:rPr>
          <w:szCs w:val="24"/>
        </w:rPr>
      </w:pPr>
      <w:r>
        <w:rPr>
          <w:szCs w:val="24"/>
        </w:rPr>
        <w:t>документации, суммарный процент базовой цены определяется по согласованию между Заказчиком и Подрядчиком в зависимости от архитектурных, функционально-технологических, конструктивных и инженерно-технических решений, содержащихся в проектной документации и степени их детализации.</w:t>
      </w:r>
    </w:p>
    <w:p>
      <w:pPr>
        <w:pStyle w:val="ConsPlusNormal1"/>
        <w:numPr>
          <w:ilvl w:val="0"/>
          <w:numId w:val="15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Выполнение обследований и обмерных работ на объектах, подлежащих реконструкции, </w:t>
      </w:r>
    </w:p>
    <w:p>
      <w:pPr>
        <w:pStyle w:val="Normal"/>
        <w:tabs>
          <w:tab w:val="clear" w:pos="708"/>
          <w:tab w:val="left" w:pos="284" w:leader="none"/>
          <w:tab w:val="left" w:pos="993" w:leader="none"/>
        </w:tabs>
        <w:ind w:firstLine="567"/>
        <w:jc w:val="both"/>
        <w:rPr>
          <w:szCs w:val="24"/>
        </w:rPr>
      </w:pPr>
      <w:r>
        <w:rPr>
          <w:szCs w:val="24"/>
        </w:rPr>
        <w:t xml:space="preserve">расширению и техническому перевооружению рассчитывается по соответствующим Справочникам и относится в </w:t>
      </w:r>
      <w:r>
        <w:rPr>
          <w:color w:val="000000"/>
          <w:szCs w:val="24"/>
        </w:rPr>
        <w:t>главу 1 ССРСС.</w:t>
      </w:r>
      <w:r>
        <w:rPr>
          <w:szCs w:val="24"/>
        </w:rPr>
        <w:t xml:space="preserve"> Стоимость данных работ не включается в расчет стоимости проведения государственной экспертизы.</w:t>
      </w:r>
    </w:p>
    <w:p>
      <w:pPr>
        <w:pStyle w:val="Normal"/>
        <w:ind w:firstLine="567"/>
        <w:rPr>
          <w:iCs/>
          <w:szCs w:val="24"/>
        </w:rPr>
      </w:pPr>
      <w:r>
        <w:rPr>
          <w:iCs/>
          <w:szCs w:val="24"/>
        </w:rPr>
      </w:r>
      <w:r>
        <w:br w:type="page"/>
      </w:r>
    </w:p>
    <w:p>
      <w:pPr>
        <w:pStyle w:val="Normal"/>
        <w:ind w:left="5811" w:firstLine="567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>
      <w:pPr>
        <w:pStyle w:val="Normal"/>
        <w:ind w:left="5811" w:firstLine="567"/>
        <w:rPr>
          <w:sz w:val="20"/>
          <w:szCs w:val="20"/>
        </w:rPr>
      </w:pPr>
      <w:r>
        <w:rPr>
          <w:sz w:val="20"/>
          <w:szCs w:val="20"/>
        </w:rPr>
        <w:t>к Требованиям к оформлению и составлению сметной документации на выполнение проектных и изыскательских работ</w:t>
      </w:r>
    </w:p>
    <w:p>
      <w:pPr>
        <w:pStyle w:val="Normal"/>
        <w:ind w:left="5811" w:firstLine="567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ind w:firstLine="567"/>
        <w:jc w:val="center"/>
        <w:rPr>
          <w:b/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ПОЯСНИТЕЛЬНАЯ ЗАПИСКА </w:t>
      </w:r>
    </w:p>
    <w:p>
      <w:pPr>
        <w:pStyle w:val="Normal"/>
        <w:ind w:firstLine="567"/>
        <w:jc w:val="center"/>
        <w:rPr>
          <w:b/>
          <w:b/>
          <w:color w:val="000000"/>
          <w:szCs w:val="24"/>
        </w:rPr>
      </w:pPr>
      <w:r>
        <w:rPr>
          <w:b/>
          <w:color w:val="000000"/>
          <w:szCs w:val="24"/>
        </w:rPr>
        <w:t>по заполнению формы №3п</w:t>
      </w:r>
    </w:p>
    <w:p>
      <w:pPr>
        <w:pStyle w:val="Normal"/>
        <w:ind w:firstLine="567"/>
        <w:jc w:val="center"/>
        <w:rPr>
          <w:b/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>при составлении смет на ПИР.</w:t>
      </w:r>
    </w:p>
    <w:p>
      <w:pPr>
        <w:pStyle w:val="Normal"/>
        <w:tabs>
          <w:tab w:val="clear" w:pos="708"/>
          <w:tab w:val="left" w:pos="1080" w:leader="none"/>
        </w:tabs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993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При составлении сметного расчета по трудозатратам (форма №3п), разработанным организацией, выполняющей ПИР, обоснование расчета трудозатрат представляется заказчику по его просьбе. Сметные расчеты составляются в ценах текущего периода.</w:t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993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993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Форма сметы для определения затрат по себестоимости и уровню рентабельности (форма 3п) приведена в образце 3П Приложения 2.</w:t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993" w:leader="none"/>
        </w:tabs>
        <w:ind w:left="0" w:firstLine="567"/>
        <w:jc w:val="both"/>
        <w:rPr>
          <w:b/>
          <w:b/>
          <w:i/>
          <w:i/>
        </w:rPr>
      </w:pPr>
      <w:r>
        <w:rPr/>
        <w:t xml:space="preserve">Результаты вычислений и итоговые данные по разделам расчета </w:t>
      </w:r>
      <w:r>
        <w:rPr>
          <w:u w:val="single"/>
        </w:rPr>
        <w:t>округлять до целых рублей.</w:t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Особенности заполнения формы №3п.</w:t>
      </w:r>
    </w:p>
    <w:p>
      <w:pPr>
        <w:pStyle w:val="Normal"/>
        <w:tabs>
          <w:tab w:val="clear" w:pos="708"/>
          <w:tab w:val="left" w:pos="993" w:leader="none"/>
        </w:tabs>
        <w:ind w:firstLine="567"/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Раздел 1. Расчет заработной платы: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графе 1 приводится нумерация выполняемых работ;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графе 2 приводится наименование выполняемых работ;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графе 3 указывается количество привлекаемых работников;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временным нормам;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графе 7 указывается заработная плата в рублях (</w:t>
      </w:r>
      <w:r>
        <w:rPr>
          <w:b/>
          <w:color w:val="000000"/>
          <w:u w:val="single"/>
        </w:rPr>
        <w:t>результат перемножения граф 5 и 6</w:t>
      </w:r>
      <w:r>
        <w:rPr>
          <w:color w:val="000000"/>
        </w:rPr>
        <w:t>);</w:t>
      </w:r>
    </w:p>
    <w:p>
      <w:pPr>
        <w:pStyle w:val="ListParagraph"/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работ, выполненных главным инженером проекта, или на базе имеющихся в организации проработок, определяющих нормативы их трудоемкости.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567"/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Раздел 2. Расчет стоимости выполнения работ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пункте 2.1 указывается процент заработной платы производственного персонала в составе себестоимости (</w:t>
      </w:r>
      <w:r>
        <w:rPr>
          <w:b/>
          <w:color w:val="000000"/>
          <w:u w:val="single"/>
        </w:rPr>
        <w:t>без учета субподрядных работ</w:t>
      </w:r>
      <w:r>
        <w:rPr>
          <w:color w:val="000000"/>
        </w:rPr>
        <w:t>), находящийся в пределах не менее 30%–уточняется по данным организации в соответствии с бизнес-планом. Данные по оплате труда, процент заработной платы в составе себестоимости, уровень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документом организации.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пункте 2.2 производится расчет себестоимости работ на основании выполненного в разделе 1 расчета заработной платы и ее процента в составе себестоимости работ (отношение итога графы 7 раздела 1 к пункту 2.1);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уровень рентабельности по отношению к себестоимости может составлять до 15%.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К сметной документации необходимо приложить все справочные данные по вышеуказанным экономическим характеристикам предприятия в виде официальной справки (образец в Приложении №1 к пояснительной записке по заполнению формы 3П).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567"/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Раздел 3. Расчет командировочных расходов.</w:t>
      </w:r>
    </w:p>
    <w:p>
      <w:pPr>
        <w:pStyle w:val="Normal"/>
        <w:tabs>
          <w:tab w:val="clear" w:pos="708"/>
          <w:tab w:val="left" w:pos="993" w:leader="none"/>
        </w:tabs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Командировочные расходы включаются в сметный расчет отдельной строкой (пункт 3 формы 3П) по отдельно выполненному расчету с расшифровкой затрат на проезд, проживание, суточные расходы. Размер расходов на проезд и стоимость проживания в гостинице определяется на момент составления расчета.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Лимиты командировочных расходов при производстве ПИР:</w:t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суточные - 700 руб./сутки;</w:t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проживание – 4000 руб./сутки;</w:t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проезд: поезд (купе) или самолет (класс–эконом с багажом до 20 (двадцати) кг, ручная кладь до 10 (десяти) кг).</w:t>
      </w:r>
    </w:p>
    <w:p>
      <w:pPr>
        <w:pStyle w:val="ListParagraph"/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b/>
          <w:b/>
          <w:i/>
          <w:i/>
          <w:color w:val="000000"/>
        </w:rPr>
      </w:pPr>
      <w:r>
        <w:rPr>
          <w:b/>
          <w:i/>
          <w:color w:val="000000" w:themeColor="text1"/>
        </w:rPr>
        <w:t>Данные лимиты могут быть пересмотрены на этапе согласования технических требований.</w:t>
      </w:r>
    </w:p>
    <w:p>
      <w:pPr>
        <w:pStyle w:val="ListParagraph"/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b/>
          <w:b/>
          <w:i/>
          <w:i/>
        </w:rPr>
      </w:pPr>
      <w:r>
        <w:rPr/>
        <w:t>При учете командировочных расходов стоимость проезда (авиа-, ж/д, …) определяется Методом анализа ТКП в соответствии с Методикой формирования плановой цены на закупаемую продукцию для организаций Группы РусГидро (далее – Методика ПЦ)</w:t>
      </w:r>
      <w:r>
        <w:rPr>
          <w:b/>
        </w:rPr>
        <w:t>, (Приложение №2 Обоснование расчета плановой цены)</w:t>
      </w:r>
      <w:r>
        <w:rPr/>
        <w:t>.</w:t>
      </w:r>
    </w:p>
    <w:p>
      <w:pPr>
        <w:pStyle w:val="ListParagraph"/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b/>
          <w:b/>
          <w:i/>
          <w:i/>
        </w:rPr>
      </w:pPr>
      <w:r>
        <w:rPr/>
        <w:t>При наличии командированных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widowControl w:val="false"/>
        <w:ind w:firstLine="567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ind w:firstLine="567"/>
        <w:rPr>
          <w:iCs/>
          <w:szCs w:val="24"/>
        </w:rPr>
      </w:pPr>
      <w:r>
        <w:rPr>
          <w:iCs/>
          <w:szCs w:val="24"/>
        </w:rPr>
      </w:r>
      <w:r>
        <w:br w:type="page"/>
      </w:r>
    </w:p>
    <w:p>
      <w:pPr>
        <w:pStyle w:val="Normal"/>
        <w:ind w:left="5811" w:firstLine="567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№1</w:t>
      </w:r>
    </w:p>
    <w:p>
      <w:pPr>
        <w:pStyle w:val="Normal"/>
        <w:ind w:left="5811" w:firstLine="567"/>
        <w:jc w:val="right"/>
        <w:rPr>
          <w:sz w:val="20"/>
          <w:szCs w:val="20"/>
        </w:rPr>
      </w:pPr>
      <w:r>
        <w:rPr>
          <w:sz w:val="20"/>
          <w:szCs w:val="20"/>
        </w:rPr>
        <w:t>к пояснительной записке</w:t>
      </w:r>
    </w:p>
    <w:p>
      <w:pPr>
        <w:pStyle w:val="Normal"/>
        <w:ind w:left="5811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по заполнению формы 3П</w:t>
      </w:r>
    </w:p>
    <w:p>
      <w:pPr>
        <w:pStyle w:val="Normal"/>
        <w:ind w:left="5811" w:firstLine="567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5811" w:firstLine="567"/>
        <w:jc w:val="center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ind w:firstLine="567"/>
        <w:jc w:val="center"/>
        <w:rPr>
          <w:b/>
          <w:b/>
          <w:szCs w:val="24"/>
        </w:rPr>
      </w:pPr>
      <w:r>
        <w:rPr>
          <w:b/>
          <w:szCs w:val="24"/>
        </w:rPr>
        <w:t>СПРАВКА от______________ (указать дату составления справки) (Образец)</w:t>
      </w:r>
    </w:p>
    <w:p>
      <w:pPr>
        <w:pStyle w:val="Normal"/>
        <w:ind w:firstLine="567"/>
        <w:rPr>
          <w:szCs w:val="24"/>
        </w:rPr>
      </w:pPr>
      <w:r>
        <w:rPr>
          <w:szCs w:val="24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>
      <w:pPr>
        <w:pStyle w:val="Normal"/>
        <w:ind w:firstLine="567"/>
        <w:rPr>
          <w:szCs w:val="24"/>
        </w:rPr>
      </w:pPr>
      <w:r>
        <w:rPr>
          <w:szCs w:val="24"/>
        </w:rPr>
      </w:r>
    </w:p>
    <w:tbl>
      <w:tblPr>
        <w:tblW w:w="8793" w:type="dxa"/>
        <w:jc w:val="left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47"/>
        <w:gridCol w:w="3942"/>
        <w:gridCol w:w="3104"/>
      </w:tblGrid>
      <w:tr>
        <w:trPr>
          <w:trHeight w:val="325" w:hRule="atLeast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№ </w:t>
            </w:r>
            <w:r>
              <w:rPr>
                <w:color w:val="000000"/>
                <w:szCs w:val="24"/>
              </w:rPr>
              <w:t>п/п</w:t>
            </w:r>
          </w:p>
        </w:tc>
        <w:tc>
          <w:tcPr>
            <w:tcW w:w="3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szCs w:val="24"/>
              </w:rPr>
            </w:pPr>
            <w:r>
              <w:rPr>
                <w:szCs w:val="24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szCs w:val="24"/>
              </w:rPr>
            </w:pPr>
            <w:r>
              <w:rPr>
                <w:szCs w:val="24"/>
              </w:rPr>
              <w:t>Заработная плата в день, в руб.</w:t>
            </w:r>
          </w:p>
        </w:tc>
      </w:tr>
      <w:tr>
        <w:trPr>
          <w:trHeight w:val="630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szCs w:val="24"/>
              </w:rPr>
            </w:pPr>
            <w:r>
              <w:rPr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</w:p>
        </w:tc>
      </w:tr>
      <w:tr>
        <w:trPr>
          <w:trHeight w:val="581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szCs w:val="24"/>
              </w:rPr>
            </w:pPr>
            <w:r>
              <w:rPr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</w:p>
        </w:tc>
      </w:tr>
      <w:tr>
        <w:trPr>
          <w:trHeight w:val="634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szCs w:val="24"/>
              </w:rPr>
            </w:pPr>
            <w:r>
              <w:rPr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</w:p>
        </w:tc>
      </w:tr>
    </w:tbl>
    <w:p>
      <w:pPr>
        <w:pStyle w:val="Normal"/>
        <w:ind w:firstLine="567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  <w:t>Доля заработной платы в себестоимости работ, выполняемых собственными /силами___ (%)</w: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b/>
          <w:b/>
          <w:szCs w:val="24"/>
        </w:rPr>
      </w:pPr>
      <w:r>
        <w:rPr>
          <w:szCs w:val="24"/>
        </w:rPr>
        <w:t>Рентабельность предприятия_______ (%)</w:t>
      </w:r>
    </w:p>
    <w:p>
      <w:pPr>
        <w:pStyle w:val="Normal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(Должность единоличного исполнительного органа контрагента/подрядчика)</w:t>
        <w:tab/>
        <w:tab/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(краткое/полное наименование организации) ________________ (ФИО)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м.п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(Главный бухгалтер)</w:t>
      </w:r>
      <w:r>
        <w:rPr>
          <w:rStyle w:val="Style7"/>
          <w:rFonts w:eastAsia="Arial"/>
        </w:rPr>
        <w:footnoteReference w:id="2"/>
      </w:r>
      <w:r>
        <w:rPr>
          <w:szCs w:val="24"/>
        </w:rPr>
        <w:tab/>
        <w:tab/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(краткое/полное наименование организации контрагента/подрядчика) ________________ (ФИО)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м.п</w:t>
      </w:r>
    </w:p>
    <w:p>
      <w:pPr>
        <w:pStyle w:val="Normal"/>
        <w:widowControl w:val="false"/>
        <w:ind w:firstLine="567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widowControl w:val="false"/>
        <w:ind w:firstLine="567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widowControl w:val="false"/>
        <w:ind w:firstLine="567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widowControl w:val="false"/>
        <w:ind w:firstLine="567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ind w:firstLine="567"/>
        <w:rPr>
          <w:iCs/>
          <w:szCs w:val="24"/>
        </w:rPr>
      </w:pPr>
      <w:r>
        <w:rPr>
          <w:iCs/>
          <w:szCs w:val="24"/>
        </w:rPr>
      </w:r>
      <w:r>
        <w:br w:type="page"/>
      </w:r>
    </w:p>
    <w:p>
      <w:pPr>
        <w:pStyle w:val="Normal"/>
        <w:ind w:left="5811" w:firstLine="1"/>
        <w:rPr>
          <w:sz w:val="20"/>
          <w:szCs w:val="20"/>
        </w:rPr>
      </w:pPr>
      <w:r>
        <w:rPr>
          <w:sz w:val="20"/>
          <w:szCs w:val="20"/>
        </w:rPr>
        <w:t>Приложение № 2</w:t>
      </w:r>
    </w:p>
    <w:p>
      <w:pPr>
        <w:pStyle w:val="Normal"/>
        <w:ind w:left="5811" w:firstLine="1"/>
        <w:rPr>
          <w:sz w:val="20"/>
          <w:szCs w:val="20"/>
        </w:rPr>
      </w:pPr>
      <w:r>
        <w:rPr>
          <w:sz w:val="20"/>
          <w:szCs w:val="20"/>
        </w:rPr>
        <w:t>к Требованиям к оформлению и составлению сметной документации на выполнение ПИР</w:t>
      </w:r>
    </w:p>
    <w:p>
      <w:pPr>
        <w:pStyle w:val="Normal"/>
        <w:shd w:val="clear" w:color="auto" w:fill="FFFFFF"/>
        <w:ind w:firstLine="567"/>
        <w:jc w:val="center"/>
        <w:rPr>
          <w:b/>
          <w:b/>
          <w:bCs/>
          <w:iCs/>
          <w:spacing w:val="-4"/>
          <w:szCs w:val="24"/>
        </w:rPr>
      </w:pPr>
      <w:r>
        <w:rPr>
          <w:b/>
          <w:bCs/>
          <w:iCs/>
          <w:spacing w:val="-4"/>
          <w:szCs w:val="24"/>
        </w:rPr>
      </w:r>
    </w:p>
    <w:p>
      <w:pPr>
        <w:pStyle w:val="Normal"/>
        <w:shd w:val="clear" w:color="auto" w:fill="FFFFFF"/>
        <w:ind w:firstLine="567"/>
        <w:jc w:val="center"/>
        <w:rPr>
          <w:b/>
          <w:b/>
          <w:spacing w:val="-4"/>
          <w:szCs w:val="24"/>
        </w:rPr>
      </w:pPr>
      <w:r>
        <w:rPr>
          <w:b/>
          <w:bCs/>
          <w:iCs/>
          <w:spacing w:val="-4"/>
          <w:szCs w:val="24"/>
        </w:rPr>
        <w:t>Образцы оформления сметной документации на проектные (изыскательские) работы</w:t>
      </w:r>
    </w:p>
    <w:p>
      <w:pPr>
        <w:pStyle w:val="Normal"/>
        <w:shd w:val="clear" w:color="auto" w:fill="FFFFFF"/>
        <w:ind w:right="565" w:firstLine="567"/>
        <w:jc w:val="center"/>
        <w:rPr>
          <w:b/>
          <w:b/>
          <w:szCs w:val="24"/>
        </w:rPr>
      </w:pPr>
      <w:r>
        <w:rPr>
          <w:b/>
          <w:szCs w:val="24"/>
        </w:rPr>
        <w:t>Образец 2П</w:t>
      </w:r>
    </w:p>
    <w:p>
      <w:pPr>
        <w:pStyle w:val="Normal"/>
        <w:shd w:val="clear" w:color="auto" w:fill="FFFFFF"/>
        <w:ind w:right="565" w:firstLine="567"/>
        <w:jc w:val="center"/>
        <w:rPr>
          <w:b/>
          <w:b/>
          <w:szCs w:val="24"/>
        </w:rPr>
      </w:pPr>
      <w:r>
        <w:rPr>
          <w:b/>
          <w:szCs w:val="24"/>
        </w:rPr>
      </w:r>
    </w:p>
    <w:tbl>
      <w:tblPr>
        <w:tblW w:w="982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823"/>
      </w:tblGrid>
      <w:tr>
        <w:trPr/>
        <w:tc>
          <w:tcPr>
            <w:tcW w:w="9823" w:type="dxa"/>
            <w:tcBorders/>
          </w:tcPr>
          <w:p>
            <w:pPr>
              <w:pStyle w:val="Normal"/>
              <w:widowControl w:val="false"/>
              <w:shd w:val="clear" w:color="auto" w:fill="FFFFFF"/>
              <w:ind w:left="5088" w:firstLine="1"/>
              <w:rPr>
                <w:szCs w:val="24"/>
              </w:rPr>
            </w:pPr>
            <w:r>
              <w:rPr>
                <w:szCs w:val="24"/>
              </w:rPr>
              <w:t>Приложение № ____к договору № _____</w:t>
            </w:r>
          </w:p>
          <w:p>
            <w:pPr>
              <w:pStyle w:val="Normal"/>
              <w:widowControl w:val="false"/>
              <w:shd w:val="clear" w:color="auto" w:fill="FFFFFF"/>
              <w:ind w:left="5088" w:firstLine="1"/>
              <w:rPr>
                <w:szCs w:val="24"/>
              </w:rPr>
            </w:pPr>
            <w:r>
              <w:rPr>
                <w:szCs w:val="24"/>
              </w:rPr>
              <w:t>от__________</w:t>
            </w:r>
          </w:p>
          <w:p>
            <w:pPr>
              <w:pStyle w:val="Normal"/>
              <w:widowControl w:val="false"/>
              <w:shd w:val="clear" w:color="auto" w:fill="FFFFFF"/>
              <w:ind w:left="3829" w:firstLine="1"/>
              <w:rPr>
                <w:szCs w:val="24"/>
              </w:rPr>
            </w:pPr>
            <w:r>
              <w:rPr>
                <w:szCs w:val="24"/>
              </w:rPr>
            </w:r>
          </w:p>
          <w:tbl>
            <w:tblPr>
              <w:tblW w:w="948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5285"/>
              <w:gridCol w:w="4196"/>
            </w:tblGrid>
            <w:tr>
              <w:trPr>
                <w:trHeight w:val="417" w:hRule="atLeast"/>
              </w:trPr>
              <w:tc>
                <w:tcPr>
                  <w:tcW w:w="5285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  <w:t>СОГЛАСОВАНО:</w:t>
                  </w:r>
                </w:p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_________________(Подрядчик)</w:t>
                  </w:r>
                </w:p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__________________ Ф.И.О</w:t>
                  </w:r>
                </w:p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4196" w:type="dxa"/>
                  <w:tcBorders/>
                </w:tcPr>
                <w:p>
                  <w:pPr>
                    <w:pStyle w:val="Normal"/>
                    <w:widowControl w:val="false"/>
                    <w:ind w:firstLine="1"/>
                    <w:rPr>
                      <w:b/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  <w:t>УТВЕРЖДАЮ:</w:t>
                  </w:r>
                </w:p>
                <w:p>
                  <w:pPr>
                    <w:pStyle w:val="Normal"/>
                    <w:widowControl w:val="false"/>
                    <w:ind w:firstLine="1"/>
                    <w:rPr>
                      <w:bCs/>
                      <w:szCs w:val="24"/>
                    </w:rPr>
                  </w:pPr>
                  <w:r>
                    <w:rPr>
                      <w:szCs w:val="24"/>
                    </w:rPr>
                    <w:t>_________________(Заказчик)</w:t>
                  </w:r>
                </w:p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_________________ Ф.И.О.</w:t>
                  </w:r>
                </w:p>
                <w:p>
                  <w:pPr>
                    <w:pStyle w:val="Normal"/>
                    <w:widowControl w:val="false"/>
                    <w:ind w:firstLine="1"/>
                    <w:rPr>
                      <w:b/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ind w:firstLine="1"/>
              <w:jc w:val="center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СМЕТА № </w:t>
              <w:br/>
              <w:t>на проектные (изыскательские) работы</w:t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  <w:t>Наименование предприятия, здания, сооружения, стадии проектирования, этапа, вида проектных или изыскательских работ__________________________________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  <w:t>Наименование проектной (изыскательской) организации__________________</w:t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pBdr>
                <w:bottom w:val="single" w:sz="12" w:space="1" w:color="000000"/>
              </w:pBdr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  <w:t>Наименование организации заказчика__________________________________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Составлена в текущих ценах, соответствующих периоду выполнения работ по договору</w:t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руб.</w:t>
            </w:r>
          </w:p>
          <w:tbl>
            <w:tblPr>
              <w:tblW w:w="9566" w:type="dxa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4a0" w:noHBand="0" w:noVBand="1" w:firstColumn="1" w:lastRow="0" w:lastColumn="0" w:firstRow="1"/>
            </w:tblPr>
            <w:tblGrid>
              <w:gridCol w:w="410"/>
              <w:gridCol w:w="2126"/>
              <w:gridCol w:w="3371"/>
              <w:gridCol w:w="1983"/>
              <w:gridCol w:w="1676"/>
            </w:tblGrid>
            <w:tr>
              <w:trPr>
                <w:tblHeader w:val="true"/>
              </w:trPr>
              <w:tc>
                <w:tcPr>
                  <w:tcW w:w="41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№ </w:t>
                  </w:r>
                  <w:r>
                    <w:rPr>
                      <w:szCs w:val="24"/>
                    </w:rPr>
                    <w:t>пп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Характеристика предприятия, здания, сооружения или виды работ</w:t>
                  </w:r>
                </w:p>
              </w:tc>
              <w:tc>
                <w:tcPr>
                  <w:tcW w:w="3371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Номер частей, глав, таблиц, процентов, параграфов и пунктов указаний к разделу Справочника базовых цен на проектные и изыскательские работы для строительства</w:t>
                  </w:r>
                </w:p>
              </w:tc>
              <w:tc>
                <w:tcPr>
                  <w:tcW w:w="198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Расчет стоимости:</w:t>
                    <w:br/>
                    <w:t xml:space="preserve"> (a + bx) </w:t>
                  </w:r>
                  <w:r>
                    <w:rPr>
                      <w:rFonts w:eastAsia="Symbol" w:cs="Symbol" w:ascii="Symbol" w:hAnsi="Symbol"/>
                      <w:szCs w:val="24"/>
                    </w:rPr>
                    <w:t></w:t>
                  </w:r>
                  <w:r>
                    <w:rPr>
                      <w:szCs w:val="24"/>
                    </w:rPr>
                    <w:t xml:space="preserve"> K</w:t>
                  </w:r>
                  <w:r>
                    <w:rPr>
                      <w:szCs w:val="24"/>
                      <w:vertAlign w:val="subscript"/>
                    </w:rPr>
                    <w:t>i</w:t>
                  </w:r>
                  <w:r>
                    <w:rPr>
                      <w:szCs w:val="24"/>
                    </w:rPr>
                    <w:t xml:space="preserve">, или (объем строительно-монтажных работ) </w:t>
                  </w:r>
                  <w:r>
                    <w:rPr>
                      <w:rFonts w:eastAsia="Symbol" w:cs="Symbol" w:ascii="Symbol" w:hAnsi="Symbol"/>
                      <w:szCs w:val="24"/>
                    </w:rPr>
                    <w:t></w:t>
                  </w:r>
                  <w:r>
                    <w:rPr>
                      <w:szCs w:val="24"/>
                    </w:rPr>
                    <w:t xml:space="preserve"> проц.</w:t>
                  </w:r>
                </w:p>
              </w:tc>
              <w:tc>
                <w:tcPr>
                  <w:tcW w:w="1676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Стоимость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410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126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3371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98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100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или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количество </w:t>
                  </w:r>
                  <w:r>
                    <w:rPr>
                      <w:rFonts w:eastAsia="Symbol" w:cs="Symbol" w:ascii="Symbol" w:hAnsi="Symbol"/>
                      <w:szCs w:val="24"/>
                    </w:rPr>
                    <w:t></w:t>
                  </w:r>
                  <w:r>
                    <w:rPr>
                      <w:szCs w:val="24"/>
                    </w:rPr>
                    <w:t xml:space="preserve"> цена</w:t>
                  </w:r>
                </w:p>
              </w:tc>
              <w:tc>
                <w:tcPr>
                  <w:tcW w:w="1676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  <w:tr>
              <w:trPr>
                <w:tblHeader w:val="true"/>
              </w:trPr>
              <w:tc>
                <w:tcPr>
                  <w:tcW w:w="4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3371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1983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16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5</w:t>
                  </w:r>
                </w:p>
              </w:tc>
            </w:tr>
            <w:tr>
              <w:trPr/>
              <w:tc>
                <w:tcPr>
                  <w:tcW w:w="410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3371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98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676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1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12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337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98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67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  <w:t>Составил:___________/должность, организация/____________/подпись/___________/расшифровка подписи/</w:t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ind w:firstLine="1"/>
              <w:rPr>
                <w:szCs w:val="24"/>
              </w:rPr>
            </w:pPr>
            <w:r>
              <w:rPr>
                <w:szCs w:val="24"/>
              </w:rPr>
              <w:t>Проверил:___________/должность, организация/___________/подпись/________/расшифровка подписи/</w:t>
            </w:r>
          </w:p>
        </w:tc>
      </w:tr>
      <w:tr>
        <w:trPr/>
        <w:tc>
          <w:tcPr>
            <w:tcW w:w="9823" w:type="dxa"/>
            <w:tcBorders/>
          </w:tcPr>
          <w:p>
            <w:pPr>
              <w:pStyle w:val="Normal"/>
              <w:widowControl w:val="false"/>
              <w:ind w:firstLine="1"/>
              <w:rPr>
                <w:szCs w:val="24"/>
              </w:rPr>
            </w:pPr>
            <w:r>
              <w:rPr>
                <w:szCs w:val="24"/>
              </w:rPr>
            </w:r>
          </w:p>
        </w:tc>
      </w:tr>
    </w:tbl>
    <w:p>
      <w:pPr>
        <w:pStyle w:val="Normal"/>
        <w:widowControl w:val="false"/>
        <w:ind w:firstLine="1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widowControl w:val="false"/>
        <w:ind w:firstLine="567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ind w:firstLine="567"/>
        <w:rPr>
          <w:iCs/>
          <w:szCs w:val="24"/>
        </w:rPr>
      </w:pPr>
      <w:r>
        <w:rPr>
          <w:iCs/>
          <w:szCs w:val="24"/>
        </w:rPr>
      </w:r>
      <w:r>
        <w:br w:type="page"/>
      </w:r>
    </w:p>
    <w:tbl>
      <w:tblPr>
        <w:tblW w:w="1028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281"/>
      </w:tblGrid>
      <w:tr>
        <w:trPr/>
        <w:tc>
          <w:tcPr>
            <w:tcW w:w="10281" w:type="dxa"/>
            <w:tcBorders/>
          </w:tcPr>
          <w:p>
            <w:pPr>
              <w:pStyle w:val="Normal"/>
              <w:pageBreakBefore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ind w:left="5811" w:hanging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Приложение к</w:t>
            </w:r>
          </w:p>
          <w:p>
            <w:pPr>
              <w:pStyle w:val="Normal"/>
              <w:widowControl w:val="false"/>
              <w:shd w:val="clear" w:color="auto" w:fill="FFFFFF"/>
              <w:ind w:left="5811" w:hanging="0"/>
              <w:rPr>
                <w:szCs w:val="24"/>
              </w:rPr>
            </w:pPr>
            <w:r>
              <w:rPr>
                <w:szCs w:val="24"/>
              </w:rPr>
              <w:t>_(договору, дополнительному соглашению)_________________________________________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</w:r>
          </w:p>
          <w:tbl>
            <w:tblPr>
              <w:tblW w:w="906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4858"/>
              <w:gridCol w:w="4201"/>
            </w:tblGrid>
            <w:tr>
              <w:trPr>
                <w:trHeight w:val="417" w:hRule="atLeast"/>
              </w:trPr>
              <w:tc>
                <w:tcPr>
                  <w:tcW w:w="4858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  <w:t>СОГЛАСОВАНО:</w:t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 (Подрядчик)</w:t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_________________ Ф.И.О.</w:t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4201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b/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  <w:t>УТВЕРЖДАЮ:</w:t>
                  </w:r>
                </w:p>
                <w:p>
                  <w:pPr>
                    <w:pStyle w:val="Normal"/>
                    <w:widowControl w:val="false"/>
                    <w:rPr>
                      <w:bCs/>
                      <w:szCs w:val="24"/>
                    </w:rPr>
                  </w:pPr>
                  <w:r>
                    <w:rPr>
                      <w:szCs w:val="24"/>
                    </w:rPr>
                    <w:t>_________________(Заказчик)</w:t>
                  </w:r>
                </w:p>
                <w:p>
                  <w:pPr>
                    <w:pStyle w:val="Normal"/>
                    <w:widowControl w:val="false"/>
                    <w:rPr>
                      <w:bCs/>
                      <w:szCs w:val="24"/>
                    </w:rPr>
                  </w:pPr>
                  <w:r>
                    <w:rPr>
                      <w:bCs/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_________________ Ф.И.О</w:t>
                  </w:r>
                </w:p>
                <w:p>
                  <w:pPr>
                    <w:pStyle w:val="Normal"/>
                    <w:widowControl w:val="false"/>
                    <w:rPr>
                      <w:b/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jc w:val="center"/>
              <w:rPr>
                <w:b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СМЕТА № </w:t>
              <w:br/>
              <w:t>на проектные (изыскательские) работы</w:t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Наименование предприятия, здания, сооружения, стадии проектирования, этапа, вида проектных или изыскательских работ__________________________________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Наименование проектной (изыскательской) организации__________________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pBdr>
                <w:bottom w:val="single" w:sz="12" w:space="1" w:color="000000"/>
              </w:pBdr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Наименование организации заказчика__________________________________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Составлена в текущих ценах, соответствующих периоду выполнения работ по договору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b/>
                <w:szCs w:val="24"/>
              </w:rPr>
              <w:t>1. Расчет заработной платы</w:t>
            </w:r>
            <w:r>
              <w:rPr>
                <w:szCs w:val="24"/>
              </w:rPr>
              <w:tab/>
              <w:tab/>
              <w:tab/>
              <w:tab/>
              <w:tab/>
              <w:tab/>
              <w:tab/>
              <w:tab/>
              <w:t>руб.</w:t>
            </w:r>
          </w:p>
          <w:tbl>
            <w:tblPr>
              <w:tblW w:w="5000" w:type="pct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4a0" w:noHBand="0" w:noVBand="1" w:firstColumn="1" w:lastRow="0" w:lastColumn="0" w:firstRow="1"/>
            </w:tblPr>
            <w:tblGrid>
              <w:gridCol w:w="605"/>
              <w:gridCol w:w="2340"/>
              <w:gridCol w:w="1242"/>
              <w:gridCol w:w="1180"/>
              <w:gridCol w:w="1379"/>
              <w:gridCol w:w="1383"/>
              <w:gridCol w:w="1934"/>
            </w:tblGrid>
            <w:tr>
              <w:trPr>
                <w:tblHeader w:val="true"/>
              </w:trPr>
              <w:tc>
                <w:tcPr>
                  <w:tcW w:w="60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№ </w:t>
                  </w:r>
                  <w:r>
                    <w:rPr>
                      <w:szCs w:val="24"/>
                    </w:rPr>
                    <w:t>п.п.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Перечень выполняемых работ</w:t>
                  </w:r>
                </w:p>
              </w:tc>
              <w:tc>
                <w:tcPr>
                  <w:tcW w:w="2422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Исполнители</w:t>
                  </w:r>
                </w:p>
              </w:tc>
              <w:tc>
                <w:tcPr>
                  <w:tcW w:w="1379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Количество человеко-дней</w:t>
                  </w:r>
                </w:p>
              </w:tc>
              <w:tc>
                <w:tcPr>
                  <w:tcW w:w="1383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Средняя оплата труда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>за 1 день</w:t>
                  </w:r>
                </w:p>
              </w:tc>
              <w:tc>
                <w:tcPr>
                  <w:tcW w:w="1934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Оплата труда (всего)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605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24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количество</w:t>
                  </w:r>
                </w:p>
              </w:tc>
              <w:tc>
                <w:tcPr>
                  <w:tcW w:w="118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должность</w:t>
                  </w:r>
                </w:p>
              </w:tc>
              <w:tc>
                <w:tcPr>
                  <w:tcW w:w="1379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383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934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  <w:tr>
              <w:trPr>
                <w:tblHeader w:val="true"/>
              </w:trPr>
              <w:tc>
                <w:tcPr>
                  <w:tcW w:w="6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124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118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1379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5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6</w:t>
                  </w:r>
                </w:p>
              </w:tc>
              <w:tc>
                <w:tcPr>
                  <w:tcW w:w="1934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7</w:t>
                  </w:r>
                </w:p>
              </w:tc>
            </w:tr>
            <w:tr>
              <w:trPr/>
              <w:tc>
                <w:tcPr>
                  <w:tcW w:w="605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24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18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379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934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60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34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24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18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37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383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934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Итого заработной платы, в руб.______________________________________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b/>
                <w:b/>
                <w:szCs w:val="24"/>
              </w:rPr>
            </w:pPr>
            <w:r>
              <w:rPr>
                <w:b/>
                <w:szCs w:val="24"/>
              </w:rPr>
              <w:t>2. Расчет стоимости выполнения работ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2.1 Процент заработной платы в составе себестоимости, %_______________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2.2 Себестоимость работ____________________________________________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2.3 Уровень рентабельности, %______________________________________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b/>
                <w:bCs/>
                <w:szCs w:val="24"/>
              </w:rPr>
              <w:t>Итого:</w:t>
            </w:r>
            <w:r>
              <w:rPr>
                <w:szCs w:val="24"/>
              </w:rPr>
              <w:t>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3 Командировочные расходы (по расчету)_____________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b/>
                <w:szCs w:val="24"/>
              </w:rPr>
              <w:t>Всего (руб.)</w:t>
            </w:r>
            <w:r>
              <w:rPr>
                <w:szCs w:val="24"/>
              </w:rPr>
              <w:t>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(сумма прописью)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Составил:______________/должность, организация/__________/подпись/_______/расшифровка подписи/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Проверил:___________/должность, организация/_____________/подпись/_______ /расшифровка подписи/</w:t>
            </w:r>
          </w:p>
        </w:tc>
      </w:tr>
      <w:tr>
        <w:trPr/>
        <w:tc>
          <w:tcPr>
            <w:tcW w:w="10281" w:type="dxa"/>
            <w:tcBorders/>
          </w:tcPr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</w:tc>
      </w:tr>
    </w:tbl>
    <w:p>
      <w:pPr>
        <w:pStyle w:val="Normal"/>
        <w:widowControl w:val="false"/>
        <w:ind w:firstLine="567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rPr>
          <w:iCs/>
          <w:szCs w:val="24"/>
        </w:rPr>
      </w:pPr>
      <w:r>
        <w:rPr>
          <w:iCs/>
          <w:szCs w:val="24"/>
        </w:rPr>
      </w:r>
      <w:r>
        <w:br w:type="page"/>
      </w:r>
    </w:p>
    <w:p>
      <w:pPr>
        <w:pStyle w:val="Normal"/>
        <w:ind w:left="5811" w:firstLine="567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№2</w:t>
      </w:r>
    </w:p>
    <w:p>
      <w:pPr>
        <w:pStyle w:val="Normal"/>
        <w:ind w:left="5811" w:firstLine="567"/>
        <w:jc w:val="right"/>
        <w:rPr>
          <w:sz w:val="20"/>
          <w:szCs w:val="20"/>
        </w:rPr>
      </w:pPr>
      <w:r>
        <w:rPr>
          <w:sz w:val="20"/>
          <w:szCs w:val="20"/>
        </w:rPr>
        <w:t>к пояснительной записке</w:t>
      </w:r>
    </w:p>
    <w:p>
      <w:pPr>
        <w:pStyle w:val="Normal"/>
        <w:ind w:left="5811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по заполнению формы 3П</w:t>
      </w:r>
    </w:p>
    <w:p>
      <w:pPr>
        <w:pStyle w:val="Normal"/>
        <w:ind w:left="6373" w:firstLine="567"/>
        <w:rPr>
          <w:szCs w:val="24"/>
        </w:rPr>
      </w:pPr>
      <w:r>
        <w:rPr>
          <w:szCs w:val="24"/>
        </w:rPr>
      </w:r>
    </w:p>
    <w:p>
      <w:pPr>
        <w:pStyle w:val="Normal"/>
        <w:ind w:firstLine="567"/>
        <w:rPr>
          <w:color w:val="FF0000"/>
          <w:szCs w:val="24"/>
        </w:rPr>
      </w:pPr>
      <w:r>
        <w:rPr>
          <w:color w:val="FF0000"/>
          <w:szCs w:val="24"/>
        </w:rPr>
      </w:r>
    </w:p>
    <w:p>
      <w:pPr>
        <w:pStyle w:val="Normal"/>
        <w:rPr>
          <w:b/>
          <w:b/>
          <w:szCs w:val="24"/>
        </w:rPr>
      </w:pPr>
      <w:r>
        <w:rPr>
          <w:b/>
          <w:szCs w:val="24"/>
        </w:rPr>
        <w:t xml:space="preserve">                                 </w:t>
      </w:r>
      <w:r>
        <w:rPr>
          <w:b/>
          <w:szCs w:val="24"/>
        </w:rPr>
        <w:t xml:space="preserve">Образец расчета командировочных расходов </w:t>
      </w:r>
    </w:p>
    <w:p>
      <w:pPr>
        <w:pStyle w:val="Normal"/>
        <w:ind w:firstLine="567"/>
        <w:jc w:val="right"/>
        <w:rPr>
          <w:szCs w:val="24"/>
        </w:rPr>
      </w:pPr>
      <w:r>
        <w:rPr>
          <w:szCs w:val="24"/>
        </w:rPr>
      </w:r>
    </w:p>
    <w:p>
      <w:pPr>
        <w:pStyle w:val="Normal"/>
        <w:ind w:firstLine="567"/>
        <w:jc w:val="right"/>
        <w:rPr>
          <w:szCs w:val="24"/>
        </w:rPr>
      </w:pPr>
      <w:r>
        <w:rPr>
          <w:szCs w:val="24"/>
        </w:rPr>
        <w:t>Приложение № __ к смете № __</w:t>
      </w:r>
    </w:p>
    <w:p>
      <w:pPr>
        <w:pStyle w:val="Normal"/>
        <w:ind w:firstLine="567"/>
        <w:jc w:val="center"/>
        <w:rPr>
          <w:b/>
          <w:b/>
          <w:szCs w:val="24"/>
        </w:rPr>
      </w:pPr>
      <w:r>
        <w:rPr>
          <w:b/>
          <w:szCs w:val="24"/>
        </w:rPr>
        <w:t>Расчет командировочных расходов</w:t>
      </w:r>
    </w:p>
    <w:tbl>
      <w:tblPr>
        <w:tblW w:w="9752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707"/>
        <w:gridCol w:w="848"/>
        <w:gridCol w:w="884"/>
        <w:gridCol w:w="993"/>
        <w:gridCol w:w="848"/>
        <w:gridCol w:w="1278"/>
        <w:gridCol w:w="961"/>
        <w:gridCol w:w="856"/>
        <w:gridCol w:w="824"/>
        <w:gridCol w:w="984"/>
      </w:tblGrid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пп.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Пункт назначения </w:t>
              <w:br/>
              <w:t>(туда / обратно)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транспорта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проезда, руб. (без НДС)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дней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суточных, руб./сут. </w:t>
              <w:br/>
              <w:t>(без НДС)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проживания руб./сут. </w:t>
              <w:br/>
              <w:t>(без НДС)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командировок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  <w:p>
            <w:pPr>
              <w:pStyle w:val="Normal"/>
              <w:widowControl w:val="false"/>
              <w:ind w:left="-389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командированванных человек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 стоимость командировочных расходов, руб. </w:t>
              <w:br/>
              <w:t>(без НДС)</w:t>
            </w:r>
          </w:p>
        </w:tc>
      </w:tr>
      <w:tr>
        <w:trPr/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1 в пункт 5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1 в пункт 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2 в пункт 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4 в пункт 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4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стоимость командировочных расходов из пункта 1 в пункт 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17" w:hRule="atLeast"/>
        </w:trPr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0816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0816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5 в пункт 1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5 в пункт 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4 в пункт 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2 в пункт 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4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стоимость командировочных расходов из пункта 5 в пункт 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4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стоимость командировочных расходов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left="5812" w:firstLine="567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rPr>
          <w:iCs/>
          <w:szCs w:val="24"/>
        </w:rPr>
      </w:pPr>
      <w:r>
        <w:rPr>
          <w:iCs/>
          <w:szCs w:val="24"/>
        </w:rPr>
      </w:r>
      <w:r>
        <w:br w:type="page"/>
      </w:r>
    </w:p>
    <w:p>
      <w:pPr>
        <w:pStyle w:val="Normal"/>
        <w:ind w:left="5811" w:firstLine="1"/>
        <w:rPr>
          <w:sz w:val="20"/>
          <w:szCs w:val="20"/>
        </w:rPr>
      </w:pPr>
      <w:r>
        <w:rPr>
          <w:sz w:val="20"/>
          <w:szCs w:val="20"/>
        </w:rPr>
        <w:t>Приложение № 3</w:t>
      </w:r>
    </w:p>
    <w:p>
      <w:pPr>
        <w:pStyle w:val="Normal"/>
        <w:ind w:left="5811" w:firstLine="1"/>
        <w:rPr>
          <w:sz w:val="20"/>
          <w:szCs w:val="20"/>
        </w:rPr>
      </w:pPr>
      <w:r>
        <w:rPr>
          <w:sz w:val="20"/>
          <w:szCs w:val="20"/>
        </w:rPr>
        <w:t>к Требованиям к оформлению и составлению сметной документации на выполнение ПИР</w:t>
      </w:r>
    </w:p>
    <w:tbl>
      <w:tblPr>
        <w:tblW w:w="14853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14"/>
        <w:gridCol w:w="238"/>
        <w:gridCol w:w="2183"/>
        <w:gridCol w:w="1095"/>
        <w:gridCol w:w="306"/>
        <w:gridCol w:w="236"/>
        <w:gridCol w:w="1580"/>
      </w:tblGrid>
      <w:tr>
        <w:trPr>
          <w:trHeight w:val="20" w:hRule="atLeast"/>
        </w:trPr>
        <w:tc>
          <w:tcPr>
            <w:tcW w:w="9214" w:type="dxa"/>
            <w:tcBorders/>
            <w:vAlign w:val="bottom"/>
          </w:tcPr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  <w:bookmarkStart w:id="38" w:name="RANGE!A1%25252525252525253AD25"/>
            <w:bookmarkStart w:id="39" w:name="RANGE!A1%25252525252525253AD25"/>
            <w:bookmarkEnd w:id="39"/>
          </w:p>
          <w:p>
            <w:pPr>
              <w:pStyle w:val="Normal"/>
              <w:widowControl w:val="false"/>
              <w:ind w:hanging="47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                                                </w:t>
            </w:r>
            <w:r>
              <w:rPr>
                <w:szCs w:val="24"/>
              </w:rPr>
              <w:t>к Договору</w:t>
            </w:r>
          </w:p>
          <w:p>
            <w:pPr>
              <w:pStyle w:val="Normal"/>
              <w:widowControl w:val="false"/>
              <w:ind w:hanging="47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                                                                </w:t>
            </w:r>
            <w:r>
              <w:rPr>
                <w:szCs w:val="24"/>
              </w:rPr>
              <w:t>от___ ______202___</w:t>
            </w:r>
          </w:p>
          <w:p>
            <w:pPr>
              <w:pStyle w:val="Normal"/>
              <w:widowControl w:val="false"/>
              <w:ind w:hanging="47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                                                    № </w:t>
            </w:r>
            <w:r>
              <w:rPr>
                <w:szCs w:val="24"/>
              </w:rPr>
              <w:t>_________</w:t>
            </w:r>
          </w:p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  <w:t>СОГЛАСОВАНО:                                                                                   УТВЕРЖДЕНО:</w:t>
            </w:r>
          </w:p>
        </w:tc>
        <w:tc>
          <w:tcPr>
            <w:tcW w:w="238" w:type="dxa"/>
            <w:tcBorders/>
            <w:vAlign w:val="bottom"/>
          </w:tcPr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183" w:type="dxa"/>
            <w:tcBorders/>
            <w:vAlign w:val="bottom"/>
          </w:tcPr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401" w:type="dxa"/>
            <w:gridSpan w:val="2"/>
            <w:tcBorders/>
            <w:shd w:color="auto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627" w:leader="none"/>
              </w:tabs>
              <w:ind w:left="-526" w:firstLine="567"/>
              <w:jc w:val="right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rPr>
                <w:b/>
                <w:b/>
                <w:i/>
                <w:i/>
                <w:szCs w:val="24"/>
              </w:rPr>
            </w:pPr>
            <w:r>
              <w:rPr>
                <w:b/>
                <w:i/>
                <w:szCs w:val="24"/>
              </w:rPr>
            </w:r>
          </w:p>
        </w:tc>
        <w:tc>
          <w:tcPr>
            <w:tcW w:w="1580" w:type="dxa"/>
            <w:tcBorders/>
          </w:tcPr>
          <w:p>
            <w:pPr>
              <w:pStyle w:val="Normal"/>
              <w:widowControl w:val="false"/>
              <w:rPr>
                <w:b/>
                <w:b/>
                <w:i/>
                <w:i/>
                <w:szCs w:val="24"/>
              </w:rPr>
            </w:pPr>
            <w:r>
              <w:rPr>
                <w:b/>
                <w:i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9214" w:type="dxa"/>
            <w:tcBorders/>
            <w:vAlign w:val="bottom"/>
          </w:tcPr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38" w:type="dxa"/>
            <w:tcBorders/>
            <w:vAlign w:val="bottom"/>
          </w:tcPr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3278" w:type="dxa"/>
            <w:gridSpan w:val="2"/>
            <w:tcBorders/>
            <w:vAlign w:val="bottom"/>
          </w:tcPr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542" w:type="dxa"/>
            <w:gridSpan w:val="2"/>
            <w:tcBorders/>
            <w:shd w:color="auto" w:fill="FFFFFF" w:val="clear"/>
          </w:tcPr>
          <w:p>
            <w:pPr>
              <w:pStyle w:val="Normal"/>
              <w:widowControl w:val="false"/>
              <w:ind w:firstLine="567"/>
              <w:jc w:val="right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580" w:type="dxa"/>
            <w:tcBorders/>
          </w:tcPr>
          <w:p>
            <w:pPr>
              <w:pStyle w:val="Normal"/>
              <w:widowControl w:val="false"/>
              <w:rPr>
                <w:b/>
                <w:b/>
                <w:i/>
                <w:i/>
                <w:szCs w:val="24"/>
              </w:rPr>
            </w:pPr>
            <w:r>
              <w:rPr>
                <w:b/>
                <w:i/>
                <w:szCs w:val="24"/>
              </w:rPr>
            </w:r>
          </w:p>
        </w:tc>
      </w:tr>
      <w:tr>
        <w:trPr/>
        <w:tc>
          <w:tcPr>
            <w:tcW w:w="11635" w:type="dxa"/>
            <w:gridSpan w:val="3"/>
            <w:tcBorders/>
          </w:tcPr>
          <w:tbl>
            <w:tblPr>
              <w:tblW w:w="9969" w:type="dxa"/>
              <w:jc w:val="left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noHBand="0" w:noVBand="0" w:firstColumn="0" w:lastRow="0" w:lastColumn="0" w:firstRow="0"/>
            </w:tblPr>
            <w:tblGrid>
              <w:gridCol w:w="565"/>
              <w:gridCol w:w="18"/>
              <w:gridCol w:w="578"/>
              <w:gridCol w:w="750"/>
              <w:gridCol w:w="166"/>
              <w:gridCol w:w="1371"/>
              <w:gridCol w:w="41"/>
              <w:gridCol w:w="296"/>
              <w:gridCol w:w="181"/>
              <w:gridCol w:w="1136"/>
              <w:gridCol w:w="93"/>
              <w:gridCol w:w="88"/>
              <w:gridCol w:w="729"/>
              <w:gridCol w:w="1415"/>
              <w:gridCol w:w="2001"/>
              <w:gridCol w:w="152"/>
              <w:gridCol w:w="245"/>
              <w:gridCol w:w="144"/>
            </w:tblGrid>
            <w:tr>
              <w:trPr/>
              <w:tc>
                <w:tcPr>
                  <w:tcW w:w="9580" w:type="dxa"/>
                  <w:gridSpan w:val="16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СВОДНАЯ СМЕТА №</w:t>
                  </w:r>
                </w:p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на проектные работы и инженерные изыскания</w:t>
                  </w:r>
                </w:p>
              </w:tc>
              <w:tc>
                <w:tcPr>
                  <w:tcW w:w="245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9015" w:type="dxa"/>
                  <w:gridSpan w:val="15"/>
                  <w:tcBorders>
                    <w:bottom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45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9015" w:type="dxa"/>
                  <w:gridSpan w:val="15"/>
                  <w:tcBorders>
                    <w:top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стройки)</w:t>
                  </w:r>
                </w:p>
              </w:tc>
              <w:tc>
                <w:tcPr>
                  <w:tcW w:w="245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346" w:type="dxa"/>
                  <w:gridSpan w:val="3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Заказчик</w:t>
                  </w:r>
                </w:p>
              </w:tc>
              <w:tc>
                <w:tcPr>
                  <w:tcW w:w="7914" w:type="dxa"/>
                  <w:gridSpan w:val="13"/>
                  <w:tcBorders>
                    <w:bottom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346" w:type="dxa"/>
                  <w:gridSpan w:val="3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7914" w:type="dxa"/>
                  <w:gridSpan w:val="13"/>
                  <w:tcBorders>
                    <w:top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организации)</w:t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3401" w:type="dxa"/>
                  <w:gridSpan w:val="8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Изыскательская организация</w:t>
                  </w:r>
                </w:p>
              </w:tc>
              <w:tc>
                <w:tcPr>
                  <w:tcW w:w="5859" w:type="dxa"/>
                  <w:gridSpan w:val="8"/>
                  <w:tcBorders>
                    <w:bottom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9260" w:type="dxa"/>
                  <w:gridSpan w:val="16"/>
                  <w:tcBorders>
                    <w:bottom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9260" w:type="dxa"/>
                  <w:gridSpan w:val="16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организации)</w:t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924" w:type="dxa"/>
                  <w:gridSpan w:val="6"/>
                  <w:tcBorders>
                    <w:top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Проектная организация</w:t>
                  </w:r>
                </w:p>
              </w:tc>
              <w:tc>
                <w:tcPr>
                  <w:tcW w:w="6336" w:type="dxa"/>
                  <w:gridSpan w:val="10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9260" w:type="dxa"/>
                  <w:gridSpan w:val="16"/>
                  <w:tcBorders>
                    <w:bottom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>
                <w:trHeight w:val="352" w:hRule="atLeast"/>
              </w:trPr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9260" w:type="dxa"/>
                  <w:gridSpan w:val="16"/>
                  <w:tcBorders>
                    <w:top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организации)</w:t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83" w:type="dxa"/>
                  <w:gridSpan w:val="2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8845" w:type="dxa"/>
                  <w:gridSpan w:val="13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Составлена в уровне цен на ________________ 20__ г.</w:t>
                  </w:r>
                </w:p>
              </w:tc>
              <w:tc>
                <w:tcPr>
                  <w:tcW w:w="152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  <w:tc>
                <w:tcPr>
                  <w:tcW w:w="245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w="1161" w:type="dxa"/>
                  <w:gridSpan w:val="3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2287" w:type="dxa"/>
                  <w:gridSpan w:val="3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Наименование смет на проектные работы и инженерные изыскания, затрат</w:t>
                  </w:r>
                </w:p>
              </w:tc>
              <w:tc>
                <w:tcPr>
                  <w:tcW w:w="1747" w:type="dxa"/>
                  <w:gridSpan w:val="5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Обоснование</w:t>
                  </w:r>
                </w:p>
              </w:tc>
              <w:tc>
                <w:tcPr>
                  <w:tcW w:w="4774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Сметная стоимость, руб.</w:t>
                  </w:r>
                </w:p>
              </w:tc>
            </w:tr>
            <w:tr>
              <w:trPr>
                <w:trHeight w:val="74" w:hRule="atLeast"/>
              </w:trPr>
              <w:tc>
                <w:tcPr>
                  <w:tcW w:w="1161" w:type="dxa"/>
                  <w:gridSpan w:val="3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ind w:hanging="47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287" w:type="dxa"/>
                  <w:gridSpan w:val="3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ind w:hanging="47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747" w:type="dxa"/>
                  <w:gridSpan w:val="5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ind w:hanging="47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инженерных изысканий</w:t>
                  </w:r>
                </w:p>
              </w:tc>
              <w:tc>
                <w:tcPr>
                  <w:tcW w:w="254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проектных работ</w:t>
                  </w:r>
                </w:p>
              </w:tc>
            </w:tr>
            <w:tr>
              <w:trPr/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47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54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</w:tr>
            <w:tr>
              <w:trPr/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Инженерные изыскания</w:t>
                  </w:r>
                </w:p>
              </w:tc>
              <w:tc>
                <w:tcPr>
                  <w:tcW w:w="1747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54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32" w:hRule="atLeast"/>
              </w:trPr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Наименование сметы на инженерные изыскания</w:t>
                  </w:r>
                </w:p>
              </w:tc>
              <w:tc>
                <w:tcPr>
                  <w:tcW w:w="1747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&lt;X&gt;</w:t>
                  </w:r>
                </w:p>
              </w:tc>
              <w:tc>
                <w:tcPr>
                  <w:tcW w:w="254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281" w:hRule="atLeast"/>
              </w:trPr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Проектная документация</w:t>
                  </w:r>
                </w:p>
              </w:tc>
              <w:tc>
                <w:tcPr>
                  <w:tcW w:w="1747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54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47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54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&lt;X&gt;</w:t>
                  </w:r>
                </w:p>
              </w:tc>
            </w:tr>
            <w:tr>
              <w:trPr>
                <w:trHeight w:val="323" w:hRule="atLeast"/>
              </w:trPr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III</w:t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Рабочая документация</w:t>
                  </w:r>
                </w:p>
              </w:tc>
              <w:tc>
                <w:tcPr>
                  <w:tcW w:w="1747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54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47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54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&lt;X&gt;</w:t>
                  </w:r>
                </w:p>
              </w:tc>
            </w:tr>
            <w:tr>
              <w:trPr/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Итого по видам работ</w:t>
                  </w:r>
                </w:p>
              </w:tc>
              <w:tc>
                <w:tcPr>
                  <w:tcW w:w="1747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&lt;X&gt;</w:t>
                  </w:r>
                </w:p>
              </w:tc>
              <w:tc>
                <w:tcPr>
                  <w:tcW w:w="254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&lt;X&gt;</w:t>
                  </w:r>
                </w:p>
              </w:tc>
            </w:tr>
            <w:tr>
              <w:trPr/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1747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4774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&lt;X&gt;</w:t>
                  </w:r>
                </w:p>
              </w:tc>
            </w:tr>
            <w:tr>
              <w:trPr>
                <w:trHeight w:val="466" w:hRule="atLeast"/>
              </w:trPr>
              <w:tc>
                <w:tcPr>
                  <w:tcW w:w="3785" w:type="dxa"/>
                  <w:gridSpan w:val="8"/>
                  <w:tcBorders>
                    <w:top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Руководитель</w:t>
                  </w:r>
                </w:p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проектной организации</w:t>
                  </w:r>
                </w:p>
              </w:tc>
              <w:tc>
                <w:tcPr>
                  <w:tcW w:w="6184" w:type="dxa"/>
                  <w:gridSpan w:val="10"/>
                  <w:tcBorders>
                    <w:top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______________________________________________</w:t>
                  </w:r>
                </w:p>
              </w:tc>
            </w:tr>
            <w:tr>
              <w:trPr/>
              <w:tc>
                <w:tcPr>
                  <w:tcW w:w="3785" w:type="dxa"/>
                  <w:gridSpan w:val="8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6184" w:type="dxa"/>
                  <w:gridSpan w:val="10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[подпись (инициалы, фамилия)]</w:t>
                  </w:r>
                </w:p>
              </w:tc>
            </w:tr>
            <w:tr>
              <w:trPr/>
              <w:tc>
                <w:tcPr>
                  <w:tcW w:w="3785" w:type="dxa"/>
                  <w:gridSpan w:val="8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Главный инженер проекта</w:t>
                  </w:r>
                </w:p>
              </w:tc>
              <w:tc>
                <w:tcPr>
                  <w:tcW w:w="6184" w:type="dxa"/>
                  <w:gridSpan w:val="10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________________________________________</w:t>
                  </w:r>
                </w:p>
              </w:tc>
            </w:tr>
            <w:tr>
              <w:trPr>
                <w:trHeight w:val="21" w:hRule="atLeast"/>
              </w:trPr>
              <w:tc>
                <w:tcPr>
                  <w:tcW w:w="3785" w:type="dxa"/>
                  <w:gridSpan w:val="8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6184" w:type="dxa"/>
                  <w:gridSpan w:val="10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[подпись (инициалы, фамилия)]</w:t>
                  </w:r>
                </w:p>
              </w:tc>
            </w:tr>
            <w:tr>
              <w:trPr/>
              <w:tc>
                <w:tcPr>
                  <w:tcW w:w="2077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Начальник отдела</w:t>
                  </w:r>
                </w:p>
              </w:tc>
              <w:tc>
                <w:tcPr>
                  <w:tcW w:w="3025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81" w:type="dxa"/>
                  <w:gridSpan w:val="2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4686" w:type="dxa"/>
                  <w:gridSpan w:val="6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____________________________________</w:t>
                  </w:r>
                </w:p>
              </w:tc>
            </w:tr>
            <w:tr>
              <w:trPr>
                <w:trHeight w:val="347" w:hRule="atLeast"/>
              </w:trPr>
              <w:tc>
                <w:tcPr>
                  <w:tcW w:w="2077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3025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910" w:type="dxa"/>
                  <w:gridSpan w:val="3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3957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[подпись (инициалы, фамилия)]</w:t>
                  </w:r>
                </w:p>
              </w:tc>
            </w:tr>
            <w:tr>
              <w:trPr/>
              <w:tc>
                <w:tcPr>
                  <w:tcW w:w="2077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Заказчик</w:t>
                  </w:r>
                </w:p>
              </w:tc>
              <w:tc>
                <w:tcPr>
                  <w:tcW w:w="7892" w:type="dxa"/>
                  <w:gridSpan w:val="13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2077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7892" w:type="dxa"/>
                  <w:gridSpan w:val="13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[должность, подпись (инициалы, фамилия)]</w:t>
                  </w:r>
                </w:p>
              </w:tc>
            </w:tr>
          </w:tbl>
          <w:p>
            <w:pPr>
              <w:pStyle w:val="ConsPlusNormal1"/>
              <w:widowControl w:val="false"/>
              <w:ind w:right="-5522" w:hanging="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17" w:type="dxa"/>
            <w:gridSpan w:val="4"/>
            <w:tcBorders/>
          </w:tcPr>
          <w:p>
            <w:pPr>
              <w:pStyle w:val="ConsPlusNormal1"/>
              <w:widowControl w:val="false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ectPr>
          <w:headerReference w:type="default" r:id="rId10"/>
          <w:footnotePr>
            <w:numFmt w:val="decimal"/>
          </w:footnotePr>
          <w:type w:val="nextPage"/>
          <w:pgSz w:w="11906" w:h="16838"/>
          <w:pgMar w:left="1418" w:right="850" w:header="709" w:top="1134" w:footer="0" w:bottom="1134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rPr>
          <w:szCs w:val="24"/>
        </w:rPr>
      </w:pPr>
      <w:r>
        <w:rPr/>
      </w:r>
    </w:p>
    <w:sectPr>
      <w:headerReference w:type="default" r:id="rId11"/>
      <w:footnotePr>
        <w:numFmt w:val="decimal"/>
      </w:footnotePr>
      <w:type w:val="nextPage"/>
      <w:pgSz w:w="11906" w:h="16838"/>
      <w:pgMar w:left="1134" w:right="1134" w:header="709" w:top="766" w:footer="0" w:bottom="8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Symbol">
    <w:charset w:val="01"/>
    <w:family w:val="roman"/>
    <w:pitch w:val="variable"/>
  </w:font>
  <w:font w:name="Times New Roman">
    <w:charset w:val="01"/>
    <w:family w:val="auto"/>
    <w:pitch w:val="variable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35"/>
        <w:rPr/>
      </w:pPr>
      <w:r>
        <w:rPr>
          <w:rStyle w:val="Style6"/>
        </w:rPr>
        <w:footnoteRef/>
      </w:r>
      <w:r>
        <w:rPr/>
        <w:t xml:space="preserve"> </w:t>
      </w:r>
      <w:r>
        <w:rPr/>
        <w:t>Если в организации функции главного бухгалтера выполняет генеральный директор–ставится только его виза.</w:t>
      </w:r>
    </w:p>
    <w:p>
      <w:pPr>
        <w:pStyle w:val="Style35"/>
        <w:rPr/>
      </w:pPr>
      <w:r>
        <w:rPr/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25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26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pStyle w:val="4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3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</w:lvl>
  </w:abstractNum>
  <w:abstractNum w:abstractNumId="3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3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i w:val="fals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1080" w:hanging="720"/>
      </w:pPr>
      <w:rPr>
        <w:rFonts w:ascii="Courier New" w:hAnsi="Courier New" w:cs="Courier New" w:hint="default"/>
        <w:sz w:val="24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13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2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3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4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5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6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7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8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9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40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8"/>
      <w:lang w:val="ru-RU" w:eastAsia="ru-RU" w:bidi="ar-SA"/>
    </w:rPr>
  </w:style>
  <w:style w:type="paragraph" w:styleId="1">
    <w:name w:val="Heading 1"/>
    <w:basedOn w:val="3"/>
    <w:qFormat/>
    <w:pPr>
      <w:numPr>
        <w:ilvl w:val="0"/>
        <w:numId w:val="1"/>
      </w:numPr>
      <w:jc w:val="center"/>
      <w:outlineLvl w:val="0"/>
    </w:pPr>
    <w:rPr>
      <w:sz w:val="28"/>
      <w:szCs w:val="28"/>
    </w:rPr>
  </w:style>
  <w:style w:type="paragraph" w:styleId="2">
    <w:name w:val="Heading 2"/>
    <w:basedOn w:val="4"/>
    <w:qFormat/>
    <w:pPr>
      <w:numPr>
        <w:ilvl w:val="0"/>
        <w:numId w:val="0"/>
      </w:numPr>
      <w:outlineLvl w:val="1"/>
    </w:pPr>
    <w:rPr/>
  </w:style>
  <w:style w:type="paragraph" w:styleId="3">
    <w:name w:val="Heading 3"/>
    <w:basedOn w:val="Normal"/>
    <w:qFormat/>
    <w:pPr>
      <w:widowControl w:val="false"/>
      <w:numPr>
        <w:ilvl w:val="2"/>
        <w:numId w:val="1"/>
      </w:numPr>
      <w:spacing w:before="120" w:after="120"/>
      <w:outlineLvl w:val="2"/>
    </w:pPr>
    <w:rPr>
      <w:rFonts w:eastAsia="Calibri"/>
      <w:b/>
      <w:szCs w:val="24"/>
    </w:rPr>
  </w:style>
  <w:style w:type="paragraph" w:styleId="4">
    <w:name w:val="Heading 4"/>
    <w:basedOn w:val="3"/>
    <w:qFormat/>
    <w:pPr>
      <w:numPr>
        <w:ilvl w:val="1"/>
        <w:numId w:val="1"/>
      </w:numPr>
      <w:outlineLvl w:val="1"/>
    </w:pPr>
    <w:rPr>
      <w:bCs/>
    </w:rPr>
  </w:style>
  <w:style w:type="paragraph" w:styleId="5">
    <w:name w:val="Heading 5"/>
    <w:basedOn w:val="Normal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Normal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Normal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Normal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CaptionChar" w:customStyle="1">
    <w:name w:val="Caption Char"/>
    <w:uiPriority w:val="99"/>
    <w:qFormat/>
    <w:rPr/>
  </w:style>
  <w:style w:type="character" w:styleId="Style5">
    <w:name w:val="Интернет-ссылка"/>
    <w:uiPriority w:val="99"/>
    <w:rPr>
      <w:color w:val="0000FF"/>
      <w:u w:val="single"/>
    </w:rPr>
  </w:style>
  <w:style w:type="character" w:styleId="Style6" w:customStyle="1">
    <w:name w:val="Символ сноски"/>
    <w:uiPriority w:val="99"/>
    <w:qFormat/>
    <w:rPr>
      <w:vertAlign w:val="superscript"/>
    </w:rPr>
  </w:style>
  <w:style w:type="character" w:styleId="Style7">
    <w:name w:val="Привязка сноски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8" w:customStyle="1">
    <w:name w:val="Символ концевой сноски"/>
    <w:qFormat/>
    <w:rPr>
      <w:vertAlign w:val="superscript"/>
    </w:rPr>
  </w:style>
  <w:style w:type="character" w:styleId="Style9">
    <w:name w:val="Привязка концевой сноски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1" w:customStyle="1">
    <w:name w:val="Название Знак1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10" w:customStyle="1">
    <w:name w:val="Нижний колонтитул Знак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Pagenumber">
    <w:name w:val="page number"/>
    <w:basedOn w:val="DefaultParagraphFont"/>
    <w:qFormat/>
    <w:rPr/>
  </w:style>
  <w:style w:type="character" w:styleId="Annotationreference">
    <w:name w:val="annotation reference"/>
    <w:uiPriority w:val="99"/>
    <w:semiHidden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1" w:customStyle="1">
    <w:name w:val="Заголовок 6 Знак"/>
    <w:uiPriority w:val="9"/>
    <w:qFormat/>
    <w:rPr>
      <w:rFonts w:ascii="Cambria" w:hAnsi="Cambria"/>
      <w:i/>
      <w:iCs/>
      <w:color w:val="243F60"/>
    </w:rPr>
  </w:style>
  <w:style w:type="character" w:styleId="71" w:customStyle="1">
    <w:name w:val="Заголовок 7 Знак"/>
    <w:uiPriority w:val="9"/>
    <w:qFormat/>
    <w:rPr>
      <w:rFonts w:ascii="Cambria" w:hAnsi="Cambria"/>
      <w:i/>
      <w:iCs/>
      <w:color w:val="404040"/>
    </w:rPr>
  </w:style>
  <w:style w:type="character" w:styleId="81" w:customStyle="1">
    <w:name w:val="Заголовок 8 Знак"/>
    <w:uiPriority w:val="9"/>
    <w:qFormat/>
    <w:rPr>
      <w:rFonts w:ascii="Cambria" w:hAnsi="Cambria"/>
      <w:color w:val="4F81BD"/>
    </w:rPr>
  </w:style>
  <w:style w:type="character" w:styleId="12" w:customStyle="1">
    <w:name w:val="Заголовок 1 Знак"/>
    <w:qFormat/>
    <w:rPr>
      <w:rFonts w:eastAsia="Calibri"/>
      <w:b/>
      <w:sz w:val="28"/>
      <w:szCs w:val="28"/>
    </w:rPr>
  </w:style>
  <w:style w:type="character" w:styleId="21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1" w:customStyle="1">
    <w:name w:val="Заголовок 3 Знак"/>
    <w:qFormat/>
    <w:rPr>
      <w:rFonts w:eastAsia="Calibri"/>
      <w:b/>
      <w:sz w:val="24"/>
      <w:szCs w:val="24"/>
    </w:rPr>
  </w:style>
  <w:style w:type="character" w:styleId="41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1" w:customStyle="1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styleId="91" w:customStyle="1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styleId="Style11" w:customStyle="1">
    <w:name w:val="Название Знак"/>
    <w:uiPriority w:val="10"/>
    <w:qFormat/>
    <w:rPr>
      <w:sz w:val="28"/>
    </w:rPr>
  </w:style>
  <w:style w:type="character" w:styleId="Style12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Style13">
    <w:name w:val="Выделение"/>
    <w:uiPriority w:val="20"/>
    <w:qFormat/>
    <w:rPr>
      <w:i/>
      <w:iCs/>
    </w:rPr>
  </w:style>
  <w:style w:type="character" w:styleId="22" w:customStyle="1">
    <w:name w:val="Цитата 2 Знак"/>
    <w:uiPriority w:val="29"/>
    <w:qFormat/>
    <w:rPr>
      <w:rFonts w:ascii="Calibri" w:hAnsi="Calibri" w:eastAsia="Calibri"/>
      <w:i/>
      <w:iCs/>
      <w:color w:val="000000"/>
    </w:rPr>
  </w:style>
  <w:style w:type="character" w:styleId="Style14" w:customStyle="1">
    <w:name w:val="Выделенная цитата Знак"/>
    <w:uiPriority w:val="30"/>
    <w:qFormat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Style15" w:customStyle="1">
    <w:name w:val="Электронная подпись Знак"/>
    <w:uiPriority w:val="99"/>
    <w:qFormat/>
    <w:rPr>
      <w:rFonts w:eastAsia="Calibri"/>
      <w:sz w:val="24"/>
      <w:szCs w:val="24"/>
    </w:rPr>
  </w:style>
  <w:style w:type="character" w:styleId="13" w:customStyle="1">
    <w:name w:val="Подпункт Знак1"/>
    <w:qFormat/>
    <w:rPr>
      <w:sz w:val="28"/>
    </w:rPr>
  </w:style>
  <w:style w:type="character" w:styleId="Style16" w:customStyle="1">
    <w:name w:val="Текст сноски Знак"/>
    <w:uiPriority w:val="99"/>
    <w:qFormat/>
    <w:rPr/>
  </w:style>
  <w:style w:type="character" w:styleId="Style17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18" w:customStyle="1">
    <w:name w:val="Абзац списка Знак"/>
    <w:uiPriority w:val="34"/>
    <w:qFormat/>
    <w:rPr>
      <w:rFonts w:eastAsia="Calibri"/>
      <w:sz w:val="24"/>
      <w:szCs w:val="24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Style20" w:customStyle="1">
    <w:name w:val="Подподпункт Знак"/>
    <w:qFormat/>
    <w:rPr>
      <w:sz w:val="26"/>
      <w:szCs w:val="26"/>
    </w:rPr>
  </w:style>
  <w:style w:type="character" w:styleId="32" w:customStyle="1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21" w:customStyle="1">
    <w:name w:val="Верхний колонтитул Знак"/>
    <w:uiPriority w:val="99"/>
    <w:qFormat/>
    <w:rPr>
      <w:sz w:val="24"/>
      <w:szCs w:val="24"/>
    </w:rPr>
  </w:style>
  <w:style w:type="character" w:styleId="Style22" w:customStyle="1">
    <w:name w:val="Текст примечания Знак"/>
    <w:semiHidden/>
    <w:qFormat/>
    <w:rPr/>
  </w:style>
  <w:style w:type="character" w:styleId="Style23" w:customStyle="1">
    <w:name w:val="Текст концевой сноски Знак"/>
    <w:basedOn w:val="DefaultParagraphFont"/>
    <w:qFormat/>
    <w:rPr/>
  </w:style>
  <w:style w:type="character" w:styleId="23" w:customStyle="1">
    <w:name w:val="Пункт2 Знак"/>
    <w:qFormat/>
    <w:rPr>
      <w:b/>
      <w:sz w:val="28"/>
    </w:rPr>
  </w:style>
  <w:style w:type="character" w:styleId="14" w:customStyle="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15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33" w:customStyle="1">
    <w:name w:val="Основной текст с отступом 3 Знак"/>
    <w:qFormat/>
    <w:rPr>
      <w:sz w:val="16"/>
      <w:szCs w:val="16"/>
    </w:rPr>
  </w:style>
  <w:style w:type="character" w:styleId="ConsPlusNormal" w:customStyle="1">
    <w:name w:val="ConsPlusNormal Знак"/>
    <w:qFormat/>
    <w:rPr>
      <w:rFonts w:ascii="Arial" w:hAnsi="Arial" w:cs="Arial"/>
    </w:rPr>
  </w:style>
  <w:style w:type="character" w:styleId="Style24">
    <w:name w:val="Посещённая гиперссылка"/>
    <w:basedOn w:val="DefaultParagraphFont"/>
    <w:semiHidden/>
    <w:unhideWhenUsed/>
    <w:rPr>
      <w:color w:val="954F72" w:themeColor="followedHyperlink"/>
      <w:u w:val="single"/>
    </w:rPr>
  </w:style>
  <w:style w:type="character" w:styleId="Style25" w:customStyle="1">
    <w:name w:val="Ссылка указателя"/>
    <w:qFormat/>
    <w:rPr/>
  </w:style>
  <w:style w:type="paragraph" w:styleId="Style26">
    <w:name w:val="Заголовок"/>
    <w:basedOn w:val="Normal"/>
    <w:next w:val="Style27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27">
    <w:name w:val="Body Text"/>
    <w:basedOn w:val="Normal"/>
    <w:pPr>
      <w:spacing w:before="0" w:after="120"/>
    </w:pPr>
    <w:rPr/>
  </w:style>
  <w:style w:type="paragraph" w:styleId="Style28">
    <w:name w:val="List"/>
    <w:basedOn w:val="Style27"/>
    <w:pPr/>
    <w:rPr>
      <w:rFonts w:cs="Lohit Devanagari"/>
    </w:rPr>
  </w:style>
  <w:style w:type="paragraph" w:styleId="Style2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30">
    <w:name w:val="Указатель"/>
    <w:basedOn w:val="Normal"/>
    <w:qFormat/>
    <w:pPr>
      <w:suppressLineNumbers/>
    </w:pPr>
    <w:rPr>
      <w:rFonts w:cs="Lohit Devanagari"/>
    </w:rPr>
  </w:style>
  <w:style w:type="paragraph" w:styleId="Style31">
    <w:name w:val="Title"/>
    <w:basedOn w:val="Normal"/>
    <w:next w:val="Style27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Indexheading">
    <w:name w:val="index heading"/>
    <w:basedOn w:val="Style31"/>
    <w:qFormat/>
    <w:pPr/>
    <w:rPr/>
  </w:style>
  <w:style w:type="paragraph" w:styleId="Tableoffigures">
    <w:name w:val="table of figures"/>
    <w:basedOn w:val="Normal"/>
    <w:uiPriority w:val="99"/>
    <w:unhideWhenUsed/>
    <w:qFormat/>
    <w:pPr/>
    <w:rPr/>
  </w:style>
  <w:style w:type="paragraph" w:styleId="Style32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33" w:customStyle="1">
    <w:name w:val="Раздел положения"/>
    <w:basedOn w:val="Normal"/>
    <w:qFormat/>
    <w:pPr>
      <w:numPr>
        <w:ilvl w:val="0"/>
        <w:numId w:val="2"/>
      </w:numPr>
      <w:spacing w:before="80" w:after="80"/>
      <w:jc w:val="center"/>
    </w:pPr>
    <w:rPr>
      <w:b/>
      <w:sz w:val="32"/>
      <w:szCs w:val="32"/>
    </w:rPr>
  </w:style>
  <w:style w:type="paragraph" w:styleId="Style34" w:customStyle="1">
    <w:name w:val="Подраздел раздела положения"/>
    <w:basedOn w:val="Normal"/>
    <w:qFormat/>
    <w:pPr>
      <w:tabs>
        <w:tab w:val="clear" w:pos="708"/>
        <w:tab w:val="left" w:pos="360" w:leader="none"/>
      </w:tabs>
      <w:spacing w:before="80" w:after="80"/>
      <w:ind w:left="360" w:hanging="360"/>
      <w:jc w:val="both"/>
    </w:pPr>
    <w:rPr/>
  </w:style>
  <w:style w:type="paragraph" w:styleId="Style35">
    <w:name w:val="Footnote Text"/>
    <w:basedOn w:val="Normal"/>
    <w:uiPriority w:val="99"/>
    <w:pPr/>
    <w:rPr>
      <w:sz w:val="20"/>
      <w:szCs w:val="20"/>
    </w:rPr>
  </w:style>
  <w:style w:type="paragraph" w:styleId="16" w:customStyle="1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pPr>
      <w:pBdr>
        <w:bottom w:val="single" w:sz="24" w:space="1" w:color="000000"/>
      </w:pBdr>
      <w:spacing w:before="240" w:after="360"/>
      <w:jc w:val="center"/>
    </w:pPr>
    <w:rPr>
      <w:b/>
      <w:szCs w:val="24"/>
    </w:rPr>
  </w:style>
  <w:style w:type="paragraph" w:styleId="17" w:customStyle="1">
    <w:name w:val="Название1"/>
    <w:basedOn w:val="Normal"/>
    <w:uiPriority w:val="10"/>
    <w:qFormat/>
    <w:pPr>
      <w:jc w:val="center"/>
    </w:pPr>
    <w:rPr>
      <w:szCs w:val="20"/>
    </w:rPr>
  </w:style>
  <w:style w:type="paragraph" w:styleId="Style36" w:customStyle="1">
    <w:name w:val="Колонтитул"/>
    <w:basedOn w:val="Normal"/>
    <w:qFormat/>
    <w:pPr/>
    <w:rPr/>
  </w:style>
  <w:style w:type="paragraph" w:styleId="Style37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szCs w:val="24"/>
    </w:rPr>
  </w:style>
  <w:style w:type="paragraph" w:styleId="Style38">
    <w:name w:val="Body Text Indent"/>
    <w:basedOn w:val="Normal"/>
    <w:pPr>
      <w:ind w:left="360" w:hanging="0"/>
    </w:pPr>
    <w:rPr>
      <w:szCs w:val="24"/>
    </w:rPr>
  </w:style>
  <w:style w:type="paragraph" w:styleId="Style39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Cs w:val="20"/>
    </w:rPr>
  </w:style>
  <w:style w:type="paragraph" w:styleId="Style40" w:customStyle="1">
    <w:name w:val="Подпункт"/>
    <w:basedOn w:val="Normal"/>
    <w:qFormat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Cs w:val="20"/>
    </w:rPr>
  </w:style>
  <w:style w:type="paragraph" w:styleId="25" w:customStyle="1">
    <w:name w:val="Пункт2"/>
    <w:basedOn w:val="Normal"/>
    <w:qFormat/>
    <w:pPr>
      <w:keepNext w:val="true"/>
      <w:tabs>
        <w:tab w:val="clear" w:pos="708"/>
        <w:tab w:val="left" w:pos="1134" w:leader="none"/>
      </w:tabs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Normal"/>
    <w:uiPriority w:val="39"/>
    <w:pPr>
      <w:spacing w:before="120" w:after="0"/>
    </w:pPr>
    <w:rPr>
      <w:rFonts w:cs="calibri light (Заголовки)"/>
      <w:b/>
      <w:bCs/>
      <w:szCs w:val="24"/>
    </w:rPr>
  </w:style>
  <w:style w:type="paragraph" w:styleId="35">
    <w:name w:val="TOC 3"/>
    <w:basedOn w:val="Normal"/>
    <w:uiPriority w:val="39"/>
    <w:pPr>
      <w:ind w:left="280" w:hanging="0"/>
    </w:pPr>
    <w:rPr>
      <w:rFonts w:cs="Calibri" w:cstheme="minorHAnsi"/>
      <w:sz w:val="20"/>
      <w:szCs w:val="20"/>
    </w:rPr>
  </w:style>
  <w:style w:type="paragraph" w:styleId="Style41" w:customStyle="1">
    <w:name w:val="Раздел регламента"/>
    <w:basedOn w:val="Normal"/>
    <w:qFormat/>
    <w:pPr/>
    <w:rPr/>
  </w:style>
  <w:style w:type="paragraph" w:styleId="Style42" w:customStyle="1">
    <w:name w:val="Приложение к регламенту"/>
    <w:basedOn w:val="Normal"/>
    <w:qFormat/>
    <w:pPr>
      <w:jc w:val="right"/>
    </w:pPr>
    <w:rPr/>
  </w:style>
  <w:style w:type="paragraph" w:styleId="26">
    <w:name w:val="TOC 2"/>
    <w:basedOn w:val="Normal"/>
    <w:uiPriority w:val="39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semiHidden/>
    <w:qFormat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pPr/>
    <w:rPr>
      <w:b/>
      <w:bCs/>
    </w:rPr>
  </w:style>
  <w:style w:type="paragraph" w:styleId="19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Cs w:val="24"/>
    </w:rPr>
  </w:style>
  <w:style w:type="paragraph" w:styleId="92">
    <w:name w:val="TOC 9"/>
    <w:basedOn w:val="Normal"/>
    <w:semiHidden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semiHidden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uiPriority w:val="39"/>
    <w:pPr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43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pPr>
      <w:spacing w:lineRule="auto" w:line="360"/>
    </w:pPr>
    <w:rPr>
      <w:rFonts w:eastAsia="Calibri"/>
      <w:szCs w:val="24"/>
    </w:rPr>
  </w:style>
  <w:style w:type="paragraph" w:styleId="Style44">
    <w:name w:val="Subtitle"/>
    <w:basedOn w:val="Normal"/>
    <w:uiPriority w:val="11"/>
    <w:qFormat/>
    <w:pPr>
      <w:ind w:left="1066" w:firstLine="709"/>
    </w:pPr>
    <w:rPr>
      <w:rFonts w:ascii="Cambria" w:hAnsi="Cambria"/>
      <w:i/>
      <w:iCs/>
      <w:color w:val="4F81BD"/>
      <w:spacing w:val="15"/>
      <w:szCs w:val="24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>
      <w:rFonts w:eastAsia="Calibri"/>
      <w:szCs w:val="24"/>
    </w:rPr>
  </w:style>
  <w:style w:type="paragraph" w:styleId="Quote">
    <w:name w:val="Quote"/>
    <w:basedOn w:val="Normal"/>
    <w:uiPriority w:val="29"/>
    <w:qFormat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uiPriority w:val="30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TOCHeading">
    <w:name w:val="TOC Heading"/>
    <w:basedOn w:val="1"/>
    <w:uiPriority w:val="39"/>
    <w:qFormat/>
    <w:pPr>
      <w:keepLines/>
      <w:numPr>
        <w:ilvl w:val="0"/>
        <w:numId w:val="0"/>
      </w:numPr>
      <w:spacing w:before="480" w:after="12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uiPriority w:val="99"/>
    <w:unhideWhenUsed/>
    <w:qFormat/>
    <w:pPr/>
    <w:rPr>
      <w:rFonts w:eastAsia="Calibri"/>
      <w:szCs w:val="24"/>
    </w:rPr>
  </w:style>
  <w:style w:type="paragraph" w:styleId="Style45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6" w:customStyle="1">
    <w:name w:val="Нумерованный список ур3"/>
    <w:basedOn w:val="Normal"/>
    <w:qFormat/>
    <w:pPr>
      <w:numPr>
        <w:ilvl w:val="0"/>
        <w:numId w:val="3"/>
      </w:numPr>
      <w:jc w:val="both"/>
    </w:pPr>
    <w:rPr>
      <w:rFonts w:ascii="Garamond" w:hAnsi="Garamond"/>
      <w:szCs w:val="20"/>
    </w:rPr>
  </w:style>
  <w:style w:type="paragraph" w:styleId="ListBullet4">
    <w:name w:val="List Bullet 4"/>
    <w:basedOn w:val="Normal"/>
    <w:qFormat/>
    <w:pPr>
      <w:numPr>
        <w:ilvl w:val="0"/>
        <w:numId w:val="4"/>
      </w:numPr>
      <w:spacing w:before="120" w:after="0"/>
      <w:jc w:val="both"/>
    </w:pPr>
    <w:rPr>
      <w:rFonts w:ascii="Garamond" w:hAnsi="Garamond"/>
      <w:szCs w:val="20"/>
    </w:rPr>
  </w:style>
  <w:style w:type="paragraph" w:styleId="28" w:customStyle="1">
    <w:name w:val="Нумерованный список ур2"/>
    <w:basedOn w:val="Normal"/>
    <w:qFormat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Cs w:val="20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7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6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10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7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Cs w:val="24"/>
    </w:rPr>
  </w:style>
  <w:style w:type="paragraph" w:styleId="Style48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9" w:customStyle="1">
    <w:name w:val="Подподпункт"/>
    <w:basedOn w:val="Style40"/>
    <w:qFormat/>
    <w:pPr>
      <w:tabs>
        <w:tab w:val="clear" w:pos="1134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</w:rPr>
  </w:style>
  <w:style w:type="paragraph" w:styleId="Style50" w:customStyle="1">
    <w:name w:val="УРОВЕНЬ_(а)"/>
    <w:basedOn w:val="ListParagraph"/>
    <w:qFormat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51" w:customStyle="1">
    <w:name w:val="УРОВЕНЬ_-"/>
    <w:basedOn w:val="ListParagraph"/>
    <w:qFormat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pPr>
      <w:numPr>
        <w:ilvl w:val="0"/>
        <w:numId w:val="5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8" w:customStyle="1">
    <w:name w:val="УРОВЕНЬ_Абзац_тип3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134" w:hanging="1134"/>
      <w:contextualSpacing/>
      <w:jc w:val="both"/>
    </w:pPr>
    <w:rPr>
      <w:sz w:val="26"/>
      <w:szCs w:val="28"/>
      <w:lang w:eastAsia="en-US"/>
    </w:rPr>
  </w:style>
  <w:style w:type="paragraph" w:styleId="Style52" w:customStyle="1">
    <w:name w:val="УРОВЕНЬ_Подпись"/>
    <w:basedOn w:val="ListParagraph"/>
    <w:qFormat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11" w:customStyle="1">
    <w:name w:val="Стиль Заголовок 1 + по ширине"/>
    <w:basedOn w:val="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sz w:val="40"/>
      <w:szCs w:val="20"/>
    </w:rPr>
  </w:style>
  <w:style w:type="paragraph" w:styleId="Style53">
    <w:name w:val="Endnote Text"/>
    <w:basedOn w:val="Normal"/>
    <w:pPr/>
    <w:rPr>
      <w:sz w:val="20"/>
      <w:szCs w:val="20"/>
    </w:rPr>
  </w:style>
  <w:style w:type="paragraph" w:styleId="210" w:customStyle="1">
    <w:name w:val="Заголовок 2 КВВ"/>
    <w:basedOn w:val="Normal"/>
    <w:qFormat/>
    <w:pPr>
      <w:keepNext w:val="true"/>
      <w:spacing w:before="120" w:after="120"/>
      <w:jc w:val="both"/>
      <w:outlineLvl w:val="0"/>
    </w:pPr>
    <w:rPr>
      <w:b/>
      <w:szCs w:val="20"/>
    </w:rPr>
  </w:style>
  <w:style w:type="paragraph" w:styleId="Style54" w:customStyle="1">
    <w:name w:val="Таблица текст"/>
    <w:basedOn w:val="Normal"/>
    <w:qFormat/>
    <w:pPr>
      <w:spacing w:before="40" w:after="40"/>
      <w:ind w:left="57" w:right="57" w:hanging="0"/>
    </w:pPr>
    <w:rPr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Cs w:val="24"/>
    </w:rPr>
  </w:style>
  <w:style w:type="paragraph" w:styleId="112" w:customStyle="1">
    <w:name w:val="УРОВЕНЬ_1."/>
    <w:basedOn w:val="ListParagraph"/>
    <w:qFormat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unhideWhenUsed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unhideWhenUsed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unhideWhenUsed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Xl110" w:customStyle="1">
    <w:name w:val="xl11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AEEF3"/>
      <w:spacing w:beforeAutospacing="1" w:afterAutospacing="1"/>
      <w:jc w:val="center"/>
    </w:pPr>
    <w:rPr>
      <w:b/>
      <w:bCs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</w:style>
  <w:style w:type="numbering" w:styleId="211" w:customStyle="1">
    <w:name w:val="Стиль2"/>
    <w:uiPriority w:val="99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iles.stroyinf.ru/Data/769/76969.pdf?ysclid=lda4bsqyfc265697252" TargetMode="External"/><Relationship Id="rId3" Type="http://schemas.openxmlformats.org/officeDocument/2006/relationships/hyperlink" Target="https://docs.cntd.ru/document/1200108745?ysclid=lda4wikohc132886615" TargetMode="External"/><Relationship Id="rId4" Type="http://schemas.openxmlformats.org/officeDocument/2006/relationships/hyperlink" Target="https://docs.cntd.ru/document/1200174302?ysclid=lda4yybr49696811453" TargetMode="External"/><Relationship Id="rId5" Type="http://schemas.openxmlformats.org/officeDocument/2006/relationships/hyperlink" Target="https://docs.cntd.ru/document/1200096130?ysclid=lda50plh9259717319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footnotes" Target="footnotes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Application>LibreOffice/7.1.8.1$Linux_X86_64 LibreOffice_project/10$Build-1</Application>
  <AppVersion>15.0000</AppVersion>
  <Pages>26</Pages>
  <Words>4832</Words>
  <Characters>35200</Characters>
  <CharactersWithSpaces>39832</CharactersWithSpaces>
  <Paragraphs>618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2026-02-25T07:40:00Z</dcterms:created>
  <dc:creator>Быстров Олег Геннадьевич</dc:creator>
  <dc:description/>
  <dc:language>ru-RU</dc:language>
  <cp:lastModifiedBy/>
  <dcterms:modified xsi:type="dcterms:W3CDTF">2026-09-03T11:20:24Z</dcterms:modified>
  <cp:revision>18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