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notes.xml" ContentType="application/vnd.openxmlformats-officedocument.wordprocessingml.footnot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_rels/item1.xml.rels" ContentType="application/vnd.openxmlformats-package.relationships+xml"/>
  <Override PartName="/customXml/_rels/item2.xml.rels" ContentType="application/vnd.openxmlformats-package.relationships+xml"/>
  <Override PartName="/customXml/_rels/item3.xml.rels" ContentType="application/vnd.openxmlformats-package.relationships+xml"/>
  <Override PartName="/customXml/_rels/item4.xml.rels" ContentType="application/vnd.openxmlformats-package.relationships+xml"/>
  <Override PartName="/customXml/_rels/item5.xml.rels" ContentType="application/vnd.openxmlformats-package.relationships+xml"/>
  <Override PartName="/customXml/_rels/item6.xml.rels" ContentType="application/vnd.openxmlformats-package.relationships+xml"/>
  <Override PartName="/customXml/_rels/item7.xml.rels" ContentType="application/vnd.openxmlformats-package.relationships+xml"/>
  <Override PartName="/customXml/item7.xml" ContentType="application/xml"/>
  <Override PartName="/customXml/itemProps7.xml" ContentType="application/vnd.openxmlformats-officedocument.customXmlProperties+xml"/>
  <Override PartName="/customXml/item3.xml" ContentType="application/xml"/>
  <Override PartName="/customXml/item1.xml" ContentType="application/xml"/>
  <Override PartName="/customXml/itemProps5.xml" ContentType="application/vnd.openxmlformats-officedocument.customXmlProperties+xml"/>
  <Override PartName="/customXml/itemProps1.xml" ContentType="application/vnd.openxmlformats-officedocument.customXmlProperties+xml"/>
  <Override PartName="/customXml/item2.xml" ContentType="application/xml"/>
  <Override PartName="/customXml/itemProps6.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4.xml" ContentType="application/xml"/>
  <Override PartName="/customXml/itemProps4.xml" ContentType="application/vnd.openxmlformats-officedocument.customXmlProperties+xml"/>
  <Override PartName="/customXml/item5.xml" ContentType="application/xml"/>
  <Override PartName="/customXml/item6.xml" ContentType="application/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b/>
        </w:rPr>
      </w:pPr>
      <w:r>
        <w:rPr>
          <w:b/>
        </w:rPr>
        <w:t>Договор № ________</w:t>
      </w:r>
    </w:p>
    <w:p>
      <w:pPr>
        <w:pStyle w:val="Normal"/>
        <w:jc w:val="center"/>
        <w:rPr>
          <w:b/>
        </w:rPr>
      </w:pPr>
      <w:r>
        <w:rPr>
          <w:b/>
        </w:rPr>
        <w:t xml:space="preserve">возмездного оказания услуг </w:t>
      </w:r>
    </w:p>
    <w:p>
      <w:pPr>
        <w:pStyle w:val="Normal"/>
        <w:jc w:val="center"/>
        <w:rPr>
          <w:b/>
        </w:rPr>
      </w:pPr>
      <w:r>
        <w:rPr>
          <w:b/>
        </w:rPr>
      </w:r>
    </w:p>
    <w:p>
      <w:pPr>
        <w:pStyle w:val="Normal"/>
        <w:jc w:val="both"/>
        <w:rPr>
          <w:bCs/>
        </w:rPr>
      </w:pPr>
      <w:r>
        <w:rPr/>
        <w:t xml:space="preserve">г. </w:t>
      </w:r>
      <w:bookmarkStart w:id="0" w:name="OLE_LINK1"/>
      <w:bookmarkStart w:id="1" w:name="OLE_LINK2"/>
      <w:r>
        <w:rPr/>
        <w:t>Санкт-Петербург</w:t>
        <w:tab/>
        <w:tab/>
        <w:tab/>
        <w:tab/>
        <w:tab/>
        <w:tab/>
        <w:tab/>
      </w:r>
      <w:bookmarkEnd w:id="0"/>
      <w:bookmarkEnd w:id="1"/>
      <w:r>
        <w:rPr/>
        <w:t xml:space="preserve">               </w:t>
      </w:r>
      <w:r>
        <w:rPr>
          <w:b/>
        </w:rPr>
        <w:t>«___</w:t>
      </w:r>
      <w:r>
        <w:rPr>
          <w:bCs/>
        </w:rPr>
        <w:t>» _______ 20 __ г.</w:t>
      </w:r>
    </w:p>
    <w:p>
      <w:pPr>
        <w:pStyle w:val="Normal"/>
        <w:jc w:val="both"/>
        <w:rPr>
          <w:bCs/>
        </w:rPr>
      </w:pPr>
      <w:r>
        <w:rPr>
          <w:bCs/>
        </w:rPr>
      </w:r>
    </w:p>
    <w:p>
      <w:pPr>
        <w:pStyle w:val="BodyText3"/>
        <w:spacing w:before="0" w:after="0"/>
        <w:ind w:firstLine="708"/>
        <w:jc w:val="both"/>
        <w:rPr>
          <w:sz w:val="24"/>
          <w:szCs w:val="24"/>
        </w:rPr>
      </w:pPr>
      <w:r>
        <w:rPr>
          <w:b/>
          <w:sz w:val="24"/>
          <w:szCs w:val="24"/>
        </w:rPr>
        <w:t xml:space="preserve">Акционерное общество «Всероссийский научно-исследовательский институт гидротехники имени Б.Е. Веденеева </w:t>
      </w:r>
      <w:r>
        <w:rPr>
          <w:sz w:val="24"/>
          <w:szCs w:val="24"/>
        </w:rPr>
        <w:t xml:space="preserve">(АО «ВНИИГ им. Б.Е. Веденеева»)», </w:t>
      </w:r>
      <w:r>
        <w:rPr/>
        <w:t xml:space="preserve"> </w:t>
      </w:r>
      <w:r>
        <w:rPr>
          <w:sz w:val="24"/>
          <w:szCs w:val="24"/>
        </w:rPr>
        <w:t xml:space="preserve">(далее – «Заказчик»), в лице ___________________, действующего на основании ______________, с одной стороны, и </w:t>
      </w:r>
    </w:p>
    <w:p>
      <w:pPr>
        <w:pStyle w:val="BodyText3"/>
        <w:spacing w:before="0" w:after="0"/>
        <w:ind w:firstLine="708"/>
        <w:jc w:val="both"/>
        <w:rPr>
          <w:sz w:val="24"/>
          <w:szCs w:val="24"/>
        </w:rPr>
      </w:pPr>
      <w:r>
        <w:rPr>
          <w:sz w:val="24"/>
          <w:szCs w:val="24"/>
        </w:rPr>
        <w:t>________________________ (далее – «Исполнитель»), в лице ___________________, действующего на основании ______________, с другой стороны, совместно в дальнейшем именуемые «Стороны», а по отдельности – «Сторона», заключили настоящий договор (далее «Договор») о нижеследующем:</w:t>
      </w:r>
    </w:p>
    <w:p>
      <w:pPr>
        <w:pStyle w:val="BodyText3"/>
        <w:spacing w:before="0" w:after="0"/>
        <w:jc w:val="both"/>
        <w:rPr>
          <w:sz w:val="24"/>
          <w:szCs w:val="24"/>
        </w:rPr>
      </w:pPr>
      <w:r>
        <w:rPr>
          <w:sz w:val="24"/>
          <w:szCs w:val="24"/>
        </w:rPr>
      </w:r>
    </w:p>
    <w:p>
      <w:pPr>
        <w:pStyle w:val="Normal"/>
        <w:shd w:val="clear" w:color="auto" w:fill="FFFFFF"/>
        <w:jc w:val="center"/>
        <w:rPr>
          <w:b/>
          <w:bCs/>
        </w:rPr>
      </w:pPr>
      <w:r>
        <w:rPr>
          <w:b/>
          <w:bCs/>
        </w:rPr>
        <w:t>Термины и определения</w:t>
      </w:r>
    </w:p>
    <w:p>
      <w:pPr>
        <w:pStyle w:val="Normal"/>
        <w:shd w:val="clear" w:color="auto" w:fill="FFFFFF"/>
        <w:ind w:firstLine="709"/>
        <w:jc w:val="both"/>
        <w:rPr>
          <w:bCs/>
        </w:rPr>
      </w:pPr>
      <w:r>
        <w:rPr>
          <w:bCs/>
        </w:rPr>
        <w:t>Термины и определения, приведенные в настоящем разделе,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pPr>
        <w:pStyle w:val="ListParagraph"/>
        <w:shd w:val="clear" w:color="auto" w:fill="FFFFFF"/>
        <w:tabs>
          <w:tab w:val="clear" w:pos="709"/>
          <w:tab w:val="left" w:pos="0" w:leader="none"/>
        </w:tabs>
        <w:overflowPunct w:val="true"/>
        <w:ind w:left="0" w:firstLine="709"/>
        <w:jc w:val="both"/>
        <w:textAlignment w:val="baseline"/>
        <w:rPr>
          <w:lang w:eastAsia="en-US"/>
        </w:rPr>
      </w:pPr>
      <w:r>
        <w:rPr>
          <w:b/>
          <w:lang w:eastAsia="en-US"/>
        </w:rPr>
        <w:t>«Договор»</w:t>
      </w:r>
      <w:r>
        <w:rPr>
          <w:lang w:eastAsia="en-US"/>
        </w:rPr>
        <w:t xml:space="preserve"> – настоящий договор, подписанный Заказчиком и Исполнителем, включая все приложения к нему, а также дополнительные соглашения к Договору при условии, что они заключены надлежащим образом, и из них явно следует, что они составляют часть Договора.</w:t>
      </w:r>
    </w:p>
    <w:p>
      <w:pPr>
        <w:pStyle w:val="ListParagraph"/>
        <w:shd w:val="clear" w:color="auto" w:fill="FFFFFF"/>
        <w:tabs>
          <w:tab w:val="clear" w:pos="709"/>
          <w:tab w:val="left" w:pos="0" w:leader="none"/>
        </w:tabs>
        <w:overflowPunct w:val="true"/>
        <w:ind w:left="0" w:firstLine="709"/>
        <w:jc w:val="both"/>
        <w:textAlignment w:val="baseline"/>
        <w:rPr>
          <w:lang w:eastAsia="en-US"/>
        </w:rPr>
      </w:pPr>
      <w:r>
        <w:rPr>
          <w:b/>
          <w:lang w:eastAsia="en-US"/>
        </w:rPr>
        <w:t>«Коммерческая тайна»</w:t>
      </w:r>
      <w:r>
        <w:rPr>
          <w:lang w:eastAsia="en-US"/>
        </w:rPr>
        <w:t xml:space="preserve"> – режим конфиденциальности информации, позволяющий ее обладателю при существующих или возможных обстоятельствах увеличить доходы, избежать неоправданных расходов, сохранить положение на рынке товаров, услуг или получить иную коммерческую выгоду. </w:t>
      </w:r>
    </w:p>
    <w:p>
      <w:pPr>
        <w:pStyle w:val="ListParagraph"/>
        <w:shd w:val="clear" w:color="auto" w:fill="FFFFFF"/>
        <w:tabs>
          <w:tab w:val="clear" w:pos="709"/>
          <w:tab w:val="left" w:pos="0" w:leader="none"/>
        </w:tabs>
        <w:overflowPunct w:val="true"/>
        <w:ind w:left="0" w:firstLine="709"/>
        <w:jc w:val="both"/>
        <w:textAlignment w:val="baseline"/>
        <w:rPr>
          <w:lang w:eastAsia="en-US"/>
        </w:rPr>
      </w:pPr>
      <w:r>
        <w:rPr>
          <w:b/>
          <w:lang w:eastAsia="en-US"/>
        </w:rPr>
        <w:t xml:space="preserve">«Отказ от Договора» </w:t>
      </w:r>
      <w:r>
        <w:rPr>
          <w:lang w:eastAsia="en-US"/>
        </w:rPr>
        <w:t xml:space="preserve">– односторонний внесудебный отказ от исполнения Договора, совершенный Стороной в соответствии со статьей 450.1 Гражданского кодекса РФ в случаях, установленных Договором.    </w:t>
      </w:r>
    </w:p>
    <w:p>
      <w:pPr>
        <w:pStyle w:val="Heading3"/>
        <w:keepNext w:val="false"/>
        <w:tabs>
          <w:tab w:val="clear" w:pos="709"/>
          <w:tab w:val="left" w:pos="0" w:leader="none"/>
        </w:tabs>
        <w:overflowPunct w:val="true"/>
        <w:spacing w:before="0" w:after="0"/>
        <w:ind w:firstLine="709"/>
        <w:jc w:val="both"/>
        <w:textAlignment w:val="baseline"/>
        <w:rPr>
          <w:rFonts w:ascii="Times New Roman" w:hAnsi="Times New Roman"/>
          <w:b w:val="false"/>
          <w:color w:val="00000A"/>
          <w:lang w:eastAsia="en-US"/>
        </w:rPr>
      </w:pPr>
      <w:r>
        <w:rPr>
          <w:rFonts w:ascii="Times New Roman" w:hAnsi="Times New Roman"/>
          <w:color w:val="00000A"/>
          <w:lang w:eastAsia="en-US"/>
        </w:rPr>
        <w:t>«Применимое право»</w:t>
      </w:r>
      <w:r>
        <w:rPr>
          <w:rFonts w:ascii="Times New Roman" w:hAnsi="Times New Roman"/>
          <w:b w:val="false"/>
          <w:color w:val="00000A"/>
          <w:lang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 стандарты (ГОСТ Р), иные нормативные 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относящиеся к Услугам.</w:t>
      </w:r>
    </w:p>
    <w:p>
      <w:pPr>
        <w:pStyle w:val="Normal"/>
        <w:tabs>
          <w:tab w:val="clear" w:pos="709"/>
          <w:tab w:val="left" w:pos="0" w:leader="none"/>
        </w:tabs>
        <w:ind w:firstLine="709"/>
        <w:jc w:val="both"/>
        <w:rPr>
          <w:highlight w:val="white"/>
        </w:rPr>
      </w:pPr>
      <w:r>
        <w:rPr>
          <w:b/>
          <w:shd w:fill="FFFFFF" w:val="clear"/>
          <w:lang w:eastAsia="en-US"/>
        </w:rPr>
        <w:t>«Рабочий день»</w:t>
      </w:r>
      <w:r>
        <w:rPr>
          <w:shd w:fill="FFFFFF" w:val="clear"/>
          <w:lang w:eastAsia="en-US"/>
        </w:rPr>
        <w:t xml:space="preserve"> – день, который в соответствии с Применимым правом является рабочим днем в Российской Федерации.</w:t>
      </w:r>
    </w:p>
    <w:p>
      <w:pPr>
        <w:pStyle w:val="Normal"/>
        <w:tabs>
          <w:tab w:val="clear" w:pos="709"/>
          <w:tab w:val="left" w:pos="0" w:leader="none"/>
        </w:tabs>
        <w:ind w:firstLine="709"/>
        <w:jc w:val="both"/>
        <w:rPr>
          <w:highlight w:val="white"/>
        </w:rPr>
      </w:pPr>
      <w:r>
        <w:rPr>
          <w:b/>
          <w:shd w:fill="FFFFFF" w:val="clear"/>
          <w:lang w:eastAsia="en-US"/>
        </w:rPr>
        <w:t>«Субъект МСП»</w:t>
      </w:r>
      <w:r>
        <w:rPr>
          <w:shd w:fill="FFFFFF" w:val="clear"/>
          <w:lang w:eastAsia="en-US"/>
        </w:rPr>
        <w:t xml:space="preserve"> – субъект малого и среднего предпринимательства.</w:t>
      </w:r>
    </w:p>
    <w:p>
      <w:pPr>
        <w:pStyle w:val="Heading3"/>
        <w:keepNext w:val="false"/>
        <w:widowControl w:val="false"/>
        <w:tabs>
          <w:tab w:val="clear" w:pos="709"/>
          <w:tab w:val="left" w:pos="567" w:leader="none"/>
        </w:tabs>
        <w:overflowPunct w:val="false"/>
        <w:spacing w:before="0" w:after="0"/>
        <w:ind w:firstLine="708"/>
        <w:jc w:val="both"/>
        <w:textAlignment w:val="baseline"/>
        <w:rPr>
          <w:rFonts w:ascii="Times New Roman" w:hAnsi="Times New Roman"/>
        </w:rPr>
      </w:pPr>
      <w:r>
        <w:rPr>
          <w:rFonts w:eastAsia="Times New Roman" w:cs="Times New Roman" w:ascii="Times New Roman" w:hAnsi="Times New Roman"/>
          <w:b/>
          <w:bCs/>
          <w:color w:val="000000"/>
          <w:sz w:val="24"/>
          <w:szCs w:val="24"/>
          <w:lang w:val="ru-RU" w:eastAsia="en-US" w:bidi="ar-SA"/>
        </w:rPr>
        <w:t xml:space="preserve">«Универсальный передаточный документ», «УПД» </w:t>
      </w:r>
      <w:r>
        <w:rPr>
          <w:rFonts w:eastAsia="Times New Roman" w:cs="Times New Roman" w:ascii="Times New Roman" w:hAnsi="Times New Roman"/>
          <w:b w:val="false"/>
          <w:bCs/>
          <w:color w:val="000000"/>
          <w:sz w:val="24"/>
          <w:szCs w:val="24"/>
          <w:lang w:val="ru-RU" w:eastAsia="en-US" w:bidi="ar-SA"/>
        </w:rPr>
        <w:t>–</w:t>
      </w:r>
      <w:r>
        <w:rPr>
          <w:rFonts w:eastAsia="Times New Roman" w:cs="Times New Roman" w:ascii="Times New Roman" w:hAnsi="Times New Roman"/>
          <w:b/>
          <w:bCs/>
          <w:color w:val="000000"/>
          <w:sz w:val="24"/>
          <w:szCs w:val="24"/>
          <w:lang w:val="ru-RU" w:eastAsia="en-US" w:bidi="ar-SA"/>
        </w:rPr>
        <w:t xml:space="preserve"> </w:t>
      </w:r>
      <w:r>
        <w:rPr>
          <w:rFonts w:eastAsia="Times New Roman" w:cs="Times New Roman" w:ascii="Times New Roman" w:hAnsi="Times New Roman"/>
          <w:b w:val="false"/>
          <w:bCs/>
          <w:color w:val="000000"/>
          <w:sz w:val="24"/>
          <w:szCs w:val="24"/>
          <w:lang w:val="ru-RU" w:eastAsia="en-US" w:bidi="ar-SA"/>
        </w:rPr>
        <w:t>форма документа, рекомендованная для применения письмом ФНС России от 21.10.2013 № ММВ-20-3/96@ (объединяет реквизиты счета-фактуры и первичного документа о передаче товаров, работ, услуг)</w:t>
      </w:r>
      <w:r>
        <w:rPr>
          <w:rFonts w:eastAsia="Times New Roman" w:cs="Times New Roman" w:ascii="Times New Roman" w:hAnsi="Times New Roman"/>
          <w:b w:val="false"/>
          <w:bCs w:val="false"/>
          <w:color w:val="000000"/>
          <w:sz w:val="24"/>
          <w:szCs w:val="24"/>
          <w:lang w:val="ru-RU" w:eastAsia="en-US" w:bidi="ar-SA"/>
        </w:rPr>
        <w:t>.</w:t>
      </w:r>
    </w:p>
    <w:p>
      <w:pPr>
        <w:pStyle w:val="Heading3"/>
        <w:keepNext w:val="false"/>
        <w:tabs>
          <w:tab w:val="clear" w:pos="709"/>
          <w:tab w:val="left" w:pos="0" w:leader="none"/>
        </w:tabs>
        <w:overflowPunct w:val="true"/>
        <w:spacing w:before="0" w:after="0"/>
        <w:ind w:firstLine="709"/>
        <w:jc w:val="both"/>
        <w:textAlignment w:val="baseline"/>
        <w:rPr>
          <w:rFonts w:ascii="Times New Roman" w:hAnsi="Times New Roman"/>
          <w:b w:val="false"/>
          <w:color w:val="00000A"/>
          <w:lang w:eastAsia="en-US"/>
        </w:rPr>
      </w:pPr>
      <w:r>
        <w:rPr>
          <w:rFonts w:ascii="Times New Roman" w:hAnsi="Times New Roman"/>
          <w:color w:val="00000A"/>
          <w:lang w:eastAsia="en-US"/>
        </w:rPr>
        <w:t>«Цена Договора»</w:t>
      </w:r>
      <w:r>
        <w:rPr>
          <w:rFonts w:ascii="Times New Roman" w:hAnsi="Times New Roman"/>
          <w:b w:val="false"/>
          <w:color w:val="00000A"/>
          <w:lang w:eastAsia="en-US"/>
        </w:rPr>
        <w:t xml:space="preserve"> – определяемая в соответствии с разделом 3 Договора сумма, которую Заказчик обязуется уплатить Исполнителю в порядке и на условиях, установленных Договором, включающая компенсацию всех издержек Исполнителя и причитающееся ему вознаграждение, а также инфляционные риски на весь период действия Договора.</w:t>
      </w:r>
    </w:p>
    <w:p>
      <w:pPr>
        <w:pStyle w:val="Normal"/>
        <w:rPr>
          <w:lang w:eastAsia="en-US"/>
        </w:rPr>
      </w:pPr>
      <w:r>
        <w:rPr>
          <w:lang w:eastAsia="en-US"/>
        </w:rPr>
      </w:r>
    </w:p>
    <w:p>
      <w:pPr>
        <w:pStyle w:val="ListParagraph"/>
        <w:numPr>
          <w:ilvl w:val="0"/>
          <w:numId w:val="2"/>
        </w:numPr>
        <w:shd w:val="clear" w:color="auto" w:fill="FFFFFF"/>
        <w:tabs>
          <w:tab w:val="left" w:pos="284" w:leader="none"/>
          <w:tab w:val="left" w:pos="709" w:leader="none"/>
        </w:tabs>
        <w:ind w:left="0" w:hanging="0"/>
        <w:jc w:val="center"/>
        <w:rPr/>
      </w:pPr>
      <w:r>
        <w:rPr>
          <w:b/>
        </w:rPr>
        <w:t>Предмет Договора</w:t>
      </w:r>
    </w:p>
    <w:p>
      <w:pPr>
        <w:pStyle w:val="ListParagraph"/>
        <w:numPr>
          <w:ilvl w:val="1"/>
          <w:numId w:val="2"/>
        </w:numPr>
        <w:shd w:val="clear" w:color="auto" w:fill="FFFFFF"/>
        <w:tabs>
          <w:tab w:val="clear" w:pos="709"/>
          <w:tab w:val="left" w:pos="1134" w:leader="none"/>
        </w:tabs>
        <w:ind w:left="0" w:firstLine="709"/>
        <w:jc w:val="both"/>
        <w:rPr/>
      </w:pPr>
      <w:r>
        <w:rPr/>
        <w:t>Исполнитель обязуется в соответствии с Заданием на оказание Услуг (Приложение № 1 к Договору) оказать Заказчику услуги по</w:t>
      </w:r>
      <w:r>
        <w:rPr>
          <w:sz w:val="24"/>
          <w:szCs w:val="24"/>
        </w:rPr>
        <w:t xml:space="preserve"> «</w:t>
      </w:r>
      <w:r>
        <w:rPr>
          <w:color w:val="00000A"/>
          <w:sz w:val="24"/>
          <w:szCs w:val="24"/>
        </w:rPr>
        <w:t>Определению химического состава проб природных и сточных вод  золошлакоотвала на территории размещения золошлакоотвала Читинской ТЭЦ-1 и прилегающей территории»</w:t>
      </w:r>
      <w:r>
        <w:rPr>
          <w:sz w:val="24"/>
          <w:szCs w:val="24"/>
        </w:rPr>
        <w:t>(</w:t>
      </w:r>
      <w:r>
        <w:rPr>
          <w:bCs/>
          <w:sz w:val="24"/>
          <w:szCs w:val="24"/>
        </w:rPr>
        <w:t>далее – «Услуги»)</w:t>
      </w:r>
      <w:r>
        <w:rPr>
          <w:sz w:val="24"/>
          <w:szCs w:val="24"/>
        </w:rPr>
        <w:t>, а Заказчик принять и оплатить Услуги в соответствии с условиями Договора.</w:t>
      </w:r>
    </w:p>
    <w:p>
      <w:pPr>
        <w:pStyle w:val="ListParagraph"/>
        <w:numPr>
          <w:ilvl w:val="1"/>
          <w:numId w:val="2"/>
        </w:numPr>
        <w:shd w:val="clear" w:color="auto" w:fill="FFFFFF"/>
        <w:tabs>
          <w:tab w:val="clear" w:pos="709"/>
          <w:tab w:val="left" w:pos="1134" w:leader="none"/>
        </w:tabs>
        <w:ind w:left="0" w:firstLine="709"/>
        <w:jc w:val="both"/>
        <w:rPr>
          <w:bCs/>
        </w:rPr>
      </w:pPr>
      <w:r>
        <w:rPr>
          <w:bCs/>
        </w:rPr>
        <w:t>Объем и состав (содержание) Услуг по Договору определяются Заданием на оказание Услуг (Приложение № 1 к Договору). Услуги по Договору подлежат оказанию Исполнителем в строгом соответствии с требованиями Применимого права и указаниями Заказчика.</w:t>
      </w:r>
    </w:p>
    <w:p>
      <w:pPr>
        <w:pStyle w:val="Normal"/>
        <w:widowControl w:val="false"/>
        <w:numPr>
          <w:ilvl w:val="1"/>
          <w:numId w:val="2"/>
        </w:numPr>
        <w:shd w:val="clear" w:color="auto" w:fill="FFFFFF"/>
        <w:tabs>
          <w:tab w:val="clear" w:pos="709"/>
          <w:tab w:val="left" w:pos="1134" w:leader="none"/>
          <w:tab w:val="left" w:pos="1418" w:leader="none"/>
        </w:tabs>
        <w:ind w:left="0" w:firstLine="709"/>
        <w:jc w:val="both"/>
        <w:rPr>
          <w:bCs/>
        </w:rPr>
      </w:pPr>
      <w:r>
        <w:rPr/>
        <w:t xml:space="preserve">Услуги по Договору оказываются для нужд: </w:t>
      </w:r>
      <w:r>
        <w:rPr>
          <w:rFonts w:eastAsia="Verdana" w:cs="Verdana"/>
          <w:b/>
          <w:bCs/>
          <w:color w:val="000000"/>
        </w:rPr>
        <w:t xml:space="preserve">Читинской ТЭЦ-1 (филиал </w:t>
      </w:r>
      <w:r>
        <w:rPr>
          <w:rFonts w:eastAsia="Verdana"/>
          <w:b/>
          <w:bCs/>
          <w:color w:val="000000"/>
        </w:rPr>
        <w:t>«</w:t>
      </w:r>
      <w:r>
        <w:rPr>
          <w:rFonts w:eastAsia="Verdana" w:cs="Verdana"/>
          <w:b/>
          <w:bCs/>
          <w:color w:val="000000"/>
        </w:rPr>
        <w:t xml:space="preserve">Читинская </w:t>
      </w:r>
      <w:r>
        <w:rPr>
          <w:rFonts w:eastAsia="Mangal" w:cs="Mangal"/>
          <w:b/>
          <w:bCs/>
          <w:color w:val="000000"/>
        </w:rPr>
        <w:t>генерация</w:t>
      </w:r>
      <w:r>
        <w:rPr>
          <w:b/>
        </w:rPr>
        <w:t>»</w:t>
      </w:r>
      <w:r>
        <w:rPr>
          <w:rFonts w:eastAsia="Mangal" w:cs="Mangal"/>
          <w:b/>
          <w:bCs/>
          <w:color w:val="000000"/>
        </w:rPr>
        <w:t xml:space="preserve"> ПАО ТГК-14).</w:t>
      </w:r>
    </w:p>
    <w:p>
      <w:pPr>
        <w:pStyle w:val="Normal"/>
        <w:widowControl w:val="false"/>
        <w:numPr>
          <w:ilvl w:val="1"/>
          <w:numId w:val="2"/>
        </w:numPr>
        <w:shd w:val="clear" w:color="auto" w:fill="FFFFFF"/>
        <w:tabs>
          <w:tab w:val="clear" w:pos="709"/>
          <w:tab w:val="left" w:pos="1134" w:leader="none"/>
          <w:tab w:val="left" w:pos="1418" w:leader="none"/>
        </w:tabs>
        <w:ind w:left="0" w:firstLine="709"/>
        <w:jc w:val="both"/>
        <w:rPr>
          <w:bCs/>
        </w:rPr>
      </w:pPr>
      <w:r>
        <w:rPr/>
        <w:t>Место оказания Услуг:  _________________</w:t>
      </w:r>
    </w:p>
    <w:p>
      <w:pPr>
        <w:pStyle w:val="Normal"/>
        <w:widowControl w:val="false"/>
        <w:numPr>
          <w:ilvl w:val="1"/>
          <w:numId w:val="2"/>
        </w:numPr>
        <w:shd w:val="clear" w:color="auto" w:fill="FFFFFF"/>
        <w:tabs>
          <w:tab w:val="clear" w:pos="709"/>
          <w:tab w:val="left" w:pos="540" w:leader="none"/>
          <w:tab w:val="left" w:pos="1134" w:leader="none"/>
        </w:tabs>
        <w:ind w:left="0" w:firstLine="709"/>
        <w:jc w:val="both"/>
        <w:rPr>
          <w:bCs/>
        </w:rPr>
      </w:pPr>
      <w:r>
        <w:rPr>
          <w:bCs/>
        </w:rPr>
        <w:t>Общий срок оказания Услуг:</w:t>
      </w:r>
    </w:p>
    <w:p>
      <w:pPr>
        <w:pStyle w:val="Normal"/>
        <w:widowControl w:val="false"/>
        <w:numPr>
          <w:ilvl w:val="2"/>
          <w:numId w:val="2"/>
        </w:numPr>
        <w:shd w:val="clear" w:color="auto" w:fill="FFFFFF"/>
        <w:tabs>
          <w:tab w:val="clear" w:pos="709"/>
          <w:tab w:val="left" w:pos="1134" w:leader="none"/>
          <w:tab w:val="left" w:pos="1418" w:leader="none"/>
        </w:tabs>
        <w:ind w:left="0" w:firstLine="709"/>
        <w:jc w:val="both"/>
        <w:rPr/>
      </w:pPr>
      <w:r>
        <w:rPr>
          <w:bCs/>
        </w:rPr>
        <w:t>Начало оказания Услуг: дата заключения договора</w:t>
      </w:r>
    </w:p>
    <w:p>
      <w:pPr>
        <w:pStyle w:val="Normal"/>
        <w:widowControl w:val="false"/>
        <w:numPr>
          <w:ilvl w:val="2"/>
          <w:numId w:val="2"/>
        </w:numPr>
        <w:shd w:val="clear" w:color="auto" w:fill="FFFFFF"/>
        <w:tabs>
          <w:tab w:val="clear" w:pos="709"/>
          <w:tab w:val="left" w:pos="1134" w:leader="none"/>
          <w:tab w:val="left" w:pos="1418" w:leader="none"/>
        </w:tabs>
        <w:ind w:left="0" w:firstLine="709"/>
        <w:jc w:val="both"/>
        <w:rPr/>
      </w:pPr>
      <w:r>
        <w:rPr>
          <w:bCs/>
        </w:rPr>
        <w:t>Окончание оказания Услуг: «15» ноября 2026 г.</w:t>
      </w:r>
    </w:p>
    <w:p>
      <w:pPr>
        <w:pStyle w:val="Normal"/>
        <w:widowControl w:val="false"/>
        <w:shd w:val="clear" w:color="auto" w:fill="FFFFFF"/>
        <w:tabs>
          <w:tab w:val="clear" w:pos="709"/>
          <w:tab w:val="left" w:pos="1134" w:leader="none"/>
        </w:tabs>
        <w:jc w:val="both"/>
        <w:rPr>
          <w:bCs/>
        </w:rPr>
      </w:pPr>
      <w:r>
        <w:rPr>
          <w:bCs/>
        </w:rPr>
      </w:r>
    </w:p>
    <w:p>
      <w:pPr>
        <w:pStyle w:val="ListParagraph"/>
        <w:numPr>
          <w:ilvl w:val="0"/>
          <w:numId w:val="2"/>
        </w:numPr>
        <w:shd w:val="clear" w:color="auto" w:fill="FFFFFF"/>
        <w:tabs>
          <w:tab w:val="clear" w:pos="709"/>
          <w:tab w:val="left" w:pos="284" w:leader="none"/>
        </w:tabs>
        <w:ind w:left="0" w:hanging="0"/>
        <w:jc w:val="center"/>
        <w:rPr>
          <w:b/>
        </w:rPr>
      </w:pPr>
      <w:r>
        <w:rPr>
          <w:b/>
        </w:rPr>
        <w:t>Права и обязанности Сторон</w:t>
      </w:r>
    </w:p>
    <w:p>
      <w:pPr>
        <w:pStyle w:val="ListParagraph"/>
        <w:numPr>
          <w:ilvl w:val="1"/>
          <w:numId w:val="2"/>
        </w:numPr>
        <w:shd w:val="clear" w:color="auto" w:fill="FFFFFF"/>
        <w:tabs>
          <w:tab w:val="clear" w:pos="709"/>
          <w:tab w:val="left" w:pos="1134" w:leader="none"/>
        </w:tabs>
        <w:ind w:left="0" w:firstLine="709"/>
        <w:jc w:val="both"/>
        <w:rPr/>
      </w:pPr>
      <w:r>
        <w:rPr>
          <w:u w:val="single"/>
        </w:rPr>
        <w:t>Заказчик обязан</w:t>
      </w:r>
      <w:r>
        <w:rPr/>
        <w:t>:</w:t>
      </w:r>
    </w:p>
    <w:p>
      <w:pPr>
        <w:pStyle w:val="ListParagraph"/>
        <w:numPr>
          <w:ilvl w:val="2"/>
          <w:numId w:val="2"/>
        </w:numPr>
        <w:shd w:val="clear" w:color="auto" w:fill="FFFFFF"/>
        <w:tabs>
          <w:tab w:val="clear" w:pos="709"/>
          <w:tab w:val="left" w:pos="1418" w:leader="none"/>
        </w:tabs>
        <w:ind w:left="0" w:firstLine="709"/>
        <w:jc w:val="both"/>
        <w:rPr/>
      </w:pPr>
      <w:r>
        <w:rPr>
          <w:bCs/>
        </w:rPr>
        <w:t>Сообщить Исполнителю контакты и должность представителей Заказчика уполномоченных на оперативное рассмотрение и решение технических и организационных вопросов, связанных с оказанием Услуг</w:t>
      </w:r>
      <w:r>
        <w:rPr/>
        <w:t>.</w:t>
      </w:r>
    </w:p>
    <w:p>
      <w:pPr>
        <w:pStyle w:val="ListParagraph"/>
        <w:numPr>
          <w:ilvl w:val="2"/>
          <w:numId w:val="2"/>
        </w:numPr>
        <w:ind w:left="0" w:firstLine="709"/>
        <w:jc w:val="both"/>
        <w:rPr/>
      </w:pPr>
      <w:bookmarkStart w:id="2" w:name="_Ref133401287"/>
      <w:r>
        <w:rPr/>
        <w:t>Предоставить указанную в соответствующем письменном запросе Исполнителя и имеющуюся в наличии у Заказчика техническую или иную документацию и информацию, необходимые Исполнителю для выполнения обязательств по Договору.</w:t>
      </w:r>
      <w:bookmarkEnd w:id="2"/>
      <w:r>
        <w:rPr/>
        <w:t xml:space="preserve"> </w:t>
      </w:r>
    </w:p>
    <w:p>
      <w:pPr>
        <w:pStyle w:val="ListParagraph"/>
        <w:numPr>
          <w:ilvl w:val="2"/>
          <w:numId w:val="2"/>
        </w:numPr>
        <w:ind w:left="0" w:firstLine="709"/>
        <w:jc w:val="both"/>
        <w:rPr/>
      </w:pPr>
      <w:r>
        <w:rPr/>
        <w:t xml:space="preserve">Ознакомить Исполнителя с локальными нормативными актами Заказчика, устанавливающими требования по охране труда, пожарной безопасности, правила пропускного и внутриобъектового режима Заказчика. </w:t>
      </w:r>
    </w:p>
    <w:p>
      <w:pPr>
        <w:pStyle w:val="ListParagraph"/>
        <w:numPr>
          <w:ilvl w:val="2"/>
          <w:numId w:val="2"/>
        </w:numPr>
        <w:ind w:left="0" w:firstLine="709"/>
        <w:jc w:val="both"/>
        <w:rPr/>
      </w:pPr>
      <w:r>
        <w:rPr/>
        <w:t>Обеспечить выдачу лицам, указанным Исполнителем, доверенности на представление интересов Заказчика перед третьими лицами (при необходимости).</w:t>
      </w:r>
    </w:p>
    <w:p>
      <w:pPr>
        <w:pStyle w:val="ListParagraph"/>
        <w:numPr>
          <w:ilvl w:val="2"/>
          <w:numId w:val="2"/>
        </w:numPr>
        <w:shd w:val="clear" w:color="auto" w:fill="FFFFFF"/>
        <w:tabs>
          <w:tab w:val="clear" w:pos="709"/>
          <w:tab w:val="left" w:pos="1418" w:leader="none"/>
        </w:tabs>
        <w:ind w:left="0" w:firstLine="709"/>
        <w:jc w:val="both"/>
        <w:rPr/>
      </w:pPr>
      <w:r>
        <w:rPr/>
        <w:t>Принять и оплатить оказанные Исполнителем Услуги на условиях, по цене и в сроки, предусмотренные Договором.</w:t>
      </w:r>
    </w:p>
    <w:p>
      <w:pPr>
        <w:pStyle w:val="Normal"/>
        <w:numPr>
          <w:ilvl w:val="2"/>
          <w:numId w:val="2"/>
        </w:numPr>
        <w:ind w:left="0" w:firstLine="709"/>
        <w:rPr/>
      </w:pPr>
      <w:r>
        <w:rPr/>
        <w:t>Выполнять иные обязанности, предусмотренные Договором.</w:t>
      </w:r>
    </w:p>
    <w:p>
      <w:pPr>
        <w:pStyle w:val="ListParagraph"/>
        <w:shd w:val="clear" w:color="auto" w:fill="FFFFFF"/>
        <w:tabs>
          <w:tab w:val="clear" w:pos="709"/>
          <w:tab w:val="left" w:pos="1276" w:leader="none"/>
        </w:tabs>
        <w:ind w:left="0" w:hanging="0"/>
        <w:jc w:val="both"/>
        <w:rPr>
          <w:bCs/>
        </w:rPr>
      </w:pPr>
      <w:r>
        <w:rPr>
          <w:bCs/>
        </w:rPr>
      </w:r>
    </w:p>
    <w:p>
      <w:pPr>
        <w:pStyle w:val="ListParagraph"/>
        <w:numPr>
          <w:ilvl w:val="1"/>
          <w:numId w:val="2"/>
        </w:numPr>
        <w:shd w:val="clear" w:color="auto" w:fill="FFFFFF"/>
        <w:tabs>
          <w:tab w:val="clear" w:pos="709"/>
          <w:tab w:val="left" w:pos="1134" w:leader="none"/>
        </w:tabs>
        <w:ind w:left="0" w:firstLine="709"/>
        <w:jc w:val="both"/>
        <w:rPr/>
      </w:pPr>
      <w:r>
        <w:rPr>
          <w:u w:val="single"/>
        </w:rPr>
        <w:t>Заказчик имеет право</w:t>
      </w:r>
      <w:r>
        <w:rPr/>
        <w:t>:</w:t>
      </w:r>
    </w:p>
    <w:p>
      <w:pPr>
        <w:pStyle w:val="ListParagraph"/>
        <w:numPr>
          <w:ilvl w:val="2"/>
          <w:numId w:val="11"/>
        </w:numPr>
        <w:shd w:val="clear" w:color="auto" w:fill="FFFFFF"/>
        <w:tabs>
          <w:tab w:val="clear" w:pos="709"/>
          <w:tab w:val="left" w:pos="1418" w:leader="none"/>
        </w:tabs>
        <w:ind w:left="0" w:firstLine="709"/>
        <w:jc w:val="both"/>
        <w:rPr>
          <w:bCs/>
        </w:rPr>
      </w:pPr>
      <w:bookmarkStart w:id="3" w:name="_Ref361334602"/>
      <w:r>
        <w:rPr>
          <w:bCs/>
        </w:rPr>
        <w:t>В любое время осуществлять контроль и надзор за ходом и качеством оказания Исполнителем и / или привлеченными им третьими лицами (далее – Субисполнители) Услуг, соблюдением сроков их оказания, не вмешиваясь при этом в их оперативно-хозяйственную деятельность,</w:t>
      </w:r>
      <w:r>
        <w:rPr/>
        <w:t xml:space="preserve"> указывать Исполнителю на выявленные недостатки, требовать их устранения.</w:t>
      </w:r>
      <w:bookmarkEnd w:id="3"/>
      <w:r>
        <w:rPr>
          <w:bCs/>
        </w:rPr>
        <w:t xml:space="preserve"> Проведение Заказчиком контроля не снимает с Исполнителя ответственности за ненадлежащее оказание Услуг.</w:t>
      </w:r>
    </w:p>
    <w:p>
      <w:pPr>
        <w:pStyle w:val="ListParagraph"/>
        <w:numPr>
          <w:ilvl w:val="2"/>
          <w:numId w:val="11"/>
        </w:numPr>
        <w:shd w:val="clear" w:color="auto" w:fill="FFFFFF"/>
        <w:tabs>
          <w:tab w:val="clear" w:pos="709"/>
          <w:tab w:val="left" w:pos="1418" w:leader="none"/>
        </w:tabs>
        <w:ind w:left="0" w:firstLine="709"/>
        <w:jc w:val="both"/>
        <w:rPr/>
      </w:pPr>
      <w:r>
        <w:rPr/>
        <w:t>Приостанавливать осуществление любых платежей (независимо от наличия оснований и наступления сроков таких платежей) и оказание Услуг по Договору путем направления Исполнителю соответствующего письменного требования с указанием причин приостановления при обнаружении отступлений от условий Договора, в том числе нарушений сроков и / или качества оказания Услуг, Задания на оказание Услуг, Применимого права, до устранения таких нарушений или их последствий, устанавливать сроки устранения таких нарушений. Приостановка оказания Услуг не является основанием для продления сроков оказания Исполнителем Услуг</w:t>
      </w:r>
      <w:bookmarkStart w:id="4" w:name="_Ref361334468"/>
      <w:r>
        <w:rPr/>
        <w:t>, установленных Договором, и не влечет возникновения права Исполнителя на их оплату.</w:t>
      </w:r>
    </w:p>
    <w:p>
      <w:pPr>
        <w:pStyle w:val="ListParagraph"/>
        <w:numPr>
          <w:ilvl w:val="2"/>
          <w:numId w:val="11"/>
        </w:numPr>
        <w:shd w:val="clear" w:color="auto" w:fill="FFFFFF"/>
        <w:tabs>
          <w:tab w:val="clear" w:pos="709"/>
          <w:tab w:val="left" w:pos="1418" w:leader="none"/>
        </w:tabs>
        <w:ind w:left="0" w:firstLine="709"/>
        <w:jc w:val="both"/>
        <w:rPr/>
      </w:pPr>
      <w:bookmarkStart w:id="5" w:name="_Ref361319348"/>
      <w:bookmarkEnd w:id="4"/>
      <w:r>
        <w:rPr/>
        <w:t>Вносить изменения в Задание на оказание Услуг (Приложение № 1 к Договору), при условии, если такие изменения не оказывают существенного влияния на стоимость Услуг по Договору и / или не меняют характера предусмотренных в Договоре Услуг таким образом, что выполнение указаний Заказчика потребовало бы от Исполнителя получения отсутствующих у него допусков, разрешений и / или лицензий. В целях внесения соответствующих изменений в Задание на оказание Услуг (Приложение № 1 к Договору) Заказчик обязан направить Исполнителю письменное распоряжение, обязательное к выполнению Исполнителем.</w:t>
      </w:r>
      <w:bookmarkEnd w:id="5"/>
      <w:r>
        <w:rPr/>
        <w:t xml:space="preserve"> </w:t>
      </w:r>
    </w:p>
    <w:p>
      <w:pPr>
        <w:pStyle w:val="Normal"/>
        <w:numPr>
          <w:ilvl w:val="2"/>
          <w:numId w:val="11"/>
        </w:numPr>
        <w:tabs>
          <w:tab w:val="clear" w:pos="709"/>
          <w:tab w:val="left" w:pos="1418" w:leader="none"/>
        </w:tabs>
        <w:ind w:left="0" w:firstLine="709"/>
        <w:jc w:val="both"/>
        <w:rPr/>
      </w:pPr>
      <w:r>
        <w:rPr/>
        <w:t>Давать Исполнителю указания о способе оказания Услуг, если такие указания не противоречат условиям Договора и не являются вмешательством в деятельность Исполнителя.</w:t>
      </w:r>
    </w:p>
    <w:p>
      <w:pPr>
        <w:pStyle w:val="Normal"/>
        <w:numPr>
          <w:ilvl w:val="2"/>
          <w:numId w:val="11"/>
        </w:numPr>
        <w:ind w:left="0" w:firstLine="709"/>
        <w:jc w:val="both"/>
        <w:rPr/>
      </w:pPr>
      <w:r>
        <w:rPr/>
        <w:t xml:space="preserve"> </w:t>
      </w:r>
      <w:r>
        <w:rPr/>
        <w:t>Заказчик вправе без письменного согласия Исполнителя передать первичные бухгалтерские документы по Договору (договор с приложениями, все заключаемые дополнительные соглашения к нему, счета, акты, акты выполненных работ, акты сверки взаимных расчетов и иные документы в рамках исполнения договора) в АО «РусГидро - ОЦО» осуществляющее оказание услуг Заказчику  по бухгалтерскому и налоговому учету.</w:t>
      </w:r>
    </w:p>
    <w:p>
      <w:pPr>
        <w:pStyle w:val="Normal"/>
        <w:ind w:firstLine="567"/>
        <w:jc w:val="both"/>
        <w:rPr>
          <w:bCs/>
        </w:rPr>
      </w:pPr>
      <w:r>
        <w:rPr>
          <w:bCs/>
        </w:rPr>
      </w:r>
    </w:p>
    <w:p>
      <w:pPr>
        <w:pStyle w:val="ListParagraph"/>
        <w:numPr>
          <w:ilvl w:val="1"/>
          <w:numId w:val="11"/>
        </w:numPr>
        <w:shd w:val="clear" w:color="auto" w:fill="FFFFFF"/>
        <w:tabs>
          <w:tab w:val="clear" w:pos="709"/>
          <w:tab w:val="left" w:pos="1134" w:leader="none"/>
        </w:tabs>
        <w:ind w:left="0" w:firstLine="709"/>
        <w:jc w:val="both"/>
        <w:rPr/>
      </w:pPr>
      <w:r>
        <w:rPr>
          <w:u w:val="single"/>
        </w:rPr>
        <w:t>Исполнитель обязан</w:t>
      </w:r>
      <w:r>
        <w:rPr/>
        <w:t>:</w:t>
      </w:r>
    </w:p>
    <w:p>
      <w:pPr>
        <w:pStyle w:val="ListParagraph"/>
        <w:numPr>
          <w:ilvl w:val="2"/>
          <w:numId w:val="11"/>
        </w:numPr>
        <w:shd w:val="clear" w:color="auto" w:fill="FFFFFF"/>
        <w:tabs>
          <w:tab w:val="clear" w:pos="709"/>
          <w:tab w:val="left" w:pos="1418" w:leader="none"/>
        </w:tabs>
        <w:ind w:left="0" w:firstLine="709"/>
        <w:jc w:val="both"/>
        <w:rPr/>
      </w:pPr>
      <w:r>
        <w:rPr/>
        <w:t>Оказать Услуги в соответствии с Заданием на оказание Услуг (Приложение № 1 к Договору), качественно, в полном объеме, на высоком профессиональном уровне и в установленные Договором сроки.</w:t>
      </w:r>
    </w:p>
    <w:p>
      <w:pPr>
        <w:pStyle w:val="ListParagraph"/>
        <w:numPr>
          <w:ilvl w:val="2"/>
          <w:numId w:val="11"/>
        </w:numPr>
        <w:shd w:val="clear" w:color="auto" w:fill="FFFFFF"/>
        <w:tabs>
          <w:tab w:val="clear" w:pos="709"/>
          <w:tab w:val="left" w:pos="1418" w:leader="none"/>
        </w:tabs>
        <w:ind w:left="0" w:firstLine="709"/>
        <w:jc w:val="both"/>
        <w:rPr>
          <w:bCs/>
        </w:rPr>
      </w:pPr>
      <w:r>
        <w:rPr>
          <w:bCs/>
        </w:rPr>
        <w:t>До фактического начала оказания Услуг предоставить Заказчику:</w:t>
      </w:r>
    </w:p>
    <w:p>
      <w:pPr>
        <w:pStyle w:val="ListParagraph"/>
        <w:numPr>
          <w:ilvl w:val="0"/>
          <w:numId w:val="12"/>
        </w:numPr>
        <w:shd w:val="clear" w:color="auto" w:fill="FFFFFF"/>
        <w:tabs>
          <w:tab w:val="clear" w:pos="709"/>
          <w:tab w:val="left" w:pos="1134" w:leader="none"/>
          <w:tab w:val="left" w:pos="1276" w:leader="none"/>
        </w:tabs>
        <w:ind w:left="0" w:firstLine="709"/>
        <w:jc w:val="both"/>
        <w:rPr>
          <w:bCs/>
        </w:rPr>
      </w:pPr>
      <w:r>
        <w:rPr/>
        <w:t>контакты</w:t>
      </w:r>
      <w:r>
        <w:rPr>
          <w:bCs/>
        </w:rPr>
        <w:t xml:space="preserve"> и должность представителей Исполнителя, уполномоченных на оперативное рассмотрение и решение технических и организационных вопросов, связанных с оказанием Услуг; </w:t>
      </w:r>
    </w:p>
    <w:p>
      <w:pPr>
        <w:pStyle w:val="ListParagraph"/>
        <w:numPr>
          <w:ilvl w:val="0"/>
          <w:numId w:val="12"/>
        </w:numPr>
        <w:shd w:val="clear" w:color="auto" w:fill="FFFFFF"/>
        <w:tabs>
          <w:tab w:val="clear" w:pos="709"/>
          <w:tab w:val="left" w:pos="1134" w:leader="none"/>
          <w:tab w:val="left" w:pos="1276" w:leader="none"/>
        </w:tabs>
        <w:ind w:left="0" w:firstLine="709"/>
        <w:jc w:val="both"/>
        <w:rPr>
          <w:bCs/>
        </w:rPr>
      </w:pPr>
      <w:r>
        <w:rPr>
          <w:bCs/>
        </w:rPr>
        <w:t xml:space="preserve">контакты и должность представителя Исполнителя, ответственного за соблюдение норм и правил в области охраны труда, пожарной безопасности в месте оказания Услуг. </w:t>
      </w:r>
    </w:p>
    <w:p>
      <w:pPr>
        <w:pStyle w:val="ListParagraph"/>
        <w:shd w:val="clear" w:color="auto" w:fill="FFFFFF"/>
        <w:tabs>
          <w:tab w:val="left" w:pos="709" w:leader="none"/>
        </w:tabs>
        <w:ind w:left="0" w:firstLine="709"/>
        <w:jc w:val="both"/>
        <w:rPr>
          <w:bCs/>
        </w:rPr>
      </w:pPr>
      <w:r>
        <w:rPr>
          <w:bCs/>
        </w:rPr>
        <w:t>Исполнитель обязан обеспечить присутствие указанного лица в месте оказания Услуг в течение всего срока их оказания.</w:t>
      </w:r>
    </w:p>
    <w:p>
      <w:pPr>
        <w:pStyle w:val="ListParagraph"/>
        <w:numPr>
          <w:ilvl w:val="2"/>
          <w:numId w:val="11"/>
        </w:numPr>
        <w:shd w:val="clear" w:color="auto" w:fill="FFFFFF"/>
        <w:tabs>
          <w:tab w:val="clear" w:pos="709"/>
          <w:tab w:val="left" w:pos="1418" w:leader="none"/>
        </w:tabs>
        <w:ind w:left="0" w:firstLine="709"/>
        <w:jc w:val="both"/>
        <w:rPr>
          <w:bCs/>
        </w:rPr>
      </w:pPr>
      <w:r>
        <w:rPr/>
        <w:t xml:space="preserve">Оказывать Услуги силами только квалифицированных специалистов, прошедших соответствующую подготовку, </w:t>
      </w:r>
      <w:r>
        <w:rPr>
          <w:bCs/>
        </w:rPr>
        <w:t xml:space="preserve">квалификация, опыт и компетенция которых позволяет обеспечить надлежащее и качественное оказание Услуг. </w:t>
      </w:r>
    </w:p>
    <w:p>
      <w:pPr>
        <w:pStyle w:val="ListParagraph"/>
        <w:numPr>
          <w:ilvl w:val="2"/>
          <w:numId w:val="11"/>
        </w:numPr>
        <w:shd w:val="clear" w:color="auto" w:fill="FFFFFF"/>
        <w:tabs>
          <w:tab w:val="clear" w:pos="709"/>
          <w:tab w:val="left" w:pos="1418" w:leader="none"/>
        </w:tabs>
        <w:ind w:left="0" w:firstLine="709"/>
        <w:jc w:val="both"/>
        <w:rPr/>
      </w:pPr>
      <w:bookmarkStart w:id="6" w:name="_Ref133401724"/>
      <w:r>
        <w:rPr/>
        <w:t>Выполнять полученные в ходе исполнения Договора указания Заказчика, если такие указания не противоречат условиям Договора и не представляют собой вмешательства в деятельность Исполнителя.</w:t>
      </w:r>
      <w:bookmarkEnd w:id="6"/>
      <w:r>
        <w:rPr/>
        <w:t xml:space="preserve"> </w:t>
      </w:r>
    </w:p>
    <w:p>
      <w:pPr>
        <w:pStyle w:val="Normal"/>
        <w:shd w:val="clear" w:color="auto" w:fill="FFFFFF"/>
        <w:tabs>
          <w:tab w:val="clear" w:pos="709"/>
          <w:tab w:val="left" w:pos="1418" w:leader="none"/>
        </w:tabs>
        <w:ind w:firstLine="709"/>
        <w:jc w:val="both"/>
        <w:rPr>
          <w:bCs/>
        </w:rPr>
      </w:pPr>
      <w:r>
        <w:rPr>
          <w:bCs/>
        </w:rPr>
        <w:t xml:space="preserve">В случае, если такие указания могут привести к увеличению Цены Договора и (или) сроков оказания Услуг, Исполнитель обязан письменно сообщить об этом Заказчику не позднее 5 (пяти) календарных дней с даты получения соответствующего указания Заказчика, и Стороны, при неизбежности наступления указанных обстоятельств, обязаны подписать дополнительное соглашение к Договору. </w:t>
      </w:r>
    </w:p>
    <w:p>
      <w:pPr>
        <w:pStyle w:val="ListParagraph"/>
        <w:shd w:val="clear" w:color="auto" w:fill="FFFFFF"/>
        <w:tabs>
          <w:tab w:val="clear" w:pos="709"/>
          <w:tab w:val="left" w:pos="1418" w:leader="none"/>
        </w:tabs>
        <w:ind w:left="0" w:firstLine="709"/>
        <w:jc w:val="both"/>
        <w:rPr/>
      </w:pPr>
      <w:r>
        <w:rPr/>
        <w:t>Исполнитель не несет ответственности за возможные убытки, возникшие в результате исполнения указаний Заказчика, только если Исполнитель заблаговременно письменно известил Заказчика о возможных негативных последствиях исполнения таких указаний в соответствии с пунктом 2.3.5.1 Договора</w:t>
      </w:r>
    </w:p>
    <w:p>
      <w:pPr>
        <w:pStyle w:val="ListParagraph"/>
        <w:shd w:val="clear" w:color="auto" w:fill="FFFFFF"/>
        <w:tabs>
          <w:tab w:val="clear" w:pos="709"/>
          <w:tab w:val="left" w:pos="1418" w:leader="none"/>
        </w:tabs>
        <w:ind w:left="0" w:firstLine="709"/>
        <w:jc w:val="both"/>
        <w:rPr/>
      </w:pPr>
      <w:r>
        <w:rPr/>
        <w:t xml:space="preserve">Исполнитель не вправе отказаться от выполнения или задержать выполнение указаний Заказчика в части сокращения объемов оказываемых Услуг, прекращения и / или исключения отдельных видов Услуг, кроме случая, указанного в пункте 2.3.13.1 Договора. </w:t>
      </w:r>
    </w:p>
    <w:p>
      <w:pPr>
        <w:pStyle w:val="ListParagraph"/>
        <w:numPr>
          <w:ilvl w:val="2"/>
          <w:numId w:val="11"/>
        </w:numPr>
        <w:shd w:val="clear" w:color="auto" w:fill="FFFFFF"/>
        <w:tabs>
          <w:tab w:val="clear" w:pos="709"/>
          <w:tab w:val="left" w:pos="1418" w:leader="none"/>
        </w:tabs>
        <w:ind w:left="0" w:firstLine="709"/>
        <w:jc w:val="both"/>
        <w:rPr/>
      </w:pPr>
      <w:bookmarkStart w:id="7" w:name="_Ref361334822"/>
      <w:bookmarkEnd w:id="7"/>
      <w:r>
        <w:rPr/>
        <w:t>немедленно в письменном виде известить Заказчика и до получения от него указаний приостановить оказание Услуг при обнаружении:</w:t>
      </w:r>
    </w:p>
    <w:p>
      <w:pPr>
        <w:pStyle w:val="ListParagraph"/>
        <w:numPr>
          <w:ilvl w:val="3"/>
          <w:numId w:val="11"/>
        </w:numPr>
        <w:shd w:val="clear" w:color="auto" w:fill="FFFFFF"/>
        <w:tabs>
          <w:tab w:val="clear" w:pos="709"/>
          <w:tab w:val="left" w:pos="1701" w:leader="none"/>
        </w:tabs>
        <w:ind w:left="0" w:firstLine="709"/>
        <w:jc w:val="both"/>
        <w:rPr/>
      </w:pPr>
      <w:bookmarkStart w:id="8" w:name="_Ref361334793"/>
      <w:r>
        <w:rPr/>
        <w:t>возможных неблагоприятных для Заказчика последствий выполнения его указаний – в любом случае не позднее момента начала выполнения таких указаний;</w:t>
      </w:r>
      <w:bookmarkEnd w:id="8"/>
      <w:r>
        <w:rPr/>
        <w:t xml:space="preserve"> </w:t>
      </w:r>
    </w:p>
    <w:p>
      <w:pPr>
        <w:pStyle w:val="ListParagraph"/>
        <w:numPr>
          <w:ilvl w:val="3"/>
          <w:numId w:val="11"/>
        </w:numPr>
        <w:shd w:val="clear" w:color="auto" w:fill="FFFFFF"/>
        <w:tabs>
          <w:tab w:val="clear" w:pos="709"/>
          <w:tab w:val="left" w:pos="1701" w:leader="none"/>
        </w:tabs>
        <w:ind w:left="0" w:firstLine="709"/>
        <w:jc w:val="both"/>
        <w:rPr/>
      </w:pPr>
      <w:r>
        <w:rPr/>
        <w:t>отклонения от требований действующих норм и правил, технической и иной документации, Договора и письменных указаний Заказчика, независимо от причин возникновения таких отклонений – в любом случае не позднее следующего рабочего дня после обнаружения;</w:t>
      </w:r>
    </w:p>
    <w:p>
      <w:pPr>
        <w:pStyle w:val="ListParagraph"/>
        <w:numPr>
          <w:ilvl w:val="3"/>
          <w:numId w:val="11"/>
        </w:numPr>
        <w:shd w:val="clear" w:color="auto" w:fill="FFFFFF"/>
        <w:tabs>
          <w:tab w:val="clear" w:pos="709"/>
          <w:tab w:val="left" w:pos="1701" w:leader="none"/>
        </w:tabs>
        <w:ind w:left="0" w:firstLine="709"/>
        <w:jc w:val="both"/>
        <w:rPr/>
      </w:pPr>
      <w:r>
        <w:rPr/>
        <w:t xml:space="preserve">любых обстоятельствах, создающих невозможность оказания Услуг в срок, предусмотренный Договором – в любом случае не позднее следующего рабочего дня после обнаружения; </w:t>
      </w:r>
    </w:p>
    <w:p>
      <w:pPr>
        <w:pStyle w:val="ListParagraph"/>
        <w:shd w:val="clear" w:color="auto" w:fill="FFFFFF"/>
        <w:tabs>
          <w:tab w:val="clear" w:pos="709"/>
          <w:tab w:val="left" w:pos="1276" w:leader="none"/>
        </w:tabs>
        <w:ind w:left="0" w:firstLine="709"/>
        <w:jc w:val="both"/>
        <w:rPr/>
      </w:pPr>
      <w:r>
        <w:rPr/>
        <w:t>Невыполнение Исполнителем требований пункта 2.3.5 Договора лишает его права ссылаться на соответствующие обстоятельства, как на основание освобождения или ограничения своей ответственности по Договору.</w:t>
      </w:r>
    </w:p>
    <w:p>
      <w:pPr>
        <w:pStyle w:val="ListParagraph"/>
        <w:numPr>
          <w:ilvl w:val="2"/>
          <w:numId w:val="11"/>
        </w:numPr>
        <w:shd w:val="clear" w:color="auto" w:fill="FFFFFF"/>
        <w:tabs>
          <w:tab w:val="clear" w:pos="709"/>
          <w:tab w:val="left" w:pos="710" w:leader="none"/>
        </w:tabs>
        <w:ind w:left="0" w:firstLine="710"/>
        <w:jc w:val="both"/>
        <w:rPr/>
      </w:pPr>
      <w:r>
        <w:rPr/>
        <w:t xml:space="preserve">По требованию и в сроки, установленные Заказчиком, своими силами, средствами и за свой счет устранять недостатки и дефекты, возникшие по вине Исполнителя или по обстоятельствам, за которые отвечает Исполнитель и выявленные в процессе оказания Услуг, при приемке оказанных Услуг, а также осуществлять доработки, связанные с несогласованными с Заказчиком отступлениями от требований Договора. Компенсировать расходы Заказчика на устранение своими силами или силами третьих лиц недостатков в результатах оказанных Услуг, в случае, если Исполнитель не устраняет недостатки в установленные Заказчиком сроки. </w:t>
      </w:r>
    </w:p>
    <w:p>
      <w:pPr>
        <w:pStyle w:val="ListParagraph"/>
        <w:numPr>
          <w:ilvl w:val="2"/>
          <w:numId w:val="11"/>
        </w:numPr>
        <w:shd w:val="clear" w:color="auto" w:fill="FFFFFF"/>
        <w:tabs>
          <w:tab w:val="clear" w:pos="709"/>
          <w:tab w:val="left" w:pos="1418" w:leader="none"/>
        </w:tabs>
        <w:ind w:left="0" w:firstLine="709"/>
        <w:jc w:val="both"/>
        <w:rPr/>
      </w:pPr>
      <w:r>
        <w:rPr/>
        <w:t>Освободить Заказчика от любой ответственности и выплат по всем претензиям, требованиям и судебным искам, предъявляемым третьими лицами в связи с оказанием Услуг, а также компенсировать любой ущерб, связанный с причинением Исполнителем  вреда жизни или здоровью людей, имуществу Заказчика или третьих лиц, без какого-либо ограничения размера такого возмещения.</w:t>
      </w:r>
    </w:p>
    <w:p>
      <w:pPr>
        <w:pStyle w:val="ListParagraph"/>
        <w:numPr>
          <w:ilvl w:val="2"/>
          <w:numId w:val="11"/>
        </w:numPr>
        <w:shd w:val="clear" w:color="auto" w:fill="FFFFFF"/>
        <w:tabs>
          <w:tab w:val="clear" w:pos="709"/>
          <w:tab w:val="left" w:pos="1418" w:leader="none"/>
        </w:tabs>
        <w:ind w:left="0" w:firstLine="709"/>
        <w:jc w:val="both"/>
        <w:rPr/>
      </w:pPr>
      <w:r>
        <w:rPr/>
        <w:t xml:space="preserve"> </w:t>
      </w:r>
      <w:r>
        <w:rPr/>
        <w:t xml:space="preserve">В случае предъявления налоговыми органами претензий и требований к Заказчику, связанных с недобросовестностью Субисполнителей (любого лица из цепочки Субисполнителей), привлеченных Исполнителем к оказанию Услуг по Договору, компенсировать все убытки Заказчика, вызванные такими претензиями и требованиями.  </w:t>
      </w:r>
    </w:p>
    <w:p>
      <w:pPr>
        <w:pStyle w:val="ListParagraph"/>
        <w:shd w:val="clear" w:color="auto" w:fill="FFFFFF"/>
        <w:tabs>
          <w:tab w:val="clear" w:pos="709"/>
          <w:tab w:val="left" w:pos="1418" w:leader="none"/>
        </w:tabs>
        <w:ind w:left="0" w:hanging="0"/>
        <w:jc w:val="both"/>
        <w:rPr/>
      </w:pPr>
      <w:r>
        <w:rPr/>
        <w:t xml:space="preserve">      </w:t>
      </w:r>
      <w:r>
        <w:rPr/>
        <w:t>2.3.9. Письменно уведомить Заказчика о намерении приостановить оказание Услуг по Договору полностью или частично, когда такая приостановка Услуг Исполнителем допускается в соответствии с условиями Договора, законодательством Российской Федерации не позднее чем за 10 (десять) рабочих дней до даты приостановления оказания Услуг.</w:t>
      </w:r>
    </w:p>
    <w:p>
      <w:pPr>
        <w:pStyle w:val="ListParagraph"/>
        <w:shd w:val="clear" w:color="auto" w:fill="FFFFFF"/>
        <w:tabs>
          <w:tab w:val="clear" w:pos="709"/>
          <w:tab w:val="left" w:pos="1418" w:leader="none"/>
        </w:tabs>
        <w:ind w:left="0" w:hanging="0"/>
        <w:jc w:val="both"/>
        <w:rPr/>
      </w:pPr>
      <w:r>
        <w:rPr/>
        <w:t xml:space="preserve">    </w:t>
      </w:r>
      <w:r>
        <w:rPr/>
        <w:t>2.3.10. Подписать акты сверки взаимных расчетов, направленные Заказчиком в 2 (двух) экземплярах, и вернуть 1 (один) экземпляр Заказчику в течение 5 (пяти) рабочих дней с даты получения экземпляров актов сверки расчетов от Заказчика.</w:t>
      </w:r>
    </w:p>
    <w:p>
      <w:pPr>
        <w:pStyle w:val="ListParagraph"/>
        <w:shd w:val="clear" w:color="auto" w:fill="FFFFFF"/>
        <w:tabs>
          <w:tab w:val="clear" w:pos="709"/>
          <w:tab w:val="left" w:pos="1418" w:leader="none"/>
        </w:tabs>
        <w:ind w:left="0" w:hanging="0"/>
        <w:jc w:val="both"/>
        <w:rPr/>
      </w:pPr>
      <w:r>
        <w:rPr/>
        <w:t xml:space="preserve">  </w:t>
      </w:r>
      <w:r>
        <w:rPr/>
        <w:t xml:space="preserve">2.3.11  Исполнять другие обязанности в соответствии с Договором и законодательством Российской Федерации. </w:t>
      </w:r>
    </w:p>
    <w:p>
      <w:pPr>
        <w:pStyle w:val="ListParagraph"/>
        <w:shd w:val="clear" w:color="auto" w:fill="FFFFFF"/>
        <w:tabs>
          <w:tab w:val="clear" w:pos="709"/>
          <w:tab w:val="left" w:pos="1418" w:leader="none"/>
        </w:tabs>
        <w:ind w:left="709" w:hanging="0"/>
        <w:jc w:val="both"/>
        <w:rPr/>
      </w:pPr>
      <w:r>
        <w:rPr/>
      </w:r>
    </w:p>
    <w:p>
      <w:pPr>
        <w:pStyle w:val="ListParagraph"/>
        <w:numPr>
          <w:ilvl w:val="1"/>
          <w:numId w:val="15"/>
        </w:numPr>
        <w:shd w:val="clear" w:color="auto" w:fill="FFFFFF"/>
        <w:tabs>
          <w:tab w:val="clear" w:pos="709"/>
          <w:tab w:val="left" w:pos="1134" w:leader="none"/>
          <w:tab w:val="left" w:pos="1418" w:leader="none"/>
        </w:tabs>
        <w:ind w:left="0" w:firstLine="709"/>
        <w:jc w:val="both"/>
        <w:rPr/>
      </w:pPr>
      <w:r>
        <w:rPr>
          <w:u w:val="single"/>
        </w:rPr>
        <w:t>Исполнитель имеет право</w:t>
      </w:r>
      <w:r>
        <w:rPr/>
        <w:t>:</w:t>
      </w:r>
    </w:p>
    <w:p>
      <w:pPr>
        <w:pStyle w:val="ListParagraph"/>
        <w:numPr>
          <w:ilvl w:val="2"/>
          <w:numId w:val="16"/>
        </w:numPr>
        <w:shd w:val="clear" w:color="auto" w:fill="FFFFFF"/>
        <w:tabs>
          <w:tab w:val="clear" w:pos="709"/>
          <w:tab w:val="left" w:pos="1418" w:leader="none"/>
        </w:tabs>
        <w:ind w:left="0" w:firstLine="709"/>
        <w:jc w:val="both"/>
        <w:rPr/>
      </w:pPr>
      <w:r>
        <w:rPr/>
        <w:t>Самостоятельно организовать оказание Услуг.</w:t>
      </w:r>
    </w:p>
    <w:p>
      <w:pPr>
        <w:pStyle w:val="ListParagraph"/>
        <w:numPr>
          <w:ilvl w:val="2"/>
          <w:numId w:val="16"/>
        </w:numPr>
        <w:shd w:val="clear" w:color="auto" w:fill="FFFFFF"/>
        <w:tabs>
          <w:tab w:val="clear" w:pos="709"/>
          <w:tab w:val="left" w:pos="1418" w:leader="none"/>
        </w:tabs>
        <w:ind w:left="0" w:firstLine="709"/>
        <w:jc w:val="both"/>
        <w:rPr>
          <w:bCs/>
        </w:rPr>
      </w:pPr>
      <w:r>
        <w:rPr>
          <w:bCs/>
        </w:rPr>
        <w:t>Требовать от Заказчика предоставления материалов, документов, сведений и информации, необходимых для оказания Услуг по Договору.</w:t>
      </w:r>
    </w:p>
    <w:p>
      <w:pPr>
        <w:pStyle w:val="ListParagraph"/>
        <w:numPr>
          <w:ilvl w:val="2"/>
          <w:numId w:val="16"/>
        </w:numPr>
        <w:shd w:val="clear" w:color="auto" w:fill="FFFFFF"/>
        <w:tabs>
          <w:tab w:val="clear" w:pos="709"/>
          <w:tab w:val="left" w:pos="1418" w:leader="none"/>
        </w:tabs>
        <w:ind w:left="0" w:firstLine="709"/>
        <w:jc w:val="both"/>
        <w:rPr>
          <w:bCs/>
        </w:rPr>
      </w:pPr>
      <w:r>
        <w:rPr>
          <w:bCs/>
        </w:rPr>
        <w:t>Получать от Заказчика разъяснения и / или указания, необходимые для исполнения обязательств по Договору.</w:t>
      </w:r>
      <w:r>
        <w:rPr>
          <w:bCs/>
          <w:highlight w:val="lightGray"/>
        </w:rPr>
        <w:t xml:space="preserve"> </w:t>
      </w:r>
    </w:p>
    <w:p>
      <w:pPr>
        <w:pStyle w:val="ListParagraph"/>
        <w:numPr>
          <w:ilvl w:val="1"/>
          <w:numId w:val="15"/>
        </w:numPr>
        <w:shd w:val="clear" w:color="auto" w:fill="FFFFFF"/>
        <w:tabs>
          <w:tab w:val="clear" w:pos="709"/>
          <w:tab w:val="left" w:pos="1134" w:leader="none"/>
          <w:tab w:val="left" w:pos="1418" w:leader="none"/>
        </w:tabs>
        <w:ind w:left="0" w:firstLine="709"/>
        <w:jc w:val="both"/>
        <w:rPr/>
      </w:pPr>
      <w:r>
        <w:rPr/>
        <w:t>В целях информационной безопасности Стороны обязуются:</w:t>
      </w:r>
    </w:p>
    <w:p>
      <w:pPr>
        <w:pStyle w:val="ListParagraph"/>
        <w:numPr>
          <w:ilvl w:val="0"/>
          <w:numId w:val="19"/>
        </w:numPr>
        <w:spacing w:lineRule="auto" w:line="259" w:before="0" w:after="160"/>
        <w:ind w:left="1843" w:hanging="283"/>
        <w:contextualSpacing/>
        <w:jc w:val="both"/>
        <w:rPr/>
      </w:pPr>
      <w:r>
        <w:rPr/>
        <w:t>использовать отправку электронных писем с корпоративных почтовых доменов @vniig.ru размером не более 15 Мб, исключить использования общедоступных почтовых служб таких как:  mail.ru, gmail.com, Hotmail.com, outlook.com и т.п.</w:t>
      </w:r>
    </w:p>
    <w:p>
      <w:pPr>
        <w:pStyle w:val="ListParagraph"/>
        <w:numPr>
          <w:ilvl w:val="0"/>
          <w:numId w:val="19"/>
        </w:numPr>
        <w:spacing w:lineRule="auto" w:line="259" w:before="0" w:after="160"/>
        <w:ind w:left="1843" w:hanging="283"/>
        <w:contextualSpacing/>
        <w:jc w:val="both"/>
        <w:rPr/>
      </w:pPr>
      <w:r>
        <w:rPr/>
        <w:t xml:space="preserve">Обмен файлов больших объемов осуществлять через облачные хранилища расположенные на территории Покупателя https://cloud.vniig.ru, а так же исключить передачу файлов больших объемов через общедоступные облачные сервисы таких как:  яндекс диск, google диск, облако mail.ru и т.п. </w:t>
      </w:r>
    </w:p>
    <w:p>
      <w:pPr>
        <w:pStyle w:val="ListParagraph"/>
        <w:ind w:left="0" w:firstLine="709"/>
        <w:jc w:val="both"/>
        <w:rPr>
          <w:bCs/>
        </w:rPr>
      </w:pPr>
      <w:r>
        <w:rPr/>
        <w:t>Проведения видеоконференций,  совещаний (ВКС) осуществлять на оборудовании Заказчика или Исполнителя  при этом  запрещается использование сервисов ZOOM, Skype.</w:t>
      </w:r>
    </w:p>
    <w:p>
      <w:pPr>
        <w:pStyle w:val="ListParagraph"/>
        <w:ind w:left="0" w:firstLine="709"/>
        <w:jc w:val="both"/>
        <w:rPr>
          <w:bCs/>
        </w:rPr>
      </w:pPr>
      <w:r>
        <w:rPr>
          <w:bCs/>
        </w:rPr>
      </w:r>
    </w:p>
    <w:p>
      <w:pPr>
        <w:pStyle w:val="ListParagraph"/>
        <w:ind w:left="0" w:firstLine="709"/>
        <w:jc w:val="both"/>
        <w:rPr>
          <w:bCs/>
        </w:rPr>
      </w:pPr>
      <w:r>
        <w:rPr>
          <w:bCs/>
        </w:rPr>
      </w:r>
    </w:p>
    <w:p>
      <w:pPr>
        <w:pStyle w:val="ListParagraph"/>
        <w:numPr>
          <w:ilvl w:val="0"/>
          <w:numId w:val="16"/>
        </w:numPr>
        <w:shd w:val="clear" w:color="auto" w:fill="FFFFFF"/>
        <w:tabs>
          <w:tab w:val="clear" w:pos="709"/>
          <w:tab w:val="left" w:pos="284" w:leader="none"/>
        </w:tabs>
        <w:ind w:left="0" w:hanging="0"/>
        <w:jc w:val="center"/>
        <w:rPr>
          <w:b/>
        </w:rPr>
      </w:pPr>
      <w:bookmarkStart w:id="9" w:name="_Ref133401786"/>
      <w:bookmarkEnd w:id="9"/>
      <w:r>
        <w:rPr>
          <w:b/>
        </w:rPr>
        <w:t>Цена Договора и порядок расчетов</w:t>
      </w:r>
    </w:p>
    <w:p>
      <w:pPr>
        <w:pStyle w:val="ListParagraph"/>
        <w:numPr>
          <w:ilvl w:val="1"/>
          <w:numId w:val="18"/>
        </w:numPr>
        <w:shd w:val="clear" w:color="auto" w:fill="FFFFFF"/>
        <w:tabs>
          <w:tab w:val="clear" w:pos="709"/>
          <w:tab w:val="left" w:pos="284" w:leader="none"/>
          <w:tab w:val="left" w:pos="1134" w:leader="none"/>
        </w:tabs>
        <w:ind w:left="0" w:firstLine="709"/>
        <w:jc w:val="both"/>
        <w:rPr>
          <w:b/>
        </w:rPr>
      </w:pPr>
      <w:bookmarkStart w:id="10" w:name="_Ref133402395"/>
      <w:bookmarkEnd w:id="10"/>
      <w:r>
        <w:rPr/>
        <w:t>Цена Договора в соответствии со  Расчетом стоимости Услуг (Приложение № 2 к Договору) является твердой и составляет __________ (_________________) рублей ___ копеек без учета НДС, при этом НДС исчисляется дополнительно по ставке, установленной статьей 164 Налогового кодекса РФ.</w:t>
      </w:r>
    </w:p>
    <w:p>
      <w:pPr>
        <w:pStyle w:val="ListParagraph"/>
        <w:numPr>
          <w:ilvl w:val="1"/>
          <w:numId w:val="18"/>
        </w:numPr>
        <w:shd w:val="clear" w:color="auto" w:fill="FFFFFF"/>
        <w:tabs>
          <w:tab w:val="clear" w:pos="709"/>
          <w:tab w:val="left" w:pos="355" w:leader="none"/>
          <w:tab w:val="left" w:pos="1134" w:leader="none"/>
        </w:tabs>
        <w:ind w:left="0" w:firstLine="709"/>
        <w:jc w:val="both"/>
        <w:rPr/>
      </w:pPr>
      <w:r>
        <w:rPr/>
        <w:t>Цена Договора включает в себя прибыль Исполнителя, а также все расходы и затраты Исполнителя на:</w:t>
      </w:r>
    </w:p>
    <w:p>
      <w:pPr>
        <w:pStyle w:val="ListParagraph"/>
        <w:numPr>
          <w:ilvl w:val="2"/>
          <w:numId w:val="13"/>
        </w:numPr>
        <w:shd w:val="clear" w:color="auto" w:fill="FFFFFF"/>
        <w:tabs>
          <w:tab w:val="clear" w:pos="709"/>
          <w:tab w:val="left" w:pos="1418" w:leader="none"/>
        </w:tabs>
        <w:ind w:left="0" w:firstLine="709"/>
        <w:jc w:val="both"/>
        <w:rPr/>
      </w:pPr>
      <w:r>
        <w:rPr/>
        <w:t>приобретение материально-технических ресурсов, необходимых для оказания Услуг по Договору;</w:t>
      </w:r>
    </w:p>
    <w:p>
      <w:pPr>
        <w:pStyle w:val="ListParagraph"/>
        <w:shd w:val="clear" w:color="auto" w:fill="FFFFFF"/>
        <w:tabs>
          <w:tab w:val="clear" w:pos="709"/>
          <w:tab w:val="left" w:pos="1418" w:leader="none"/>
        </w:tabs>
        <w:ind w:left="0" w:hanging="0"/>
        <w:jc w:val="both"/>
        <w:rPr>
          <w:highlight w:val="lightGray"/>
        </w:rPr>
      </w:pPr>
      <w:r>
        <w:rPr/>
        <w:t xml:space="preserve">            </w:t>
      </w:r>
      <w:r>
        <w:rPr/>
        <w:t xml:space="preserve">-           заработную плату, накладные; </w:t>
      </w:r>
    </w:p>
    <w:p>
      <w:pPr>
        <w:pStyle w:val="ListParagraph"/>
        <w:numPr>
          <w:ilvl w:val="2"/>
          <w:numId w:val="13"/>
        </w:numPr>
        <w:shd w:val="clear" w:color="auto" w:fill="FFFFFF"/>
        <w:tabs>
          <w:tab w:val="clear" w:pos="709"/>
          <w:tab w:val="left" w:pos="1418" w:leader="none"/>
        </w:tabs>
        <w:ind w:left="0" w:firstLine="709"/>
        <w:jc w:val="both"/>
        <w:rPr/>
      </w:pPr>
      <w:r>
        <w:rPr/>
        <w:t xml:space="preserve">подлежащие уплате налоги, сборы и пошлины; </w:t>
      </w:r>
    </w:p>
    <w:p>
      <w:pPr>
        <w:pStyle w:val="ListParagraph"/>
        <w:numPr>
          <w:ilvl w:val="2"/>
          <w:numId w:val="13"/>
        </w:numPr>
        <w:shd w:val="clear" w:color="auto" w:fill="FFFFFF"/>
        <w:tabs>
          <w:tab w:val="clear" w:pos="709"/>
          <w:tab w:val="left" w:pos="1418" w:leader="none"/>
        </w:tabs>
        <w:ind w:left="0" w:firstLine="709"/>
        <w:jc w:val="both"/>
        <w:rPr/>
      </w:pPr>
      <w:r>
        <w:rPr/>
        <w:t>все прочие затраты и расходы Исполнителя, связанные с оказанием Услуг и исполнением иных обязательств по Договору, а также все прочие расходы, которые могут возникнуть у Исполнителя в течение срока действия Договора.</w:t>
      </w:r>
    </w:p>
    <w:p>
      <w:pPr>
        <w:pStyle w:val="ListParagraph"/>
        <w:numPr>
          <w:ilvl w:val="1"/>
          <w:numId w:val="14"/>
        </w:numPr>
        <w:shd w:val="clear" w:color="auto" w:fill="FFFFFF"/>
        <w:tabs>
          <w:tab w:val="left" w:pos="709" w:leader="none"/>
          <w:tab w:val="left" w:pos="851" w:leader="none"/>
          <w:tab w:val="left" w:pos="1134" w:leader="none"/>
        </w:tabs>
        <w:ind w:left="0" w:firstLine="709"/>
        <w:jc w:val="both"/>
        <w:rPr/>
      </w:pPr>
      <w:r>
        <w:rPr/>
        <w:t>Увеличение стоимости Услуг по Договору не требует заключения дополнительного соглашения к Договору только в случае, когда оно вызвано изменением ставки российского НДС.</w:t>
      </w:r>
    </w:p>
    <w:p>
      <w:pPr>
        <w:pStyle w:val="ListParagraph"/>
        <w:numPr>
          <w:ilvl w:val="1"/>
          <w:numId w:val="14"/>
        </w:numPr>
        <w:shd w:val="clear" w:color="auto" w:fill="FFFFFF"/>
        <w:tabs>
          <w:tab w:val="left" w:pos="709" w:leader="none"/>
          <w:tab w:val="left" w:pos="851" w:leader="none"/>
          <w:tab w:val="left" w:pos="1134" w:leader="none"/>
        </w:tabs>
        <w:ind w:left="0" w:firstLine="709"/>
        <w:jc w:val="both"/>
        <w:rPr/>
      </w:pPr>
      <w:bookmarkStart w:id="11" w:name="_Ref361858588"/>
      <w:r>
        <w:rPr/>
        <w:t>Оплата по Договору осуществляется Заказчиком в следующем порядке:</w:t>
      </w:r>
      <w:bookmarkEnd w:id="11"/>
      <w:r>
        <w:rPr/>
        <w:t xml:space="preserve"> </w:t>
      </w:r>
    </w:p>
    <w:p>
      <w:pPr>
        <w:pStyle w:val="ListParagraph"/>
        <w:numPr>
          <w:ilvl w:val="2"/>
          <w:numId w:val="14"/>
        </w:numPr>
        <w:shd w:val="clear" w:color="auto" w:fill="FFFFFF"/>
        <w:tabs>
          <w:tab w:val="left" w:pos="709" w:leader="none"/>
          <w:tab w:val="left" w:pos="851" w:leader="none"/>
          <w:tab w:val="left" w:pos="1134" w:leader="none"/>
        </w:tabs>
        <w:ind w:left="0" w:firstLine="709"/>
        <w:jc w:val="both"/>
        <w:rPr/>
      </w:pPr>
      <w:bookmarkStart w:id="12" w:name="_Ref373240288"/>
      <w:bookmarkStart w:id="13" w:name="_Ref361834178"/>
      <w:r>
        <w:rPr>
          <w:bCs/>
        </w:rPr>
        <w:t xml:space="preserve">Авансовый платеж </w:t>
      </w:r>
      <w:r>
        <w:rPr/>
        <w:t xml:space="preserve">в размере 10 (десяти) процентов от стоимости Услуг без учета НДС (при этом НДС исчисляется дополнительно по ставке, установленной статьей 164 Налогового кодекса РФ на дату выплаты авансового платежа) выплачивается Исполнителю в течение 30 (тридцати) календарных дней с даты получения Заказчиком счета, выставленного Исполнителем,  но не ранее чем за 30 (тридцать) календарных дней до даты начала оказания Услуг и с учетом пункта </w:t>
      </w:r>
      <w:r>
        <w:rPr/>
        <w:fldChar w:fldCharType="begin"/>
      </w:r>
      <w:r>
        <w:rPr/>
        <w:instrText xml:space="preserve"> REF _Ref133401672 \r \h </w:instrText>
      </w:r>
      <w:r>
        <w:rPr/>
        <w:fldChar w:fldCharType="separate"/>
      </w:r>
      <w:r>
        <w:rPr/>
        <w:t>3.5.3</w:t>
      </w:r>
      <w:r>
        <w:rPr/>
        <w:fldChar w:fldCharType="end"/>
      </w:r>
      <w:bookmarkStart w:id="14" w:name="_Ref372549497"/>
      <w:bookmarkEnd w:id="12"/>
      <w:bookmarkEnd w:id="13"/>
      <w:r>
        <w:rPr/>
        <w:t xml:space="preserve"> Договора. </w:t>
      </w:r>
    </w:p>
    <w:p>
      <w:pPr>
        <w:pStyle w:val="ListParagraph"/>
        <w:numPr>
          <w:ilvl w:val="2"/>
          <w:numId w:val="14"/>
        </w:numPr>
        <w:shd w:val="clear" w:color="auto" w:fill="FFFFFF"/>
        <w:tabs>
          <w:tab w:val="left" w:pos="709" w:leader="none"/>
          <w:tab w:val="left" w:pos="851" w:leader="none"/>
          <w:tab w:val="left" w:pos="1134" w:leader="none"/>
        </w:tabs>
        <w:ind w:left="0" w:firstLine="709"/>
        <w:jc w:val="both"/>
        <w:rPr/>
      </w:pPr>
      <w:r>
        <w:rPr/>
        <w:t xml:space="preserve">Последующий платеж в размере разницы между стоимостью Услуг, определенной с учетом НДС по ставке, установленной статьей 164 Налогового кодекса РФ на дату подписания Сторонами документов, указанных в пункте 4.1 Договора, и ранее выплаченной суммой авансового платежа, выплачивается в течение 20 (двадцати) календарных дней  с даты подписания Сторонами документов, указанных в пункте </w:t>
      </w:r>
      <w:r>
        <w:rPr/>
        <w:fldChar w:fldCharType="begin"/>
      </w:r>
      <w:r>
        <w:rPr/>
        <w:instrText xml:space="preserve"> REF _Ref133401705 \r \h </w:instrText>
      </w:r>
      <w:r>
        <w:rPr/>
        <w:fldChar w:fldCharType="separate"/>
      </w:r>
      <w:r>
        <w:rPr/>
        <w:t>4.1</w:t>
      </w:r>
      <w:r>
        <w:rPr/>
        <w:fldChar w:fldCharType="end"/>
      </w:r>
      <w:r>
        <w:rPr/>
        <w:t xml:space="preserve"> Договора, на основании счета, выставленного Исполнителем, и с учетом пункта </w:t>
      </w:r>
      <w:r>
        <w:rPr/>
        <w:fldChar w:fldCharType="begin"/>
      </w:r>
      <w:r>
        <w:rPr/>
        <w:instrText xml:space="preserve"> REF _Ref133401672 \r \h </w:instrText>
      </w:r>
      <w:r>
        <w:rPr/>
        <w:fldChar w:fldCharType="separate"/>
      </w:r>
      <w:r>
        <w:rPr/>
        <w:t>3.5.3</w:t>
      </w:r>
      <w:r>
        <w:rPr/>
        <w:fldChar w:fldCharType="end"/>
      </w:r>
      <w:r>
        <w:rPr/>
        <w:t xml:space="preserve"> Договора.</w:t>
      </w:r>
    </w:p>
    <w:p>
      <w:pPr>
        <w:pStyle w:val="ListParagraph"/>
        <w:numPr>
          <w:ilvl w:val="2"/>
          <w:numId w:val="14"/>
        </w:numPr>
        <w:shd w:val="clear" w:color="auto" w:fill="FFFFFF"/>
        <w:tabs>
          <w:tab w:val="left" w:pos="709" w:leader="none"/>
          <w:tab w:val="left" w:pos="851" w:leader="none"/>
          <w:tab w:val="left" w:pos="1134" w:leader="none"/>
        </w:tabs>
        <w:ind w:left="0" w:firstLine="709"/>
        <w:jc w:val="both"/>
        <w:rPr/>
      </w:pPr>
      <w:bookmarkStart w:id="15" w:name="_Ref133401672"/>
      <w:r>
        <w:rPr/>
        <w:t>В случае выставления Исполнителем счета на сумму меньшую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большую размера предусмотренного Договором платежа, счет к оплате не принимается и должен быть заменен Исполнителем независимо от его фактического вручения Заказчику. В случае выставления Исполнителем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Заказчиком.</w:t>
      </w:r>
      <w:bookmarkEnd w:id="14"/>
      <w:bookmarkEnd w:id="15"/>
      <w:r>
        <w:rPr/>
        <w:t xml:space="preserve"> </w:t>
      </w:r>
    </w:p>
    <w:p>
      <w:pPr>
        <w:pStyle w:val="ListParagraph"/>
        <w:numPr>
          <w:ilvl w:val="1"/>
          <w:numId w:val="14"/>
        </w:numPr>
        <w:shd w:val="clear" w:color="auto" w:fill="FFFFFF"/>
        <w:tabs>
          <w:tab w:val="clear" w:pos="709"/>
          <w:tab w:val="left" w:pos="1134" w:leader="none"/>
        </w:tabs>
        <w:ind w:left="0" w:firstLine="709"/>
        <w:jc w:val="both"/>
        <w:rPr/>
      </w:pPr>
      <w:r>
        <w:rPr/>
        <w:t>Расчеты по Договору осуществляются в валюте Российской Федерации. Оплата производится Заказчиком путем перечисления денежных средств на расчетный счет Исполнителя, указанный в Договоре. Обязательство Заказчика по осуществлению платежа считается исполненным с даты списания денежных средств с расчетного счета Заказчика.</w:t>
      </w:r>
    </w:p>
    <w:p>
      <w:pPr>
        <w:pStyle w:val="ListParagraph"/>
        <w:numPr>
          <w:ilvl w:val="1"/>
          <w:numId w:val="14"/>
        </w:numPr>
        <w:shd w:val="clear" w:color="auto" w:fill="FFFFFF"/>
        <w:tabs>
          <w:tab w:val="clear" w:pos="709"/>
          <w:tab w:val="left" w:pos="1134" w:leader="none"/>
        </w:tabs>
        <w:ind w:left="0" w:firstLine="709"/>
        <w:jc w:val="both"/>
        <w:rPr/>
      </w:pPr>
      <w:r>
        <w:rPr/>
        <w:t xml:space="preserve">За исключением случая, указанного в пункте </w:t>
      </w:r>
      <w:r>
        <w:rPr/>
        <w:fldChar w:fldCharType="begin"/>
      </w:r>
      <w:r>
        <w:rPr/>
        <w:instrText xml:space="preserve"> REF _Ref133401724 \r \h </w:instrText>
      </w:r>
      <w:r>
        <w:rPr/>
        <w:fldChar w:fldCharType="separate"/>
      </w:r>
      <w:r>
        <w:rPr/>
        <w:t>2.3.4</w:t>
      </w:r>
      <w:r>
        <w:rPr/>
        <w:fldChar w:fldCharType="end"/>
      </w:r>
      <w:r>
        <w:rPr/>
        <w:t xml:space="preserve"> Договора, любое превышение фактических объемов оказанных Услуг над объемами Услуг, предусмотренными Договором, к оплате не принимается и считается включенным в Цену Договора. </w:t>
      </w:r>
    </w:p>
    <w:p>
      <w:pPr>
        <w:pStyle w:val="ListParagraph"/>
        <w:numPr>
          <w:ilvl w:val="1"/>
          <w:numId w:val="14"/>
        </w:numPr>
        <w:shd w:val="clear" w:color="auto" w:fill="FFFFFF"/>
        <w:tabs>
          <w:tab w:val="clear" w:pos="709"/>
          <w:tab w:val="left" w:pos="1134" w:leader="none"/>
        </w:tabs>
        <w:ind w:left="0" w:firstLine="709"/>
        <w:jc w:val="both"/>
        <w:rPr/>
      </w:pPr>
      <w:bookmarkStart w:id="16" w:name="_Ref133402103"/>
      <w:r>
        <w:rPr/>
        <w:t xml:space="preserve">Исполнитель обязан представить Заказчику счета-фактуры/УПД, выставленные в сроки и оформленные в порядке, установленном законодательством Российской Федерации. В </w:t>
      </w:r>
      <w:r>
        <w:rPr>
          <w:color w:val="000000"/>
        </w:rPr>
        <w:t>случае</w:t>
      </w:r>
      <w:r>
        <w:rPr/>
        <w:t xml:space="preserve"> нарушения Исполнителем требований к оформлению счетов-фактур, он обязан произвести замену счета-фактуры в течение 3 (трех) рабочих дней с даты получения соответствующего письменного требования Заказчика. В случае не предоставления Исполнителем в течение 5 (пяти) календарных дней с даты получения авансового платежа счета-фактуры/УПД, подтверждающего право Заказчика на вычет НДС, уплаченного дополнительно к такому авансу, Исполнитель обязан в тот же срок возвратить Заказчику разницу между суммой, фактически перечисленной Заказчиком, и суммой соответствующего авансового платежа, без учета НДС.</w:t>
      </w:r>
      <w:bookmarkEnd w:id="16"/>
      <w:r>
        <w:rPr/>
        <w:t xml:space="preserve"> </w:t>
      </w:r>
    </w:p>
    <w:p>
      <w:pPr>
        <w:pStyle w:val="ListParagraph"/>
        <w:numPr>
          <w:ilvl w:val="1"/>
          <w:numId w:val="14"/>
        </w:numPr>
        <w:shd w:val="clear" w:color="auto" w:fill="FFFFFF"/>
        <w:tabs>
          <w:tab w:val="clear" w:pos="709"/>
          <w:tab w:val="left" w:pos="1134" w:leader="none"/>
        </w:tabs>
        <w:ind w:left="0" w:firstLine="709"/>
        <w:jc w:val="both"/>
        <w:rPr/>
      </w:pPr>
      <w:r>
        <w:rPr/>
        <w:t>Индексация Цены Договора не допускается.</w:t>
      </w:r>
    </w:p>
    <w:p>
      <w:pPr>
        <w:pStyle w:val="ListParagraph"/>
        <w:numPr>
          <w:ilvl w:val="1"/>
          <w:numId w:val="14"/>
        </w:numPr>
        <w:shd w:val="clear" w:color="auto" w:fill="FFFFFF"/>
        <w:tabs>
          <w:tab w:val="clear" w:pos="709"/>
          <w:tab w:val="left" w:pos="1134" w:leader="none"/>
        </w:tabs>
        <w:ind w:left="0" w:firstLine="709"/>
        <w:jc w:val="both"/>
        <w:rPr/>
      </w:pPr>
      <w:r>
        <w:rPr/>
        <w:t>Заказчик вправе произвести сальдо взаимных обязательств Сторон путем уменьшения сумм причитающихся Исполнителю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Исполнителя перед Заказчиком, в том числе (включая, но не ограничиваясь), суммы не 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оказанных Исполнителем Услуг.</w:t>
      </w:r>
    </w:p>
    <w:p>
      <w:pPr>
        <w:pStyle w:val="ListParagraph"/>
        <w:shd w:val="clear" w:color="auto" w:fill="FFFFFF"/>
        <w:tabs>
          <w:tab w:val="clear" w:pos="709"/>
          <w:tab w:val="left" w:pos="1134" w:leader="none"/>
        </w:tabs>
        <w:ind w:left="0" w:hanging="0"/>
        <w:jc w:val="both"/>
        <w:rPr/>
      </w:pPr>
      <w:r>
        <w:rPr/>
      </w:r>
    </w:p>
    <w:p>
      <w:pPr>
        <w:pStyle w:val="ListParagraph"/>
        <w:numPr>
          <w:ilvl w:val="0"/>
          <w:numId w:val="14"/>
        </w:numPr>
        <w:shd w:val="clear" w:color="auto" w:fill="FFFFFF"/>
        <w:tabs>
          <w:tab w:val="clear" w:pos="709"/>
          <w:tab w:val="left" w:pos="284" w:leader="none"/>
        </w:tabs>
        <w:ind w:left="0" w:hanging="0"/>
        <w:jc w:val="center"/>
        <w:rPr>
          <w:b/>
        </w:rPr>
      </w:pPr>
      <w:r>
        <w:rPr>
          <w:b/>
        </w:rPr>
        <w:t>Порядок сдачи-приемки Услуг</w:t>
      </w:r>
    </w:p>
    <w:p>
      <w:pPr>
        <w:pStyle w:val="ListParagraph"/>
        <w:numPr>
          <w:ilvl w:val="1"/>
          <w:numId w:val="17"/>
        </w:numPr>
        <w:shd w:val="clear" w:color="auto" w:fill="FFFFFF"/>
        <w:tabs>
          <w:tab w:val="clear" w:pos="709"/>
          <w:tab w:val="left" w:pos="284" w:leader="none"/>
          <w:tab w:val="left" w:pos="1134" w:leader="none"/>
        </w:tabs>
        <w:ind w:left="0" w:firstLine="709"/>
        <w:jc w:val="both"/>
        <w:rPr/>
      </w:pPr>
      <w:bookmarkStart w:id="17" w:name="_Ref133401705"/>
      <w:r>
        <w:rPr/>
        <w:t>По окончании оказания Услуг Исполнитель в течение 3 (трех) рабочих дней предоставляет Заказчику подписанные со своей стороны в 2 (двух) экземплярах Акты об оказании Услуг по форме Приложения № 3 к Договору/ УПД с приложением Отчета об оказании Услуг и иных отчетных документов, предусмотренных Заданием на оказание Услуг (Приложение № 1 к Договору).</w:t>
      </w:r>
      <w:bookmarkEnd w:id="17"/>
      <w:r>
        <w:rPr/>
        <w:t xml:space="preserve"> </w:t>
      </w:r>
    </w:p>
    <w:p>
      <w:pPr>
        <w:pStyle w:val="ListParagraph"/>
        <w:numPr>
          <w:ilvl w:val="1"/>
          <w:numId w:val="17"/>
        </w:numPr>
        <w:shd w:val="clear" w:color="auto" w:fill="FFFFFF"/>
        <w:tabs>
          <w:tab w:val="clear" w:pos="709"/>
          <w:tab w:val="left" w:pos="284" w:leader="none"/>
          <w:tab w:val="left" w:pos="1134" w:leader="none"/>
        </w:tabs>
        <w:ind w:left="0" w:firstLine="709"/>
        <w:jc w:val="both"/>
        <w:rPr/>
      </w:pPr>
      <w:bookmarkStart w:id="18" w:name="_Ref372745126"/>
      <w:r>
        <w:rPr/>
        <w:t xml:space="preserve">В течение 5 (пяти) рабочих дней с даты получения полного комплекта документов, указанных в пункте </w:t>
      </w:r>
      <w:r>
        <w:rPr/>
        <w:fldChar w:fldCharType="begin"/>
      </w:r>
      <w:r>
        <w:rPr/>
        <w:instrText xml:space="preserve"> REF _Ref133401705 \r \h </w:instrText>
      </w:r>
      <w:r>
        <w:rPr/>
        <w:fldChar w:fldCharType="separate"/>
      </w:r>
      <w:r>
        <w:rPr/>
        <w:t>4.1</w:t>
      </w:r>
      <w:r>
        <w:rPr/>
        <w:fldChar w:fldCharType="end"/>
      </w:r>
      <w:r>
        <w:rPr/>
        <w:t xml:space="preserve"> Договора, Заказчик подписывает (утверждает) и передает Исполнителю 1 (один) экземпляр Акта об оказании Услуг/УПД и Отчета об оказании Услуг либо направляет Исполнителю письменный мотивированный отказ от приемки Услуг (далее – «Ведомость замечаний»), в котором отражает недостатки оказанных Услуг, а также срок на их устранение.</w:t>
      </w:r>
      <w:bookmarkEnd w:id="18"/>
      <w:r>
        <w:rPr/>
        <w:t xml:space="preserve"> </w:t>
      </w:r>
    </w:p>
    <w:p>
      <w:pPr>
        <w:pStyle w:val="ListParagraph"/>
        <w:numPr>
          <w:ilvl w:val="1"/>
          <w:numId w:val="17"/>
        </w:numPr>
        <w:shd w:val="clear" w:color="auto" w:fill="FFFFFF"/>
        <w:tabs>
          <w:tab w:val="clear" w:pos="709"/>
          <w:tab w:val="left" w:pos="284" w:leader="none"/>
          <w:tab w:val="left" w:pos="1134" w:leader="none"/>
        </w:tabs>
        <w:ind w:left="0" w:firstLine="709"/>
        <w:jc w:val="both"/>
        <w:rPr/>
      </w:pPr>
      <w:bookmarkStart w:id="19" w:name="_Ref373239439"/>
      <w:r>
        <w:rPr/>
        <w:t xml:space="preserve">Устранение недостатков, выявленных Заказчиком, осуществляется Исполнителем своими силами и за свой счет в срок, указанный в Ведомости замечаний. </w:t>
      </w:r>
      <w:bookmarkStart w:id="20" w:name="_Ref361337525"/>
      <w:bookmarkEnd w:id="19"/>
      <w:r>
        <w:rPr/>
        <w:t xml:space="preserve">Повторная приемка Заказчиком оказанных Услуг после устранения недостатков, указанных в Ведомости замечаний, осуществляется в порядке, предусмотренном пунктами </w:t>
      </w:r>
      <w:r>
        <w:rPr/>
        <w:fldChar w:fldCharType="begin"/>
      </w:r>
      <w:r>
        <w:rPr/>
        <w:instrText xml:space="preserve"> REF _Ref133401705 \r \h </w:instrText>
      </w:r>
      <w:r>
        <w:rPr/>
        <w:fldChar w:fldCharType="separate"/>
      </w:r>
      <w:r>
        <w:rPr/>
        <w:t>4.1</w:t>
      </w:r>
      <w:r>
        <w:rPr/>
        <w:fldChar w:fldCharType="end"/>
      </w:r>
      <w:r>
        <w:rPr/>
        <w:t xml:space="preserve">- </w:t>
      </w:r>
      <w:r>
        <w:rPr/>
        <w:fldChar w:fldCharType="begin"/>
      </w:r>
      <w:r>
        <w:rPr/>
        <w:instrText xml:space="preserve"> REF _Ref372745126 \r \h </w:instrText>
      </w:r>
      <w:r>
        <w:rPr/>
        <w:fldChar w:fldCharType="separate"/>
      </w:r>
      <w:r>
        <w:rPr/>
        <w:t>4.2</w:t>
      </w:r>
      <w:r>
        <w:rPr/>
        <w:fldChar w:fldCharType="end"/>
      </w:r>
      <w:r>
        <w:rPr/>
        <w:t xml:space="preserve"> Договора.</w:t>
      </w:r>
    </w:p>
    <w:p>
      <w:pPr>
        <w:pStyle w:val="ListParagraph"/>
        <w:shd w:val="clear" w:color="auto" w:fill="FFFFFF"/>
        <w:tabs>
          <w:tab w:val="clear" w:pos="709"/>
          <w:tab w:val="left" w:pos="284" w:leader="none"/>
          <w:tab w:val="left" w:pos="1134" w:leader="none"/>
        </w:tabs>
        <w:ind w:left="0" w:firstLine="709"/>
        <w:jc w:val="both"/>
        <w:rPr/>
      </w:pPr>
      <w:r>
        <w:rPr/>
        <w:t xml:space="preserve">Указание Заказчиком срока новой приемки не влечет переноса установленного Договором срока оказания Услуг и не исключает ответственности Исполнителя за его нарушение. </w:t>
      </w:r>
    </w:p>
    <w:p>
      <w:pPr>
        <w:pStyle w:val="ListParagraph"/>
        <w:numPr>
          <w:ilvl w:val="1"/>
          <w:numId w:val="17"/>
        </w:numPr>
        <w:shd w:val="clear" w:color="auto" w:fill="FFFFFF"/>
        <w:tabs>
          <w:tab w:val="clear" w:pos="709"/>
          <w:tab w:val="left" w:pos="284" w:leader="none"/>
          <w:tab w:val="left" w:pos="1134" w:leader="none"/>
        </w:tabs>
        <w:ind w:left="0" w:firstLine="709"/>
        <w:jc w:val="both"/>
        <w:rPr/>
      </w:pPr>
      <w:r>
        <w:rPr/>
        <w:t>Услуги считаются оказанными Исполнителем и принятыми Заказчиком с момента подписания Сторонами Акта об оказании Услуг.</w:t>
      </w:r>
    </w:p>
    <w:p>
      <w:pPr>
        <w:pStyle w:val="ListParagraph"/>
        <w:numPr>
          <w:ilvl w:val="1"/>
          <w:numId w:val="17"/>
        </w:numPr>
        <w:shd w:val="clear" w:color="auto" w:fill="FFFFFF"/>
        <w:tabs>
          <w:tab w:val="clear" w:pos="709"/>
          <w:tab w:val="left" w:pos="284" w:leader="none"/>
          <w:tab w:val="left" w:pos="1134" w:leader="none"/>
        </w:tabs>
        <w:ind w:left="0" w:firstLine="709"/>
        <w:jc w:val="both"/>
        <w:rPr/>
      </w:pPr>
      <w:r>
        <w:rPr/>
        <w:t xml:space="preserve">Если Исполнитель не устранит недостатки Услуг, указанные в Ведомости замечаний, в срок, установленный Заказчиком в соответствии с пунктом </w:t>
      </w:r>
      <w:r>
        <w:rPr/>
        <w:fldChar w:fldCharType="begin"/>
      </w:r>
      <w:r>
        <w:rPr/>
        <w:instrText xml:space="preserve"> REF _Ref372745126 \r \h </w:instrText>
      </w:r>
      <w:r>
        <w:rPr/>
        <w:fldChar w:fldCharType="separate"/>
      </w:r>
      <w:r>
        <w:rPr/>
        <w:t>4.2</w:t>
      </w:r>
      <w:r>
        <w:rPr/>
        <w:fldChar w:fldCharType="end"/>
      </w:r>
      <w:bookmarkEnd w:id="20"/>
      <w:r>
        <w:rPr/>
        <w:t xml:space="preserve"> Договора, Заказчик вправе собственными силами и (или) силами третьих лиц устранить недостатки, выявленные в ходе приемки результатов Услуг, с отнесением на Исполнителя соответствующих расходов. Исполнитель обязан возместить указанные расходы Заказчика в течение 10 (десяти) рабочих дней с даты получения соответствующего письменного требования Заказчика.</w:t>
      </w:r>
    </w:p>
    <w:p>
      <w:pPr>
        <w:pStyle w:val="ListParagraph"/>
        <w:shd w:val="clear" w:color="auto" w:fill="FFFFFF"/>
        <w:tabs>
          <w:tab w:val="clear" w:pos="709"/>
          <w:tab w:val="left" w:pos="1134" w:leader="none"/>
        </w:tabs>
        <w:ind w:left="0" w:firstLine="709"/>
        <w:jc w:val="both"/>
        <w:rPr/>
      </w:pPr>
      <w:r>
        <w:rPr/>
      </w:r>
    </w:p>
    <w:p>
      <w:pPr>
        <w:pStyle w:val="ListParagraph"/>
        <w:numPr>
          <w:ilvl w:val="0"/>
          <w:numId w:val="17"/>
        </w:numPr>
        <w:shd w:val="clear" w:color="auto" w:fill="FFFFFF"/>
        <w:tabs>
          <w:tab w:val="clear" w:pos="709"/>
          <w:tab w:val="left" w:pos="284" w:leader="none"/>
        </w:tabs>
        <w:ind w:left="0" w:hanging="0"/>
        <w:jc w:val="center"/>
        <w:rPr>
          <w:b/>
        </w:rPr>
      </w:pPr>
      <w:r>
        <w:rPr>
          <w:b/>
        </w:rPr>
        <w:t>Ответственность Сторон</w:t>
      </w:r>
    </w:p>
    <w:p>
      <w:pPr>
        <w:pStyle w:val="ListParagraph"/>
        <w:numPr>
          <w:ilvl w:val="1"/>
          <w:numId w:val="17"/>
        </w:numPr>
        <w:shd w:val="clear" w:color="auto" w:fill="FFFFFF"/>
        <w:tabs>
          <w:tab w:val="left" w:pos="709" w:leader="none"/>
          <w:tab w:val="left" w:pos="1134" w:leader="none"/>
        </w:tabs>
        <w:ind w:left="0" w:firstLine="709"/>
        <w:jc w:val="both"/>
        <w:rPr/>
      </w:pPr>
      <w:r>
        <w:rPr>
          <w:bCs/>
        </w:rPr>
        <w:t xml:space="preserve">За неисполнение или ненадлежащее исполнение принятых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и должны рассматриваться как дополнительные, если Договором прямо не предусмотрено иное. </w:t>
      </w:r>
    </w:p>
    <w:p>
      <w:pPr>
        <w:pStyle w:val="Normal"/>
        <w:numPr>
          <w:ilvl w:val="1"/>
          <w:numId w:val="17"/>
        </w:numPr>
        <w:tabs>
          <w:tab w:val="left" w:pos="496" w:leader="none"/>
          <w:tab w:val="left" w:pos="709" w:leader="none"/>
          <w:tab w:val="left" w:pos="1134" w:leader="none"/>
        </w:tabs>
        <w:ind w:left="0" w:firstLine="709"/>
        <w:jc w:val="both"/>
        <w:rPr/>
      </w:pPr>
      <w:r>
        <w:rPr/>
        <w:t>Заказчик не несет ответственность за ненадлежащее исполнение обязательств по внесению предварительной оплаты (аванса). В случае нарушения Заказчиком срока оплаты авансового платежа Исполнитель имеет право приостановить оказание Услуг по Договору при условии предварительного письменного уведомления Заказчика о таком приостановлении.</w:t>
      </w:r>
    </w:p>
    <w:p>
      <w:pPr>
        <w:pStyle w:val="Normal"/>
        <w:numPr>
          <w:ilvl w:val="1"/>
          <w:numId w:val="17"/>
        </w:numPr>
        <w:tabs>
          <w:tab w:val="left" w:pos="709" w:leader="none"/>
          <w:tab w:val="left" w:pos="1134" w:leader="none"/>
        </w:tabs>
        <w:ind w:left="0" w:firstLine="709"/>
        <w:jc w:val="both"/>
        <w:rPr/>
      </w:pPr>
      <w:bookmarkStart w:id="21" w:name="_Hlk133401999"/>
      <w:r>
        <w:rPr/>
        <w:t xml:space="preserve">В случае нарушения Заказчиком сроков оплаты, установленных разделом </w:t>
      </w:r>
      <w:r>
        <w:rPr/>
        <w:fldChar w:fldCharType="begin"/>
      </w:r>
      <w:r>
        <w:rPr/>
        <w:instrText xml:space="preserve"> REF _Ref133401786 \r \h </w:instrText>
      </w:r>
      <w:r>
        <w:rPr/>
        <w:fldChar w:fldCharType="separate"/>
      </w:r>
      <w:r>
        <w:rPr/>
        <w:t>3</w:t>
      </w:r>
      <w:r>
        <w:rPr/>
        <w:fldChar w:fldCharType="end"/>
      </w:r>
      <w:r>
        <w:rPr/>
        <w:t xml:space="preserve"> Договора (за исключением срока оплаты авансовых платежей), Исполнитель вправе требовать уплаты Заказчиком исключительной неустойки в размере 0,05 (ноль целых и пять сотых)</w:t>
      </w:r>
      <w:r>
        <w:rPr>
          <w:sz w:val="28"/>
          <w:szCs w:val="28"/>
        </w:rPr>
        <w:t xml:space="preserve"> </w:t>
      </w:r>
      <w:bookmarkEnd w:id="21"/>
      <w:r>
        <w:rPr/>
        <w:t xml:space="preserve">процента от несвоевременно оплаченной суммы за каждый день просрочки, начиная с 31 (тридцать первого) календарного дня просрочки,  но не более 5 (пяти)процентов от неоплаченной суммы. </w:t>
      </w:r>
    </w:p>
    <w:p>
      <w:pPr>
        <w:pStyle w:val="ListParagraph"/>
        <w:numPr>
          <w:ilvl w:val="1"/>
          <w:numId w:val="17"/>
        </w:numPr>
        <w:shd w:val="clear" w:color="auto" w:fill="FFFFFF" w:themeFill="background1"/>
        <w:tabs>
          <w:tab w:val="left" w:pos="0" w:leader="none"/>
          <w:tab w:val="left" w:pos="496" w:leader="none"/>
          <w:tab w:val="left" w:pos="709" w:leader="none"/>
          <w:tab w:val="left" w:pos="1134" w:leader="none"/>
          <w:tab w:val="left" w:pos="1418" w:leader="none"/>
        </w:tabs>
        <w:ind w:left="0" w:firstLine="709"/>
        <w:jc w:val="both"/>
        <w:rPr/>
      </w:pPr>
      <w:r>
        <w:rPr/>
        <w:t>В случае нарушения Исполнителем обязательств по оказанию Услуг, в том числе сроков оказания Услуг, а также в случае несвоевременного устранения выявленных недостатков Услуг, Заказчик вправе требовать уплаты Исполнителем неустойки в размере 0,1 (ноль целых и одна десятая) процента от Цены Договора за каждый день просрочки.</w:t>
      </w:r>
    </w:p>
    <w:p>
      <w:pPr>
        <w:pStyle w:val="ListParagraph"/>
        <w:numPr>
          <w:ilvl w:val="1"/>
          <w:numId w:val="17"/>
        </w:numPr>
        <w:shd w:val="clear" w:color="auto" w:fill="FFFFFF" w:themeFill="background1"/>
        <w:tabs>
          <w:tab w:val="left" w:pos="0" w:leader="none"/>
          <w:tab w:val="left" w:pos="496" w:leader="none"/>
          <w:tab w:val="left" w:pos="709" w:leader="none"/>
          <w:tab w:val="left" w:pos="1134" w:leader="none"/>
          <w:tab w:val="left" w:pos="1418" w:leader="none"/>
        </w:tabs>
        <w:ind w:left="0" w:firstLine="709"/>
        <w:jc w:val="both"/>
        <w:rPr/>
      </w:pPr>
      <w:r>
        <w:rPr/>
        <w:t>На сумму подлежащего возврату аванса начисляется неустойка в размере 0,1 (ноль целых и одна десятая) процента с даты, установленной для возврата аванса.</w:t>
      </w:r>
    </w:p>
    <w:p>
      <w:pPr>
        <w:pStyle w:val="ListParagraph"/>
        <w:numPr>
          <w:ilvl w:val="1"/>
          <w:numId w:val="17"/>
        </w:numPr>
        <w:shd w:val="clear" w:color="auto" w:fill="FFFFFF" w:themeFill="background1"/>
        <w:tabs>
          <w:tab w:val="left" w:pos="0" w:leader="none"/>
          <w:tab w:val="left" w:pos="496" w:leader="none"/>
          <w:tab w:val="left" w:pos="709" w:leader="none"/>
          <w:tab w:val="left" w:pos="1134" w:leader="none"/>
          <w:tab w:val="left" w:pos="1418" w:leader="none"/>
        </w:tabs>
        <w:ind w:left="0" w:firstLine="709"/>
        <w:jc w:val="both"/>
        <w:rPr/>
      </w:pPr>
      <w:r>
        <w:rPr>
          <w:bCs/>
        </w:rPr>
        <w:t xml:space="preserve">В случае нарушения Исполнителем или привлеченными им Субисполнителями требований пропускного и внутриобъектового режима, требований охраны труда, пожарной безопасности, если они зафиксированы Заказчиком или уполномоченным государственным органом, Заказчик, помимо возмещения убытков, вправе требовать уплаты Исполнителем штрафа в размерах, установленных Приложением № 5 к Договору. </w:t>
      </w:r>
    </w:p>
    <w:p>
      <w:pPr>
        <w:pStyle w:val="ListParagraph"/>
        <w:numPr>
          <w:ilvl w:val="1"/>
          <w:numId w:val="17"/>
        </w:numPr>
        <w:shd w:val="clear" w:color="auto" w:fill="FFFFFF" w:themeFill="background1"/>
        <w:tabs>
          <w:tab w:val="left" w:pos="0" w:leader="none"/>
          <w:tab w:val="left" w:pos="496" w:leader="none"/>
          <w:tab w:val="left" w:pos="709" w:leader="none"/>
          <w:tab w:val="left" w:pos="1134" w:leader="none"/>
          <w:tab w:val="left" w:pos="1418" w:leader="none"/>
        </w:tabs>
        <w:ind w:left="0" w:firstLine="709"/>
        <w:jc w:val="both"/>
        <w:rPr/>
      </w:pPr>
      <w:r>
        <w:rPr>
          <w:bCs/>
        </w:rPr>
        <w:t xml:space="preserve">Если в результате составления и выставления Исполнителем счетов-фактур с нарушением порядка и требований, установленных законодательством Российской Федерации, Заказчик понес расходы, связанные с начислением налоговыми органами по такому основанию сумм налога на добавленную стоимость, пеней и налоговых санкций, Исполнитель обязан компенсировать Заказчику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Исполнителем в течение 10 (десяти) рабочих дней с даты получения соответствующего письменного требования Заказчика. В случае нарушения Исполнителем сроков предоставления счетов-фактур, установленных пунктом </w:t>
      </w:r>
      <w:r>
        <w:rPr/>
        <w:fldChar w:fldCharType="begin"/>
      </w:r>
      <w:r>
        <w:rPr/>
        <w:instrText xml:space="preserve"> REF _Ref133402103 \r \h </w:instrText>
      </w:r>
      <w:r>
        <w:rPr/>
        <w:fldChar w:fldCharType="separate"/>
      </w:r>
      <w:r>
        <w:rPr/>
        <w:t>3.8</w:t>
      </w:r>
      <w:r>
        <w:rPr/>
        <w:fldChar w:fldCharType="end"/>
      </w:r>
      <w:r>
        <w:rPr>
          <w:bCs/>
        </w:rPr>
        <w:t xml:space="preserve"> Договора, Заказчик вправе требовать уплаты Исполнителем штрафа в размере 50 000 (Пятидесяти тысяч) рублей за каждый случай нарушения.</w:t>
      </w:r>
    </w:p>
    <w:p>
      <w:pPr>
        <w:pStyle w:val="ListParagraph"/>
        <w:numPr>
          <w:ilvl w:val="1"/>
          <w:numId w:val="17"/>
        </w:numPr>
        <w:shd w:val="clear" w:color="auto" w:fill="FFFFFF"/>
        <w:tabs>
          <w:tab w:val="clear" w:pos="709"/>
          <w:tab w:val="left" w:pos="355" w:leader="none"/>
          <w:tab w:val="left" w:pos="1134" w:leader="none"/>
        </w:tabs>
        <w:ind w:left="0" w:firstLine="709"/>
        <w:jc w:val="both"/>
        <w:rPr>
          <w:bCs/>
        </w:rPr>
      </w:pPr>
      <w:r>
        <w:rPr/>
        <w:t>Исполнитель</w:t>
      </w:r>
      <w:r>
        <w:rPr>
          <w:bCs/>
        </w:rPr>
        <w:t xml:space="preserve"> несет ответственность перед Заказчиком за причиненные убытки в размере фактически понесенных и документально подтвержденных расходов, возникших в связи с неисполнением (ненадлежащим исполнением) </w:t>
      </w:r>
      <w:r>
        <w:rPr/>
        <w:t>Исполнителе</w:t>
      </w:r>
      <w:r>
        <w:rPr>
          <w:bCs/>
        </w:rPr>
        <w:t>м своих обязательств, произведенных для восстановления нарушенного права, а также упущенной выгоды.</w:t>
      </w:r>
    </w:p>
    <w:p>
      <w:pPr>
        <w:pStyle w:val="ListParagraph"/>
        <w:numPr>
          <w:ilvl w:val="1"/>
          <w:numId w:val="17"/>
        </w:numPr>
        <w:shd w:val="clear" w:color="auto" w:fill="FFFFFF"/>
        <w:tabs>
          <w:tab w:val="clear" w:pos="709"/>
          <w:tab w:val="left" w:pos="1418" w:leader="none"/>
        </w:tabs>
        <w:ind w:left="0" w:firstLine="709"/>
        <w:jc w:val="both"/>
        <w:rPr>
          <w:bCs/>
        </w:rPr>
      </w:pPr>
      <w:r>
        <w:rPr>
          <w:bCs/>
        </w:rPr>
        <w:t xml:space="preserve">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pPr>
        <w:pStyle w:val="ListParagraph"/>
        <w:numPr>
          <w:ilvl w:val="1"/>
          <w:numId w:val="17"/>
        </w:numPr>
        <w:shd w:val="clear" w:color="auto" w:fill="FFFFFF"/>
        <w:tabs>
          <w:tab w:val="clear" w:pos="709"/>
          <w:tab w:val="left" w:pos="1418" w:leader="none"/>
        </w:tabs>
        <w:ind w:left="0" w:firstLine="709"/>
        <w:jc w:val="both"/>
        <w:rPr>
          <w:bCs/>
        </w:rPr>
      </w:pPr>
      <w:r>
        <w:rPr>
          <w:bCs/>
        </w:rPr>
        <w:t>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pPr>
        <w:pStyle w:val="ListParagraph"/>
        <w:numPr>
          <w:ilvl w:val="1"/>
          <w:numId w:val="17"/>
        </w:numPr>
        <w:shd w:val="clear" w:color="auto" w:fill="FFFFFF"/>
        <w:tabs>
          <w:tab w:val="clear" w:pos="709"/>
          <w:tab w:val="left" w:pos="1418" w:leader="none"/>
        </w:tabs>
        <w:ind w:left="0" w:firstLine="709"/>
        <w:jc w:val="both"/>
        <w:rPr>
          <w:bCs/>
        </w:rPr>
      </w:pPr>
      <w:r>
        <w:rPr>
          <w:bCs/>
        </w:rPr>
        <w:t>Учитывая, что для Заказчика надлежащее и своевременное выполнение Исполнителем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Исполнителем соответствующих обязательств по Договору.</w:t>
      </w:r>
    </w:p>
    <w:p>
      <w:pPr>
        <w:pStyle w:val="ListParagraph"/>
        <w:numPr>
          <w:ilvl w:val="0"/>
          <w:numId w:val="0"/>
        </w:numPr>
        <w:shd w:val="clear" w:color="auto" w:fill="FFFFFF"/>
        <w:tabs>
          <w:tab w:val="clear" w:pos="709"/>
          <w:tab w:val="left" w:pos="496" w:leader="none"/>
          <w:tab w:val="left" w:pos="1418" w:leader="none"/>
        </w:tabs>
        <w:ind w:left="0" w:hanging="0"/>
        <w:jc w:val="both"/>
        <w:rPr/>
      </w:pPr>
      <w:r>
        <w:rPr/>
      </w:r>
    </w:p>
    <w:p>
      <w:pPr>
        <w:pStyle w:val="Normal"/>
        <w:shd w:val="clear" w:color="auto" w:fill="FFFFFF"/>
        <w:tabs>
          <w:tab w:val="clear" w:pos="709"/>
          <w:tab w:val="left" w:pos="496" w:leader="none"/>
          <w:tab w:val="left" w:pos="1276" w:leader="none"/>
        </w:tabs>
        <w:ind w:left="496" w:hanging="0"/>
        <w:jc w:val="both"/>
        <w:rPr/>
      </w:pPr>
      <w:r>
        <w:rPr/>
      </w:r>
    </w:p>
    <w:p>
      <w:pPr>
        <w:pStyle w:val="ListParagraph"/>
        <w:numPr>
          <w:ilvl w:val="0"/>
          <w:numId w:val="10"/>
        </w:numPr>
        <w:shd w:val="clear" w:color="auto" w:fill="FFFFFF"/>
        <w:tabs>
          <w:tab w:val="clear" w:pos="709"/>
          <w:tab w:val="left" w:pos="284" w:leader="none"/>
        </w:tabs>
        <w:ind w:left="0" w:hanging="360"/>
        <w:jc w:val="center"/>
        <w:rPr>
          <w:b/>
        </w:rPr>
      </w:pPr>
      <w:r>
        <w:rPr>
          <w:b/>
        </w:rPr>
        <w:t>Исключительные права и патенты</w:t>
      </w:r>
    </w:p>
    <w:p>
      <w:pPr>
        <w:pStyle w:val="ListParagraph"/>
        <w:numPr>
          <w:ilvl w:val="1"/>
          <w:numId w:val="10"/>
        </w:numPr>
        <w:shd w:val="clear" w:color="auto" w:fill="FFFFFF"/>
        <w:tabs>
          <w:tab w:val="clear" w:pos="709"/>
          <w:tab w:val="left" w:pos="355" w:leader="none"/>
          <w:tab w:val="left" w:pos="1134" w:leader="none"/>
        </w:tabs>
        <w:ind w:left="0" w:firstLine="709"/>
        <w:jc w:val="both"/>
        <w:rPr/>
      </w:pPr>
      <w:r>
        <w:rPr/>
        <w:t>Исполнитель гарантирует, что оказание Услуг, предусмотренных Договором, а также передача Заказчику результата Услуг не нарушит исключительных и иных интеллектуальных прав третьих лиц на результаты интеллектуальной деятельности или средства индивидуализации, которым предоставляется правовая охрана, в том числе авторских и смежных с ними прав, патентных прав, прав на секрет производства.</w:t>
      </w:r>
    </w:p>
    <w:p>
      <w:pPr>
        <w:pStyle w:val="ListParagraph"/>
        <w:numPr>
          <w:ilvl w:val="1"/>
          <w:numId w:val="10"/>
        </w:numPr>
        <w:shd w:val="clear" w:color="auto" w:fill="FFFFFF"/>
        <w:tabs>
          <w:tab w:val="clear" w:pos="709"/>
          <w:tab w:val="left" w:pos="1134" w:leader="none"/>
        </w:tabs>
        <w:ind w:left="0" w:firstLine="709"/>
        <w:jc w:val="both"/>
        <w:rPr/>
      </w:pPr>
      <w:r>
        <w:rPr>
          <w:bCs/>
        </w:rPr>
        <w:t xml:space="preserve">Исполнитель вправе использовать при оказании Услуг результаты интеллектуальной деятельности, принадлежащие третьим лицам, только если он получил на это соответствующие разрешения (лицензии) этих лиц. </w:t>
      </w:r>
    </w:p>
    <w:p>
      <w:pPr>
        <w:pStyle w:val="ListParagraph"/>
        <w:numPr>
          <w:ilvl w:val="1"/>
          <w:numId w:val="10"/>
        </w:numPr>
        <w:shd w:val="clear" w:color="auto" w:fill="FFFFFF"/>
        <w:tabs>
          <w:tab w:val="clear" w:pos="709"/>
          <w:tab w:val="left" w:pos="1134" w:leader="none"/>
        </w:tabs>
        <w:ind w:left="0" w:firstLine="709"/>
        <w:jc w:val="both"/>
        <w:rPr/>
      </w:pPr>
      <w:r>
        <w:rPr>
          <w:bCs/>
        </w:rPr>
        <w:t xml:space="preserve">В состав результата Услуг по Договору считаются включенными все разрешения (лицензии), необходимые для использования Заказчиком результата Услуг в течение всего установленного срока использования. </w:t>
      </w:r>
    </w:p>
    <w:p>
      <w:pPr>
        <w:pStyle w:val="ListParagraph"/>
        <w:numPr>
          <w:ilvl w:val="1"/>
          <w:numId w:val="10"/>
        </w:numPr>
        <w:shd w:val="clear" w:color="auto" w:fill="FFFFFF"/>
        <w:tabs>
          <w:tab w:val="clear" w:pos="709"/>
          <w:tab w:val="left" w:pos="1134" w:leader="none"/>
        </w:tabs>
        <w:ind w:left="0" w:firstLine="709"/>
        <w:jc w:val="both"/>
        <w:rPr/>
      </w:pPr>
      <w:r>
        <w:rPr>
          <w:bCs/>
        </w:rPr>
        <w:t>В случае, если Заказчику будут предъявлены требования, связанные с нарушением Исполнителем при оказании Услуг по Договору исключительных и / или иных интеллектуальных прав третьих лиц, Исполнитель обязан полностью возместить Заказчику все расходы и убытки, связанные с такими требованиями, включая расходы на юридических консультантов.</w:t>
      </w:r>
    </w:p>
    <w:p>
      <w:pPr>
        <w:pStyle w:val="ListParagraph"/>
        <w:numPr>
          <w:ilvl w:val="1"/>
          <w:numId w:val="10"/>
        </w:numPr>
        <w:shd w:val="clear" w:color="auto" w:fill="FFFFFF"/>
        <w:tabs>
          <w:tab w:val="clear" w:pos="709"/>
          <w:tab w:val="left" w:pos="1134" w:leader="none"/>
        </w:tabs>
        <w:ind w:left="0" w:firstLine="709"/>
        <w:jc w:val="both"/>
        <w:rPr/>
      </w:pPr>
      <w:r>
        <w:rPr>
          <w:bCs/>
        </w:rPr>
        <w:t>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Исполнителем Договора, возникают непосредственно у Заказчика, либо, если в соответствии с законодательством Российской Федерации такие исключительные права возникают у Исполнителя, эти права переходят к Заказчику сразу после их возникновения в силу Договора.</w:t>
      </w:r>
    </w:p>
    <w:p>
      <w:pPr>
        <w:pStyle w:val="ListParagraph"/>
        <w:shd w:val="clear" w:color="auto" w:fill="FFFFFF"/>
        <w:tabs>
          <w:tab w:val="clear" w:pos="709"/>
          <w:tab w:val="left" w:pos="1134" w:leader="none"/>
        </w:tabs>
        <w:ind w:left="0" w:firstLine="709"/>
        <w:jc w:val="both"/>
        <w:rPr/>
      </w:pPr>
      <w:r>
        <w:rPr>
          <w:bCs/>
        </w:rPr>
        <w:t>В случае, если в соответствии с законодательством Российской Федерации исключительные права на результаты интеллектуальной деятельности, создаваемые в процессе исполнения Исполнителем Договора, не могут переходить к Заказчику в порядке, указанном в настоящем пункте Договора, Стороны пришли к соглашению о том, что Исполнитель передаст Заказчику неисключительные права (неисключительную лицензию) на право использования такого результата</w:t>
      </w:r>
      <w:r>
        <w:rPr/>
        <w:t xml:space="preserve"> </w:t>
      </w:r>
      <w:r>
        <w:rPr>
          <w:bCs/>
        </w:rPr>
        <w:t xml:space="preserve">интеллектуальной деятельности на срок, не меньше срока использования результата Услуг, и в том объеме (пределах), который требуется для использования результата Услуг. При этом Стороны признают, что плата за использование прав на результат интеллектуальной деятельности входит в Цену Договора. </w:t>
      </w:r>
    </w:p>
    <w:p>
      <w:pPr>
        <w:pStyle w:val="ListParagraph"/>
        <w:numPr>
          <w:ilvl w:val="1"/>
          <w:numId w:val="10"/>
        </w:numPr>
        <w:shd w:val="clear" w:color="auto" w:fill="FFFFFF"/>
        <w:tabs>
          <w:tab w:val="clear" w:pos="709"/>
          <w:tab w:val="left" w:pos="1134" w:leader="none"/>
        </w:tabs>
        <w:ind w:left="0" w:firstLine="709"/>
        <w:jc w:val="both"/>
        <w:rPr/>
      </w:pPr>
      <w:r>
        <w:rPr>
          <w:bCs/>
        </w:rPr>
        <w:t>В случае появления в рамках исполнения Договора или в составе результата Услуг патентоспособного результата интеллектуальной деятельности, Исполнитель не позднее 10 (десяти) календарных дней обязуется письменно сообщить об этом Заказчику и в разумный срок заключить дополнительное соглашение к Договору о порядке регистрации прав Заказчика на такой результат интеллектуальной деятельности, без уплаты Заказчиком какого-либо дополнительного вознаграждения.</w:t>
      </w:r>
    </w:p>
    <w:p>
      <w:pPr>
        <w:pStyle w:val="ListParagraph"/>
        <w:numPr>
          <w:ilvl w:val="1"/>
          <w:numId w:val="10"/>
        </w:numPr>
        <w:shd w:val="clear" w:color="auto" w:fill="FFFFFF"/>
        <w:tabs>
          <w:tab w:val="clear" w:pos="709"/>
          <w:tab w:val="left" w:pos="1134" w:leader="none"/>
        </w:tabs>
        <w:ind w:left="0" w:firstLine="709"/>
        <w:jc w:val="both"/>
        <w:rPr/>
      </w:pPr>
      <w:r>
        <w:rPr>
          <w:bCs/>
        </w:rPr>
        <w:t xml:space="preserve">Переход прав на 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Исполнителем Договора, подтверждается подписанием Сторонами Акта </w:t>
      </w:r>
      <w:r>
        <w:rPr/>
        <w:t>об оказании У</w:t>
      </w:r>
      <w:r>
        <w:rPr>
          <w:bCs/>
        </w:rPr>
        <w:t>слуг.</w:t>
      </w:r>
    </w:p>
    <w:p>
      <w:pPr>
        <w:pStyle w:val="ListParagraph"/>
        <w:shd w:val="clear" w:color="auto" w:fill="FFFFFF"/>
        <w:tabs>
          <w:tab w:val="clear" w:pos="709"/>
          <w:tab w:val="left" w:pos="1134" w:leader="none"/>
          <w:tab w:val="left" w:pos="2835" w:leader="none"/>
        </w:tabs>
        <w:ind w:left="0" w:firstLine="709"/>
        <w:jc w:val="both"/>
        <w:rPr/>
      </w:pPr>
      <w:r>
        <w:rPr/>
      </w:r>
    </w:p>
    <w:p>
      <w:pPr>
        <w:pStyle w:val="ListParagraph"/>
        <w:numPr>
          <w:ilvl w:val="0"/>
          <w:numId w:val="10"/>
        </w:numPr>
        <w:shd w:val="clear" w:color="auto" w:fill="FFFFFF"/>
        <w:tabs>
          <w:tab w:val="clear" w:pos="709"/>
          <w:tab w:val="left" w:pos="0" w:leader="none"/>
          <w:tab w:val="left" w:pos="284" w:leader="none"/>
        </w:tabs>
        <w:ind w:left="0" w:hanging="0"/>
        <w:jc w:val="center"/>
        <w:rPr>
          <w:b/>
          <w:bCs/>
        </w:rPr>
      </w:pPr>
      <w:r>
        <w:rPr>
          <w:b/>
          <w:bCs/>
        </w:rPr>
        <w:t>Конфиденциальность</w:t>
      </w:r>
    </w:p>
    <w:p>
      <w:pPr>
        <w:pStyle w:val="ListParagraph"/>
        <w:numPr>
          <w:ilvl w:val="1"/>
          <w:numId w:val="10"/>
        </w:numPr>
        <w:shd w:val="clear" w:color="auto" w:fill="FFFFFF"/>
        <w:tabs>
          <w:tab w:val="clear" w:pos="709"/>
          <w:tab w:val="left" w:pos="0" w:leader="none"/>
          <w:tab w:val="left" w:pos="284" w:leader="none"/>
          <w:tab w:val="left" w:pos="1134" w:leader="none"/>
        </w:tabs>
        <w:ind w:left="0" w:firstLine="709"/>
        <w:jc w:val="both"/>
        <w:rPr>
          <w:b/>
          <w:bCs/>
        </w:rPr>
      </w:pPr>
      <w:r>
        <w:rPr>
          <w:bCs/>
        </w:rPr>
        <w:t>Под конфиденциальной информацией (далее – «Информация») для целей Договора понимается любая информация, передаваемая Заказчиком Исполнителю в устной либо документарной форме, в виде электронного файла, в любом другом виде, а также полученная Исполнителем самостоятельно в ходе визитов на место оказания Услуг, иную территорию Заказчика в процессе проведения переговоров, заключения и исполнения Договора, в отношении которой соблюдаются следующие условия:</w:t>
      </w:r>
    </w:p>
    <w:p>
      <w:pPr>
        <w:pStyle w:val="Normal"/>
        <w:numPr>
          <w:ilvl w:val="0"/>
          <w:numId w:val="3"/>
        </w:numPr>
        <w:tabs>
          <w:tab w:val="clear" w:pos="709"/>
          <w:tab w:val="left" w:pos="1418" w:leader="none"/>
        </w:tabs>
        <w:ind w:left="0" w:firstLine="709"/>
        <w:jc w:val="both"/>
        <w:rPr>
          <w:bCs/>
        </w:rPr>
      </w:pPr>
      <w:r>
        <w:rPr>
          <w:bCs/>
        </w:rPr>
        <w:t>данная Информация имеет действительную или потенциальную коммерческую ценность для Заказчика в силу неизвестности ее третьим лицам, в том числе по причине введения в отношении нее режима Коммерческой тайны;</w:t>
      </w:r>
    </w:p>
    <w:p>
      <w:pPr>
        <w:pStyle w:val="Normal"/>
        <w:numPr>
          <w:ilvl w:val="0"/>
          <w:numId w:val="3"/>
        </w:numPr>
        <w:tabs>
          <w:tab w:val="clear" w:pos="709"/>
          <w:tab w:val="left" w:pos="1418" w:leader="none"/>
        </w:tabs>
        <w:ind w:left="0" w:firstLine="709"/>
        <w:jc w:val="both"/>
        <w:rPr>
          <w:bCs/>
        </w:rPr>
      </w:pPr>
      <w:r>
        <w:rPr>
          <w:bCs/>
        </w:rPr>
        <w:t>данная Информация не относится к категории общедоступной или обязательной к раскрытию Заказчиком в соответствии с законодательством Российской Федерации.</w:t>
      </w:r>
    </w:p>
    <w:p>
      <w:pPr>
        <w:pStyle w:val="ListParagraph"/>
        <w:numPr>
          <w:ilvl w:val="1"/>
          <w:numId w:val="10"/>
        </w:numPr>
        <w:shd w:val="clear" w:color="auto" w:fill="FFFFFF"/>
        <w:tabs>
          <w:tab w:val="clear" w:pos="709"/>
          <w:tab w:val="left" w:pos="355" w:leader="none"/>
          <w:tab w:val="left" w:pos="1134" w:leader="none"/>
        </w:tabs>
        <w:ind w:left="0" w:firstLine="709"/>
        <w:jc w:val="both"/>
        <w:rPr>
          <w:bCs/>
        </w:rPr>
      </w:pPr>
      <w:r>
        <w:rPr>
          <w:bCs/>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Заказчиком закупочных процедур. </w:t>
      </w:r>
    </w:p>
    <w:p>
      <w:pPr>
        <w:pStyle w:val="ListParagraph"/>
        <w:numPr>
          <w:ilvl w:val="1"/>
          <w:numId w:val="10"/>
        </w:numPr>
        <w:shd w:val="clear" w:color="auto" w:fill="FFFFFF"/>
        <w:tabs>
          <w:tab w:val="clear" w:pos="709"/>
          <w:tab w:val="left" w:pos="355" w:leader="none"/>
          <w:tab w:val="left" w:pos="1134" w:leader="none"/>
        </w:tabs>
        <w:ind w:left="0" w:firstLine="709"/>
        <w:jc w:val="both"/>
        <w:rPr>
          <w:bCs/>
        </w:rPr>
      </w:pPr>
      <w:r>
        <w:rPr>
          <w:bCs/>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pPr>
        <w:pStyle w:val="ListParagraph"/>
        <w:numPr>
          <w:ilvl w:val="1"/>
          <w:numId w:val="10"/>
        </w:numPr>
        <w:shd w:val="clear" w:color="auto" w:fill="FFFFFF"/>
        <w:tabs>
          <w:tab w:val="clear" w:pos="709"/>
          <w:tab w:val="left" w:pos="355" w:leader="none"/>
          <w:tab w:val="left" w:pos="1134" w:leader="none"/>
        </w:tabs>
        <w:ind w:left="0" w:firstLine="709"/>
        <w:jc w:val="both"/>
        <w:rPr>
          <w:bCs/>
        </w:rPr>
      </w:pPr>
      <w:r>
        <w:rPr>
          <w:bCs/>
        </w:rPr>
        <w:t>На документ, содержащий Информацию, Заказчиком может быть нанесен гриф «Коммерческая тайна» с указанием обладателя этой информации.</w:t>
      </w:r>
    </w:p>
    <w:p>
      <w:pPr>
        <w:pStyle w:val="ListParagraph"/>
        <w:numPr>
          <w:ilvl w:val="1"/>
          <w:numId w:val="10"/>
        </w:numPr>
        <w:shd w:val="clear" w:color="auto" w:fill="FFFFFF"/>
        <w:tabs>
          <w:tab w:val="clear" w:pos="709"/>
          <w:tab w:val="left" w:pos="355" w:leader="none"/>
          <w:tab w:val="left" w:pos="1134" w:leader="none"/>
        </w:tabs>
        <w:ind w:left="0" w:firstLine="709"/>
        <w:jc w:val="both"/>
        <w:rPr>
          <w:bCs/>
        </w:rPr>
      </w:pPr>
      <w:r>
        <w:rPr>
          <w:bCs/>
        </w:rPr>
        <w:t>Информация может включать в себя, в том числе, но не ограничиваясь:</w:t>
      </w:r>
    </w:p>
    <w:p>
      <w:pPr>
        <w:pStyle w:val="Normal"/>
        <w:numPr>
          <w:ilvl w:val="0"/>
          <w:numId w:val="3"/>
        </w:numPr>
        <w:tabs>
          <w:tab w:val="clear" w:pos="709"/>
          <w:tab w:val="left" w:pos="1418" w:leader="none"/>
        </w:tabs>
        <w:ind w:left="0" w:firstLine="709"/>
        <w:jc w:val="both"/>
        <w:rPr>
          <w:bCs/>
        </w:rPr>
      </w:pPr>
      <w:r>
        <w:rPr>
          <w:bCs/>
        </w:rPr>
        <w:t xml:space="preserve">финансовую </w:t>
      </w:r>
      <w:r>
        <w:rPr>
          <w:bCs/>
          <w:lang w:val="en-US"/>
        </w:rPr>
        <w:t>(</w:t>
      </w:r>
      <w:r>
        <w:rPr>
          <w:bCs/>
        </w:rPr>
        <w:t>бухгалтерскую) отчетность;</w:t>
      </w:r>
    </w:p>
    <w:p>
      <w:pPr>
        <w:pStyle w:val="Normal"/>
        <w:numPr>
          <w:ilvl w:val="0"/>
          <w:numId w:val="3"/>
        </w:numPr>
        <w:tabs>
          <w:tab w:val="clear" w:pos="709"/>
          <w:tab w:val="left" w:pos="1418" w:leader="none"/>
        </w:tabs>
        <w:ind w:left="0" w:firstLine="709"/>
        <w:jc w:val="both"/>
        <w:rPr>
          <w:bCs/>
        </w:rPr>
      </w:pPr>
      <w:r>
        <w:rPr>
          <w:bCs/>
        </w:rPr>
        <w:t>учетные регистры бухгалтерского учета;</w:t>
      </w:r>
    </w:p>
    <w:p>
      <w:pPr>
        <w:pStyle w:val="Normal"/>
        <w:numPr>
          <w:ilvl w:val="0"/>
          <w:numId w:val="3"/>
        </w:numPr>
        <w:tabs>
          <w:tab w:val="clear" w:pos="709"/>
          <w:tab w:val="left" w:pos="1418" w:leader="none"/>
        </w:tabs>
        <w:ind w:left="0" w:firstLine="709"/>
        <w:jc w:val="both"/>
        <w:rPr>
          <w:bCs/>
        </w:rPr>
      </w:pPr>
      <w:r>
        <w:rPr>
          <w:bCs/>
        </w:rPr>
        <w:t>бизнес-планы;</w:t>
      </w:r>
    </w:p>
    <w:p>
      <w:pPr>
        <w:pStyle w:val="Normal"/>
        <w:numPr>
          <w:ilvl w:val="0"/>
          <w:numId w:val="3"/>
        </w:numPr>
        <w:tabs>
          <w:tab w:val="clear" w:pos="709"/>
          <w:tab w:val="left" w:pos="1418" w:leader="none"/>
        </w:tabs>
        <w:ind w:left="0" w:firstLine="709"/>
        <w:jc w:val="both"/>
        <w:rPr>
          <w:bCs/>
        </w:rPr>
      </w:pPr>
      <w:r>
        <w:rPr>
          <w:bCs/>
        </w:rPr>
        <w:t>договоры (соглашения), заключаемые или заключенные непосредственно Заказчиком либо в его пользу, а также информацию и сведения, содержащиеся в данных договорах (соглашениях);</w:t>
      </w:r>
    </w:p>
    <w:p>
      <w:pPr>
        <w:pStyle w:val="Normal"/>
        <w:numPr>
          <w:ilvl w:val="0"/>
          <w:numId w:val="3"/>
        </w:numPr>
        <w:tabs>
          <w:tab w:val="clear" w:pos="709"/>
          <w:tab w:val="left" w:pos="1418" w:leader="none"/>
        </w:tabs>
        <w:ind w:left="0" w:firstLine="709"/>
        <w:jc w:val="both"/>
        <w:rPr>
          <w:bCs/>
        </w:rPr>
      </w:pPr>
      <w:r>
        <w:rPr>
          <w:bCs/>
        </w:rPr>
        <w:t>сведения о финансовых, правовых, организационных и других взаимоотношениях между Заказчиком и третьими лицами;</w:t>
      </w:r>
    </w:p>
    <w:p>
      <w:pPr>
        <w:pStyle w:val="Normal"/>
        <w:numPr>
          <w:ilvl w:val="0"/>
          <w:numId w:val="3"/>
        </w:numPr>
        <w:tabs>
          <w:tab w:val="clear" w:pos="709"/>
          <w:tab w:val="left" w:pos="1418" w:leader="none"/>
        </w:tabs>
        <w:ind w:left="0" w:firstLine="709"/>
        <w:jc w:val="both"/>
        <w:rPr>
          <w:bCs/>
        </w:rPr>
      </w:pPr>
      <w:r>
        <w:rPr>
          <w:bCs/>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pPr>
        <w:pStyle w:val="Normal"/>
        <w:numPr>
          <w:ilvl w:val="0"/>
          <w:numId w:val="3"/>
        </w:numPr>
        <w:tabs>
          <w:tab w:val="clear" w:pos="709"/>
          <w:tab w:val="left" w:pos="1418" w:leader="none"/>
        </w:tabs>
        <w:ind w:left="0" w:firstLine="709"/>
        <w:jc w:val="both"/>
        <w:rPr>
          <w:bCs/>
        </w:rPr>
      </w:pPr>
      <w:r>
        <w:rPr>
          <w:bCs/>
        </w:rPr>
        <w:t>сведения о Исполнителях, поставщиках оборудования и материалов, а также о покупателях продукции Заказчика и их аффилированных лицах;</w:t>
      </w:r>
    </w:p>
    <w:p>
      <w:pPr>
        <w:pStyle w:val="Normal"/>
        <w:numPr>
          <w:ilvl w:val="0"/>
          <w:numId w:val="3"/>
        </w:numPr>
        <w:tabs>
          <w:tab w:val="clear" w:pos="709"/>
          <w:tab w:val="left" w:pos="1418" w:leader="none"/>
        </w:tabs>
        <w:ind w:left="0" w:firstLine="709"/>
        <w:jc w:val="both"/>
        <w:rPr>
          <w:bCs/>
        </w:rPr>
      </w:pPr>
      <w:r>
        <w:rPr>
          <w:bCs/>
        </w:rPr>
        <w:t>сведения об объемах производства и / или реализации продукции и услуг Заказчика или его аффилированных лиц;</w:t>
      </w:r>
    </w:p>
    <w:p>
      <w:pPr>
        <w:pStyle w:val="Normal"/>
        <w:numPr>
          <w:ilvl w:val="0"/>
          <w:numId w:val="3"/>
        </w:numPr>
        <w:tabs>
          <w:tab w:val="clear" w:pos="709"/>
          <w:tab w:val="left" w:pos="1418" w:leader="none"/>
        </w:tabs>
        <w:ind w:left="0" w:firstLine="709"/>
        <w:jc w:val="both"/>
        <w:rPr>
          <w:bCs/>
        </w:rPr>
      </w:pPr>
      <w:r>
        <w:rPr>
          <w:bCs/>
        </w:rPr>
        <w:t>материалы обобщения, анализа, оценки, иных действий по обработке вышеуказанной Информации и документов.</w:t>
      </w:r>
    </w:p>
    <w:p>
      <w:pPr>
        <w:pStyle w:val="ListParagraph"/>
        <w:numPr>
          <w:ilvl w:val="1"/>
          <w:numId w:val="10"/>
        </w:numPr>
        <w:shd w:val="clear" w:color="auto" w:fill="FFFFFF"/>
        <w:tabs>
          <w:tab w:val="clear" w:pos="709"/>
          <w:tab w:val="left" w:pos="1134" w:leader="none"/>
        </w:tabs>
        <w:ind w:left="0" w:firstLine="709"/>
        <w:jc w:val="both"/>
        <w:rPr>
          <w:bCs/>
        </w:rPr>
      </w:pPr>
      <w:bookmarkStart w:id="22" w:name="_Ref361337849"/>
      <w:r>
        <w:rPr>
          <w:bCs/>
        </w:rPr>
        <w:t>Исполнитель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Pr/>
        <w:t xml:space="preserve"> </w:t>
      </w:r>
      <w:r>
        <w:rPr>
          <w:bCs/>
        </w:rPr>
        <w:t>(расторжения) или исполнения, в том числе:</w:t>
      </w:r>
      <w:bookmarkEnd w:id="22"/>
      <w:r>
        <w:rPr>
          <w:bCs/>
        </w:rPr>
        <w:t xml:space="preserve"> </w:t>
      </w:r>
    </w:p>
    <w:p>
      <w:pPr>
        <w:pStyle w:val="ListParagraph"/>
        <w:numPr>
          <w:ilvl w:val="2"/>
          <w:numId w:val="10"/>
        </w:numPr>
        <w:shd w:val="clear" w:color="auto" w:fill="FFFFFF"/>
        <w:tabs>
          <w:tab w:val="clear" w:pos="709"/>
          <w:tab w:val="left" w:pos="1134" w:leader="none"/>
        </w:tabs>
        <w:ind w:left="0" w:firstLine="709"/>
        <w:jc w:val="both"/>
        <w:rPr/>
      </w:pPr>
      <w:r>
        <w:rPr>
          <w:bCs/>
        </w:rPr>
        <w:t xml:space="preserve">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Заказчика, за исключением случаев, предусмотренных законодательством Российской Федерации и пунктом </w:t>
      </w:r>
      <w:r>
        <w:rPr/>
        <w:fldChar w:fldCharType="begin"/>
      </w:r>
      <w:r>
        <w:rPr/>
        <w:instrText xml:space="preserve"> REF _Ref361337832 \r \h </w:instrText>
      </w:r>
      <w:r>
        <w:rPr/>
        <w:fldChar w:fldCharType="separate"/>
      </w:r>
      <w:r>
        <w:rPr/>
        <w:t>7.6.7</w:t>
      </w:r>
      <w:r>
        <w:rPr/>
        <w:fldChar w:fldCharType="end"/>
      </w:r>
      <w:r>
        <w:rPr>
          <w:bCs/>
        </w:rPr>
        <w:t xml:space="preserve"> Договора;</w:t>
      </w:r>
    </w:p>
    <w:p>
      <w:pPr>
        <w:pStyle w:val="ListParagraph"/>
        <w:numPr>
          <w:ilvl w:val="2"/>
          <w:numId w:val="10"/>
        </w:numPr>
        <w:shd w:val="clear" w:color="auto" w:fill="FFFFFF"/>
        <w:tabs>
          <w:tab w:val="clear" w:pos="709"/>
          <w:tab w:val="left" w:pos="1134" w:leader="none"/>
        </w:tabs>
        <w:ind w:left="0" w:firstLine="709"/>
        <w:jc w:val="both"/>
        <w:rPr>
          <w:bCs/>
        </w:rPr>
      </w:pPr>
      <w:r>
        <w:rPr>
          <w:bCs/>
        </w:rPr>
        <w:t>принимать меры предосторожности, обычно используемые для защиты такого рода информации в деловом обороте, при этом если Исполнителем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Исполнитель обязан использовать в отношении защиты Информации обычно используемые им меры защиты;</w:t>
      </w:r>
    </w:p>
    <w:p>
      <w:pPr>
        <w:pStyle w:val="ListParagraph"/>
        <w:numPr>
          <w:ilvl w:val="2"/>
          <w:numId w:val="10"/>
        </w:numPr>
        <w:shd w:val="clear" w:color="auto" w:fill="FFFFFF"/>
        <w:tabs>
          <w:tab w:val="clear" w:pos="709"/>
          <w:tab w:val="left" w:pos="1134" w:leader="none"/>
        </w:tabs>
        <w:ind w:left="0" w:firstLine="709"/>
        <w:jc w:val="both"/>
        <w:rPr>
          <w:bCs/>
        </w:rPr>
      </w:pPr>
      <w:r>
        <w:rPr>
          <w:bCs/>
        </w:rPr>
        <w:t xml:space="preserve">использовать Информацию исключительно для целей, для которых она была предоставлена; </w:t>
      </w:r>
    </w:p>
    <w:p>
      <w:pPr>
        <w:pStyle w:val="ListParagraph"/>
        <w:numPr>
          <w:ilvl w:val="2"/>
          <w:numId w:val="10"/>
        </w:numPr>
        <w:shd w:val="clear" w:color="auto" w:fill="FFFFFF"/>
        <w:tabs>
          <w:tab w:val="clear" w:pos="709"/>
          <w:tab w:val="left" w:pos="1134" w:leader="none"/>
        </w:tabs>
        <w:ind w:left="0" w:firstLine="709"/>
        <w:jc w:val="both"/>
        <w:rPr>
          <w:bCs/>
        </w:rPr>
      </w:pPr>
      <w:r>
        <w:rPr>
          <w:bCs/>
        </w:rPr>
        <w:t xml:space="preserve">не осуществлять действий (бездействия), результатом которых может быть несанкционированное раскрытие Информации третьим лицам; </w:t>
      </w:r>
    </w:p>
    <w:p>
      <w:pPr>
        <w:pStyle w:val="ListParagraph"/>
        <w:numPr>
          <w:ilvl w:val="2"/>
          <w:numId w:val="10"/>
        </w:numPr>
        <w:shd w:val="clear" w:color="auto" w:fill="FFFFFF"/>
        <w:tabs>
          <w:tab w:val="clear" w:pos="709"/>
          <w:tab w:val="left" w:pos="1134" w:leader="none"/>
        </w:tabs>
        <w:ind w:left="0" w:firstLine="709"/>
        <w:jc w:val="both"/>
        <w:rPr>
          <w:bCs/>
        </w:rPr>
      </w:pPr>
      <w:r>
        <w:rPr>
          <w:bCs/>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Заказчика, а также обеспечить содействие, которое потребует Заказчик для предотвращения такого несанкционированного раскрытия;</w:t>
      </w:r>
    </w:p>
    <w:p>
      <w:pPr>
        <w:pStyle w:val="ListParagraph"/>
        <w:numPr>
          <w:ilvl w:val="2"/>
          <w:numId w:val="10"/>
        </w:numPr>
        <w:shd w:val="clear" w:color="auto" w:fill="FFFFFF"/>
        <w:tabs>
          <w:tab w:val="clear" w:pos="709"/>
          <w:tab w:val="left" w:pos="1134" w:leader="none"/>
        </w:tabs>
        <w:ind w:left="0" w:firstLine="709"/>
        <w:jc w:val="both"/>
        <w:rPr>
          <w:bCs/>
        </w:rPr>
      </w:pPr>
      <w:r>
        <w:rPr>
          <w:bCs/>
        </w:rPr>
        <w:t xml:space="preserve">по требованию Заказчика уничтожить всю Информацию, которую будет невозможно передать Заказчику по его запросу или которая будет находиться на технических средствах Исполнителя. При этом Заказчик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pPr>
        <w:pStyle w:val="ListParagraph"/>
        <w:numPr>
          <w:ilvl w:val="2"/>
          <w:numId w:val="10"/>
        </w:numPr>
        <w:shd w:val="clear" w:color="auto" w:fill="FFFFFF"/>
        <w:tabs>
          <w:tab w:val="clear" w:pos="709"/>
          <w:tab w:val="left" w:pos="1134" w:leader="none"/>
        </w:tabs>
        <w:ind w:left="0" w:firstLine="709"/>
        <w:jc w:val="both"/>
        <w:rPr>
          <w:bCs/>
        </w:rPr>
      </w:pPr>
      <w:bookmarkStart w:id="23" w:name="_Ref361337832"/>
      <w:bookmarkEnd w:id="23"/>
      <w:r>
        <w:rPr>
          <w:bCs/>
        </w:rPr>
        <w:t>раскрывать Информацию своим работникам, членам органов управления 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p>
    <w:p>
      <w:pPr>
        <w:pStyle w:val="ListParagraph"/>
        <w:numPr>
          <w:ilvl w:val="2"/>
          <w:numId w:val="10"/>
        </w:numPr>
        <w:shd w:val="clear" w:color="auto" w:fill="FFFFFF"/>
        <w:tabs>
          <w:tab w:val="clear" w:pos="709"/>
          <w:tab w:val="left" w:pos="1134" w:leader="none"/>
        </w:tabs>
        <w:ind w:left="0" w:firstLine="709"/>
        <w:jc w:val="both"/>
        <w:rPr>
          <w:bCs/>
        </w:rPr>
      </w:pPr>
      <w:r>
        <w:rPr>
          <w:bCs/>
        </w:rPr>
        <w:t>не разглашать третьим лицам факты передачи или получения Информации.</w:t>
      </w:r>
    </w:p>
    <w:p>
      <w:pPr>
        <w:pStyle w:val="ListParagraph"/>
        <w:numPr>
          <w:ilvl w:val="1"/>
          <w:numId w:val="10"/>
        </w:numPr>
        <w:shd w:val="clear" w:color="auto" w:fill="FFFFFF"/>
        <w:tabs>
          <w:tab w:val="left" w:pos="709" w:leader="none"/>
          <w:tab w:val="left" w:pos="1134" w:leader="none"/>
        </w:tabs>
        <w:ind w:left="0" w:firstLine="709"/>
        <w:jc w:val="both"/>
        <w:rPr>
          <w:bCs/>
        </w:rPr>
      </w:pPr>
      <w:bookmarkStart w:id="24" w:name="_Ref361337863"/>
      <w:bookmarkEnd w:id="24"/>
      <w:r>
        <w:rPr>
          <w:bCs/>
        </w:rPr>
        <w:t>Исполнитель, нарушивший условия настоящего раздела Договора, возмещает Заказчику убытки, вызванные таким нарушением, в течение 10 (десяти) календарных дней с даты получения соответствующего письменного требования Заказчика.</w:t>
      </w:r>
    </w:p>
    <w:p>
      <w:pPr>
        <w:pStyle w:val="ListParagraph"/>
        <w:numPr>
          <w:ilvl w:val="1"/>
          <w:numId w:val="10"/>
        </w:numPr>
        <w:shd w:val="clear" w:color="auto" w:fill="FFFFFF"/>
        <w:tabs>
          <w:tab w:val="left" w:pos="709" w:leader="none"/>
          <w:tab w:val="left" w:pos="1134" w:leader="none"/>
        </w:tabs>
        <w:ind w:left="0" w:firstLine="709"/>
        <w:jc w:val="both"/>
        <w:rPr>
          <w:bCs/>
        </w:rPr>
      </w:pPr>
      <w:r>
        <w:rPr>
          <w:bCs/>
        </w:rPr>
        <w:t>Исполнитель обязуется обеспечить повторение условий Договора в части соблюдения режима конфиденциальности Информации в договорах, заключаемых с Субисполнителями.</w:t>
      </w:r>
    </w:p>
    <w:p>
      <w:pPr>
        <w:pStyle w:val="ListParagraph"/>
        <w:numPr>
          <w:ilvl w:val="1"/>
          <w:numId w:val="10"/>
        </w:numPr>
        <w:shd w:val="clear" w:color="auto" w:fill="FFFFFF"/>
        <w:tabs>
          <w:tab w:val="left" w:pos="709" w:leader="none"/>
          <w:tab w:val="left" w:pos="1134" w:leader="none"/>
        </w:tabs>
        <w:ind w:left="0" w:firstLine="709"/>
        <w:jc w:val="both"/>
        <w:rPr>
          <w:bCs/>
        </w:rPr>
      </w:pPr>
      <w:r>
        <w:rPr>
          <w:bCs/>
        </w:rPr>
        <w:t xml:space="preserve">Условия защиты Информации, представляемой Исполнителем Заказчику, могут быть дополнительно урегулированы отдельно заключаемым Сторонами соглашением. </w:t>
      </w:r>
    </w:p>
    <w:p>
      <w:pPr>
        <w:pStyle w:val="ListParagraph"/>
        <w:shd w:val="clear" w:color="auto" w:fill="FFFFFF"/>
        <w:tabs>
          <w:tab w:val="clear" w:pos="709"/>
          <w:tab w:val="left" w:pos="284" w:leader="none"/>
        </w:tabs>
        <w:ind w:left="0" w:hanging="0"/>
        <w:rPr>
          <w:b/>
        </w:rPr>
      </w:pPr>
      <w:r>
        <w:rPr>
          <w:b/>
        </w:rPr>
      </w:r>
    </w:p>
    <w:p>
      <w:pPr>
        <w:pStyle w:val="ListParagraph"/>
        <w:numPr>
          <w:ilvl w:val="0"/>
          <w:numId w:val="10"/>
        </w:numPr>
        <w:shd w:val="clear" w:color="auto" w:fill="FFFFFF"/>
        <w:tabs>
          <w:tab w:val="clear" w:pos="709"/>
          <w:tab w:val="left" w:pos="284" w:leader="none"/>
          <w:tab w:val="left" w:pos="426" w:leader="none"/>
        </w:tabs>
        <w:ind w:left="0" w:hanging="0"/>
        <w:jc w:val="center"/>
        <w:rPr>
          <w:bCs/>
        </w:rPr>
      </w:pPr>
      <w:r>
        <w:rPr>
          <w:b/>
          <w:bCs/>
        </w:rPr>
        <w:t>Разрешение споров</w:t>
      </w:r>
    </w:p>
    <w:p>
      <w:pPr>
        <w:pStyle w:val="ListParagraph"/>
        <w:numPr>
          <w:ilvl w:val="1"/>
          <w:numId w:val="10"/>
        </w:numPr>
        <w:shd w:val="clear" w:color="auto" w:fill="FFFFFF"/>
        <w:tabs>
          <w:tab w:val="left" w:pos="709" w:leader="none"/>
          <w:tab w:val="left" w:pos="1134" w:leader="none"/>
        </w:tabs>
        <w:ind w:left="0" w:firstLine="709"/>
        <w:jc w:val="both"/>
        <w:rPr>
          <w:bCs/>
        </w:rPr>
      </w:pPr>
      <w:bookmarkStart w:id="25" w:name="_Ref133402176"/>
      <w:bookmarkEnd w:id="25"/>
      <w:r>
        <w:rPr>
          <w:bCs/>
        </w:rPr>
        <w:t>Все споры, разногласия и требования, возникающие между Сторонами 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pPr>
        <w:pStyle w:val="ListParagraph"/>
        <w:numPr>
          <w:ilvl w:val="1"/>
          <w:numId w:val="10"/>
        </w:numPr>
        <w:shd w:val="clear" w:color="auto" w:fill="FFFFFF"/>
        <w:tabs>
          <w:tab w:val="left" w:pos="709" w:leader="none"/>
          <w:tab w:val="left" w:pos="1134" w:leader="none"/>
        </w:tabs>
        <w:ind w:left="0" w:firstLine="709"/>
        <w:jc w:val="both"/>
        <w:rPr/>
      </w:pPr>
      <w:r>
        <w:rPr>
          <w:bCs/>
        </w:rPr>
        <w:t xml:space="preserve">Споры, указанные в пункте </w:t>
      </w:r>
      <w:r>
        <w:rPr/>
        <w:fldChar w:fldCharType="begin"/>
      </w:r>
      <w:r>
        <w:rPr/>
        <w:instrText xml:space="preserve"> REF _Ref133402176 \r \h </w:instrText>
      </w:r>
      <w:r>
        <w:rPr/>
        <w:fldChar w:fldCharType="separate"/>
      </w:r>
      <w:r>
        <w:rPr/>
        <w:t>8.1</w:t>
      </w:r>
      <w:r>
        <w:rPr/>
        <w:fldChar w:fldCharType="end"/>
      </w:r>
      <w:r>
        <w:rPr>
          <w:bCs/>
        </w:rPr>
        <w:t xml:space="preserve"> Договора, которые не были урегулированы Сторонами путем переговоров, подлежат разрешению в Арбитражном суде города Санкт-Петербурга и Ленинградской области в соответствии с законодательством Российской Федерации.</w:t>
      </w:r>
    </w:p>
    <w:p>
      <w:pPr>
        <w:pStyle w:val="ListParagraph"/>
        <w:numPr>
          <w:ilvl w:val="1"/>
          <w:numId w:val="10"/>
        </w:numPr>
        <w:shd w:val="clear" w:color="auto" w:fill="FFFFFF"/>
        <w:tabs>
          <w:tab w:val="left" w:pos="709" w:leader="none"/>
          <w:tab w:val="left" w:pos="1134" w:leader="none"/>
        </w:tabs>
        <w:ind w:left="0" w:firstLine="709"/>
        <w:jc w:val="both"/>
        <w:rPr/>
      </w:pPr>
      <w:r>
        <w:rPr>
          <w:bCs/>
        </w:rPr>
        <w:t xml:space="preserve">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w:t>
      </w:r>
      <w:r>
        <w:rPr/>
        <w:fldChar w:fldCharType="begin"/>
      </w:r>
      <w:r>
        <w:rPr/>
        <w:instrText xml:space="preserve"> REF _Ref133311805 \r \h </w:instrText>
      </w:r>
      <w:r>
        <w:rPr/>
        <w:fldChar w:fldCharType="separate"/>
      </w:r>
      <w:r>
        <w:rPr/>
        <w:t>14.8</w:t>
      </w:r>
      <w:r>
        <w:rPr/>
        <w:fldChar w:fldCharType="end"/>
      </w:r>
      <w:r>
        <w:rPr>
          <w:bCs/>
          <w:highlight w:val="lightGray"/>
        </w:rPr>
        <w:t xml:space="preserve"> </w:t>
      </w:r>
      <w:r>
        <w:rPr>
          <w:bCs/>
        </w:rPr>
        <w:t>Договора.</w:t>
      </w:r>
    </w:p>
    <w:p>
      <w:pPr>
        <w:pStyle w:val="ListParagraph"/>
        <w:numPr>
          <w:ilvl w:val="1"/>
          <w:numId w:val="10"/>
        </w:numPr>
        <w:shd w:val="clear" w:color="auto" w:fill="FFFFFF"/>
        <w:tabs>
          <w:tab w:val="left" w:pos="709" w:leader="none"/>
          <w:tab w:val="left" w:pos="1134" w:leader="none"/>
        </w:tabs>
        <w:ind w:left="0" w:firstLine="709"/>
        <w:jc w:val="both"/>
        <w:rPr>
          <w:bCs/>
        </w:rPr>
      </w:pPr>
      <w:r>
        <w:rPr>
          <w:bCs/>
        </w:rPr>
        <w:t>Срок для рассмотрения претензии – 20 (двадцать) рабочих дней со дня 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с иском в суд.</w:t>
      </w:r>
    </w:p>
    <w:p>
      <w:pPr>
        <w:pStyle w:val="ListParagraph"/>
        <w:numPr>
          <w:ilvl w:val="1"/>
          <w:numId w:val="10"/>
        </w:numPr>
        <w:shd w:val="clear" w:color="auto" w:fill="FFFFFF"/>
        <w:tabs>
          <w:tab w:val="left" w:pos="709" w:leader="none"/>
          <w:tab w:val="left" w:pos="1134" w:leader="none"/>
        </w:tabs>
        <w:ind w:left="0" w:firstLine="709"/>
        <w:jc w:val="both"/>
        <w:rPr>
          <w:bCs/>
        </w:rPr>
      </w:pPr>
      <w:r>
        <w:rPr>
          <w:bCs/>
        </w:rPr>
        <w:t>Условия настоящего раздела сохраняют свою силу в случае признания Договора незаключенным и / или недействительным.</w:t>
      </w:r>
    </w:p>
    <w:p>
      <w:pPr>
        <w:pStyle w:val="ListParagraph"/>
        <w:shd w:val="clear" w:color="auto" w:fill="FFFFFF"/>
        <w:tabs>
          <w:tab w:val="clear" w:pos="709"/>
          <w:tab w:val="left" w:pos="1418" w:leader="none"/>
        </w:tabs>
        <w:ind w:left="0" w:firstLine="851"/>
        <w:jc w:val="both"/>
        <w:rPr/>
      </w:pPr>
      <w:r>
        <w:rPr/>
      </w:r>
    </w:p>
    <w:p>
      <w:pPr>
        <w:pStyle w:val="ListParagraph"/>
        <w:numPr>
          <w:ilvl w:val="0"/>
          <w:numId w:val="10"/>
        </w:numPr>
        <w:shd w:val="clear" w:color="auto" w:fill="FFFFFF"/>
        <w:tabs>
          <w:tab w:val="clear" w:pos="709"/>
          <w:tab w:val="left" w:pos="284" w:leader="none"/>
        </w:tabs>
        <w:ind w:left="0" w:hanging="0"/>
        <w:jc w:val="center"/>
        <w:rPr>
          <w:b/>
        </w:rPr>
      </w:pPr>
      <w:r>
        <w:rPr>
          <w:b/>
          <w:bCs/>
        </w:rPr>
        <w:t>Антикоррупционная оговорка</w:t>
      </w:r>
    </w:p>
    <w:p>
      <w:pPr>
        <w:pStyle w:val="ListParagraph"/>
        <w:widowControl w:val="false"/>
        <w:numPr>
          <w:ilvl w:val="1"/>
          <w:numId w:val="10"/>
        </w:numPr>
        <w:shd w:val="clear" w:color="auto" w:fill="FFFFFF"/>
        <w:ind w:left="0" w:firstLine="709"/>
        <w:jc w:val="both"/>
        <w:rPr>
          <w:bCs/>
          <w:color w:val="000000"/>
        </w:rPr>
      </w:pPr>
      <w:r>
        <w:rPr>
          <w:color w:val="000000"/>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color w:val="000000"/>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pPr>
        <w:pStyle w:val="Normal"/>
        <w:shd w:val="clear" w:color="auto" w:fill="FFFFFF"/>
        <w:ind w:firstLine="709"/>
        <w:jc w:val="both"/>
        <w:rPr>
          <w:bCs/>
          <w:color w:val="000000"/>
        </w:rPr>
      </w:pPr>
      <w:r>
        <w:rPr>
          <w:bCs/>
          <w:color w:val="000000"/>
        </w:rPr>
        <w:t>9.2. 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pPr>
        <w:pStyle w:val="Normal"/>
        <w:shd w:val="clear" w:color="auto" w:fill="FFFFFF"/>
        <w:ind w:firstLine="709"/>
        <w:jc w:val="both"/>
        <w:rPr>
          <w:bCs/>
          <w:color w:val="000000"/>
        </w:rPr>
      </w:pPr>
      <w:r>
        <w:rPr>
          <w:bCs/>
          <w:color w:val="000000"/>
        </w:rPr>
        <w:t>9.3. 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pPr>
        <w:pStyle w:val="Normal"/>
        <w:shd w:val="clear" w:color="auto" w:fill="FFFFFF"/>
        <w:ind w:firstLine="709"/>
        <w:jc w:val="both"/>
        <w:rPr>
          <w:bCs/>
          <w:color w:val="000000"/>
        </w:rPr>
      </w:pPr>
      <w:r>
        <w:rPr>
          <w:bCs/>
          <w:color w:val="000000"/>
        </w:rPr>
        <w:t>9.4. 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pPr>
        <w:pStyle w:val="Normal"/>
        <w:shd w:val="clear" w:color="auto" w:fill="FFFFFF"/>
        <w:ind w:firstLine="709"/>
        <w:jc w:val="both"/>
        <w:rPr>
          <w:bCs/>
          <w:color w:val="000000"/>
        </w:rPr>
      </w:pPr>
      <w:r>
        <w:rPr>
          <w:bCs/>
          <w:color w:val="000000"/>
        </w:rPr>
        <w:t xml:space="preserve">9.5.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pPr>
        <w:pStyle w:val="Normal"/>
        <w:shd w:val="clear" w:color="auto" w:fill="FFFFFF"/>
        <w:ind w:firstLine="709"/>
        <w:jc w:val="both"/>
        <w:rPr>
          <w:bCs/>
          <w:color w:val="000000"/>
        </w:rPr>
      </w:pPr>
      <w:r>
        <w:rPr>
          <w:bCs/>
          <w:color w:val="000000"/>
        </w:rPr>
        <w:t xml:space="preserve">9.6. 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pPr>
        <w:pStyle w:val="Normal"/>
        <w:shd w:val="clear" w:color="auto" w:fill="FFFFFF"/>
        <w:tabs>
          <w:tab w:val="clear" w:pos="709"/>
          <w:tab w:val="left" w:pos="567" w:leader="none"/>
        </w:tabs>
        <w:ind w:firstLine="709"/>
        <w:jc w:val="both"/>
        <w:rPr>
          <w:color w:val="000000"/>
        </w:rPr>
      </w:pPr>
      <w:r>
        <w:rPr>
          <w:color w:val="000000"/>
        </w:rPr>
        <w:t xml:space="preserve">9.7.  Каналы связи Линия доверия Группы РусГидро: </w:t>
      </w:r>
    </w:p>
    <w:p>
      <w:pPr>
        <w:pStyle w:val="Normal"/>
        <w:shd w:val="clear" w:color="auto" w:fill="FFFFFF"/>
        <w:tabs>
          <w:tab w:val="clear" w:pos="709"/>
          <w:tab w:val="left" w:pos="567" w:leader="none"/>
        </w:tabs>
        <w:ind w:firstLine="709"/>
        <w:jc w:val="both"/>
        <w:rPr/>
      </w:pPr>
      <w:r>
        <w:rPr/>
        <w:t>9.7.1. Электронная почта: ld@rushydro.ru.</w:t>
      </w:r>
    </w:p>
    <w:p>
      <w:pPr>
        <w:pStyle w:val="Normal"/>
        <w:shd w:val="clear" w:color="auto" w:fill="FFFFFF"/>
        <w:tabs>
          <w:tab w:val="clear" w:pos="709"/>
          <w:tab w:val="left" w:pos="567" w:leader="none"/>
        </w:tabs>
        <w:ind w:firstLine="709"/>
        <w:jc w:val="both"/>
        <w:rPr/>
      </w:pPr>
      <w:r>
        <w:rPr/>
        <w:t>9.7.2. 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pPr>
        <w:pStyle w:val="Normal"/>
        <w:ind w:firstLine="709"/>
        <w:jc w:val="both"/>
        <w:rPr/>
      </w:pPr>
      <w:r>
        <w:rPr/>
        <w:t>9.7.3. Телефонный автоответчик (необходимо позвонить по телефону +7(495) 785-09-37 (круглосуточно), дождаться сигнала о начале записи и оставить устное обращение).</w:t>
      </w:r>
    </w:p>
    <w:p>
      <w:pPr>
        <w:pStyle w:val="Normal"/>
        <w:tabs>
          <w:tab w:val="left" w:pos="709" w:leader="none"/>
        </w:tabs>
        <w:rPr>
          <w:b/>
        </w:rPr>
      </w:pPr>
      <w:r>
        <w:rPr>
          <w:b/>
        </w:rPr>
      </w:r>
    </w:p>
    <w:p>
      <w:pPr>
        <w:pStyle w:val="ListParagraph"/>
        <w:numPr>
          <w:ilvl w:val="0"/>
          <w:numId w:val="10"/>
        </w:numPr>
        <w:shd w:val="clear" w:color="auto" w:fill="FFFFFF"/>
        <w:tabs>
          <w:tab w:val="clear" w:pos="709"/>
          <w:tab w:val="left" w:pos="426" w:leader="none"/>
        </w:tabs>
        <w:ind w:left="0" w:hanging="0"/>
        <w:jc w:val="center"/>
        <w:rPr>
          <w:b/>
          <w:bCs/>
        </w:rPr>
      </w:pPr>
      <w:r>
        <w:rPr>
          <w:b/>
          <w:bCs/>
        </w:rPr>
        <w:t>Обстоятельства непреодолимой силы (форс-мажор)</w:t>
      </w:r>
    </w:p>
    <w:p>
      <w:pPr>
        <w:pStyle w:val="ListParagraph"/>
        <w:numPr>
          <w:ilvl w:val="1"/>
          <w:numId w:val="10"/>
        </w:numPr>
        <w:shd w:val="clear" w:color="auto" w:fill="FFFFFF"/>
        <w:tabs>
          <w:tab w:val="left" w:pos="709" w:leader="none"/>
          <w:tab w:val="left" w:pos="1418" w:leader="none"/>
        </w:tabs>
        <w:ind w:left="0" w:firstLine="709"/>
        <w:jc w:val="both"/>
        <w:rPr/>
      </w:pPr>
      <w:bookmarkStart w:id="26" w:name="_Ref133401341"/>
      <w:bookmarkEnd w:id="26"/>
      <w:r>
        <w:rPr>
          <w:bCs/>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pPr>
        <w:pStyle w:val="ListParagraph"/>
        <w:numPr>
          <w:ilvl w:val="1"/>
          <w:numId w:val="10"/>
        </w:numPr>
        <w:shd w:val="clear" w:color="auto" w:fill="FFFFFF"/>
        <w:tabs>
          <w:tab w:val="left" w:pos="709" w:leader="none"/>
          <w:tab w:val="left" w:pos="1418" w:leader="none"/>
        </w:tabs>
        <w:ind w:left="0" w:firstLine="709"/>
        <w:jc w:val="both"/>
        <w:rPr/>
      </w:pPr>
      <w:r>
        <w:rPr>
          <w:bCs/>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pPr>
        <w:pStyle w:val="ListParagraph"/>
        <w:numPr>
          <w:ilvl w:val="1"/>
          <w:numId w:val="10"/>
        </w:numPr>
        <w:shd w:val="clear" w:color="auto" w:fill="FFFFFF"/>
        <w:tabs>
          <w:tab w:val="left" w:pos="709" w:leader="none"/>
          <w:tab w:val="left" w:pos="1418" w:leader="none"/>
        </w:tabs>
        <w:ind w:left="0" w:firstLine="709"/>
        <w:jc w:val="both"/>
        <w:rPr/>
      </w:pPr>
      <w:r>
        <w:rPr>
          <w:bCs/>
        </w:rPr>
        <w:t>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и предполагаемом сроке действия обстоятельств непреодолимой силы, и в разумный срок представить необходимые документальные подтверждения.</w:t>
      </w:r>
    </w:p>
    <w:p>
      <w:pPr>
        <w:pStyle w:val="ListParagraph"/>
        <w:numPr>
          <w:ilvl w:val="1"/>
          <w:numId w:val="10"/>
        </w:numPr>
        <w:shd w:val="clear" w:color="auto" w:fill="FFFFFF"/>
        <w:tabs>
          <w:tab w:val="clear" w:pos="709"/>
          <w:tab w:val="left" w:pos="426" w:leader="none"/>
          <w:tab w:val="left" w:pos="1418" w:leader="none"/>
        </w:tabs>
        <w:ind w:left="0" w:firstLine="709"/>
        <w:jc w:val="both"/>
        <w:rPr/>
      </w:pPr>
      <w:r>
        <w:rPr/>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p>
    <w:p>
      <w:pPr>
        <w:pStyle w:val="ListParagraph"/>
        <w:numPr>
          <w:ilvl w:val="1"/>
          <w:numId w:val="10"/>
        </w:numPr>
        <w:shd w:val="clear" w:color="auto" w:fill="FFFFFF"/>
        <w:tabs>
          <w:tab w:val="left" w:pos="709" w:leader="none"/>
          <w:tab w:val="left" w:pos="1418" w:leader="none"/>
        </w:tabs>
        <w:ind w:left="0" w:firstLine="709"/>
        <w:jc w:val="both"/>
        <w:rPr/>
      </w:pPr>
      <w:r>
        <w:rPr>
          <w:bCs/>
        </w:rPr>
        <w:t xml:space="preserve">Отсутствие уведомления или несвоевременное уведомление об обстоятельствах непреодолимой силы лишает соответствующую Сторону права 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pPr>
        <w:pStyle w:val="ListParagraph"/>
        <w:numPr>
          <w:ilvl w:val="1"/>
          <w:numId w:val="10"/>
        </w:numPr>
        <w:shd w:val="clear" w:color="auto" w:fill="FFFFFF"/>
        <w:tabs>
          <w:tab w:val="left" w:pos="709" w:leader="none"/>
          <w:tab w:val="left" w:pos="1418" w:leader="none"/>
        </w:tabs>
        <w:ind w:left="0" w:firstLine="709"/>
        <w:jc w:val="both"/>
        <w:rPr/>
      </w:pPr>
      <w:r>
        <w:rPr>
          <w:bCs/>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pPr>
        <w:pStyle w:val="ListParagraph"/>
        <w:shd w:val="clear" w:color="auto" w:fill="FFFFFF"/>
        <w:tabs>
          <w:tab w:val="clear" w:pos="709"/>
          <w:tab w:val="left" w:pos="568" w:leader="none"/>
        </w:tabs>
        <w:ind w:left="0" w:firstLine="709"/>
        <w:jc w:val="both"/>
        <w:rPr>
          <w:bCs/>
        </w:rPr>
      </w:pPr>
      <w:r>
        <w:rPr>
          <w:bCs/>
        </w:rPr>
        <w:t>При этом любая из Сторон вправе отказаться от исполнения Договора в одностороннем внесудебном порядке.</w:t>
      </w:r>
    </w:p>
    <w:p>
      <w:pPr>
        <w:pStyle w:val="ListParagraph"/>
        <w:shd w:val="clear" w:color="auto" w:fill="FFFFFF"/>
        <w:tabs>
          <w:tab w:val="clear" w:pos="709"/>
          <w:tab w:val="left" w:pos="568" w:leader="none"/>
        </w:tabs>
        <w:ind w:left="0" w:firstLine="709"/>
        <w:jc w:val="both"/>
        <w:rPr/>
      </w:pPr>
      <w:r>
        <w:rPr/>
      </w:r>
    </w:p>
    <w:p>
      <w:pPr>
        <w:pStyle w:val="ListParagraph"/>
        <w:numPr>
          <w:ilvl w:val="0"/>
          <w:numId w:val="10"/>
        </w:numPr>
        <w:shd w:val="clear" w:color="auto" w:fill="FFFFFF"/>
        <w:tabs>
          <w:tab w:val="clear" w:pos="709"/>
          <w:tab w:val="left" w:pos="426" w:leader="none"/>
        </w:tabs>
        <w:ind w:left="0" w:hanging="0"/>
        <w:jc w:val="center"/>
        <w:rPr>
          <w:b/>
          <w:bCs/>
        </w:rPr>
      </w:pPr>
      <w:r>
        <w:rPr>
          <w:b/>
          <w:bCs/>
        </w:rPr>
        <w:t>Особые положения</w:t>
      </w:r>
    </w:p>
    <w:p>
      <w:pPr>
        <w:pStyle w:val="ListParagraph"/>
        <w:numPr>
          <w:ilvl w:val="1"/>
          <w:numId w:val="10"/>
        </w:numPr>
        <w:shd w:val="clear" w:color="auto" w:fill="FFFFFF"/>
        <w:tabs>
          <w:tab w:val="clear" w:pos="709"/>
          <w:tab w:val="left" w:pos="710" w:leader="none"/>
        </w:tabs>
        <w:ind w:left="0" w:firstLine="709"/>
        <w:jc w:val="both"/>
        <w:rPr/>
      </w:pPr>
      <w:bookmarkStart w:id="27" w:name="_Ref133311853"/>
      <w:bookmarkEnd w:id="27"/>
      <w:r>
        <w:rPr>
          <w:bCs/>
        </w:rPr>
        <w:t>Исполнитель обязуется не привлекать и не допускать привлечения к исполнению обязательств по Договору организации:</w:t>
      </w:r>
    </w:p>
    <w:p>
      <w:pPr>
        <w:pStyle w:val="ListParagraph"/>
        <w:numPr>
          <w:ilvl w:val="1"/>
          <w:numId w:val="8"/>
        </w:numPr>
        <w:shd w:val="clear" w:color="auto" w:fill="FFFFFF"/>
        <w:tabs>
          <w:tab w:val="clear" w:pos="709"/>
          <w:tab w:val="left" w:pos="1134" w:leader="none"/>
        </w:tabs>
        <w:ind w:left="0" w:firstLine="709"/>
        <w:jc w:val="both"/>
        <w:rPr/>
      </w:pPr>
      <w:r>
        <w:rPr>
          <w:bCs/>
        </w:rPr>
        <w:t xml:space="preserve">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2">
        <w:r>
          <w:rPr>
            <w:rStyle w:val="Hyperlink"/>
            <w:bCs/>
          </w:rPr>
          <w:t>№ 18162/09</w:t>
        </w:r>
      </w:hyperlink>
      <w:r>
        <w:rPr>
          <w:bCs/>
        </w:rPr>
        <w:t xml:space="preserve"> и от 25.05.2010 </w:t>
      </w:r>
      <w:hyperlink r:id="rId3">
        <w:r>
          <w:rPr>
            <w:rStyle w:val="Hyperlink"/>
            <w:bCs/>
          </w:rPr>
          <w:t>№ 15658/09</w:t>
        </w:r>
      </w:hyperlink>
      <w:r>
        <w:rPr>
          <w:bCs/>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 / или </w:t>
      </w:r>
    </w:p>
    <w:p>
      <w:pPr>
        <w:pStyle w:val="ListParagraph"/>
        <w:numPr>
          <w:ilvl w:val="1"/>
          <w:numId w:val="8"/>
        </w:numPr>
        <w:shd w:val="clear" w:color="auto" w:fill="FFFFFF"/>
        <w:tabs>
          <w:tab w:val="clear" w:pos="709"/>
          <w:tab w:val="left" w:pos="1134" w:leader="none"/>
        </w:tabs>
        <w:ind w:left="0" w:firstLine="709"/>
        <w:jc w:val="both"/>
        <w:rPr/>
      </w:pPr>
      <w:r>
        <w:rPr>
          <w:bCs/>
        </w:rPr>
        <w:t xml:space="preserve">соответствующие </w:t>
      </w:r>
      <w:hyperlink r:id="rId4">
        <w:r>
          <w:rPr>
            <w:rStyle w:val="Hyperlink"/>
            <w:bCs/>
          </w:rPr>
          <w:t>Критери</w:t>
        </w:r>
      </w:hyperlink>
      <w:r>
        <w:rPr>
          <w:bCs/>
        </w:rPr>
        <w:t>ям самостоятельной оценки рисков для налогоплательщиков, используемым налоговыми органами в процессе отбора объектов для проведения выездных налоговых проверок (утверждены приказом ФНС России от 30.05.2007 № ММ-3-06/333@).</w:t>
      </w:r>
    </w:p>
    <w:p>
      <w:pPr>
        <w:pStyle w:val="ListParagraph"/>
        <w:numPr>
          <w:ilvl w:val="1"/>
          <w:numId w:val="10"/>
        </w:numPr>
        <w:shd w:val="clear" w:color="auto" w:fill="FFFFFF"/>
        <w:tabs>
          <w:tab w:val="clear" w:pos="709"/>
          <w:tab w:val="left" w:pos="1134" w:leader="none"/>
        </w:tabs>
        <w:ind w:left="0" w:firstLine="709"/>
        <w:jc w:val="both"/>
        <w:rPr/>
      </w:pPr>
      <w:bookmarkStart w:id="28" w:name="_Ref133311857"/>
      <w:r>
        <w:rPr>
          <w:bCs/>
        </w:rPr>
        <w:t xml:space="preserve">Исполнитель обязуется незамедлительно уведомить Заказчика о появлении в ходе исполнения Договора у привлеченных Исполнителем Субисполнителей признаков недобросовестности, указанных в пункте </w:t>
      </w:r>
      <w:r>
        <w:rPr/>
        <w:fldChar w:fldCharType="begin"/>
      </w:r>
      <w:r>
        <w:rPr/>
        <w:instrText xml:space="preserve"> REF _Ref133311853 \r \h </w:instrText>
      </w:r>
      <w:r>
        <w:rPr/>
        <w:fldChar w:fldCharType="separate"/>
      </w:r>
      <w:r>
        <w:rPr/>
        <w:t>11.1</w:t>
      </w:r>
      <w:r>
        <w:rPr/>
        <w:fldChar w:fldCharType="end"/>
      </w:r>
      <w:bookmarkEnd w:id="28"/>
      <w:r>
        <w:rPr>
          <w:bCs/>
        </w:rPr>
        <w:t xml:space="preserve"> Договора, а также обеспечить прекращение участия таких организаций в исполнении Договора.</w:t>
      </w:r>
    </w:p>
    <w:p>
      <w:pPr>
        <w:pStyle w:val="ListParagraph"/>
        <w:numPr>
          <w:ilvl w:val="1"/>
          <w:numId w:val="10"/>
        </w:numPr>
        <w:shd w:val="clear" w:color="auto" w:fill="FFFFFF"/>
        <w:tabs>
          <w:tab w:val="clear" w:pos="709"/>
          <w:tab w:val="left" w:pos="1134" w:leader="none"/>
        </w:tabs>
        <w:ind w:left="0" w:firstLine="709"/>
        <w:jc w:val="both"/>
        <w:rPr/>
      </w:pPr>
      <w:bookmarkStart w:id="29" w:name="_Ref133311865"/>
      <w:r>
        <w:rPr>
          <w:bCs/>
        </w:rPr>
        <w:t xml:space="preserve">В случае нарушения Исполнителем обязательств, установленных пунктами </w:t>
      </w:r>
      <w:r>
        <w:rPr/>
        <w:fldChar w:fldCharType="begin"/>
      </w:r>
      <w:r>
        <w:rPr/>
        <w:instrText xml:space="preserve"> REF _Ref133311853 \r \h </w:instrText>
      </w:r>
      <w:r>
        <w:rPr/>
        <w:fldChar w:fldCharType="separate"/>
      </w:r>
      <w:r>
        <w:rPr/>
        <w:t>11.1</w:t>
      </w:r>
      <w:r>
        <w:rPr/>
        <w:fldChar w:fldCharType="end"/>
      </w:r>
      <w:r>
        <w:rPr>
          <w:bCs/>
        </w:rPr>
        <w:t xml:space="preserve">, </w:t>
      </w:r>
      <w:r>
        <w:rPr/>
        <w:fldChar w:fldCharType="begin"/>
      </w:r>
      <w:r>
        <w:rPr/>
        <w:instrText xml:space="preserve"> REF _Ref133311857 \r \h </w:instrText>
      </w:r>
      <w:r>
        <w:rPr/>
        <w:fldChar w:fldCharType="separate"/>
      </w:r>
      <w:r>
        <w:rPr/>
        <w:t>11.2</w:t>
      </w:r>
      <w:r>
        <w:rPr/>
        <w:fldChar w:fldCharType="end"/>
      </w:r>
      <w:bookmarkEnd w:id="29"/>
      <w:r>
        <w:rPr>
          <w:bCs/>
        </w:rPr>
        <w:t xml:space="preserve"> Договора, Заказчик вправе в одностороннем внесудебном порядке отказаться от Договора путем направления уведомления об отказе от Договора (исполнения Договора) с указанием даты прекращения (расторжения) Договора, которая не должна наступать ранее 10 (десяти) рабочих дней с даты получения Исполнителем такого уведомления. Договор считается прекращенным (расторгнутым) с даты, указанной в уведомлении об отказе от Договора (исполнения Договора) при условии, что Заказчик не отзовет указанное уведомление по итогам рассмотрения мотивированных письменных возражений Исполнителя, представленных до наступления указанной Заказчиком даты расторжения.</w:t>
      </w:r>
    </w:p>
    <w:p>
      <w:pPr>
        <w:pStyle w:val="ListParagraph"/>
        <w:numPr>
          <w:ilvl w:val="1"/>
          <w:numId w:val="10"/>
        </w:numPr>
        <w:shd w:val="clear" w:color="auto" w:fill="FFFFFF"/>
        <w:tabs>
          <w:tab w:val="clear" w:pos="709"/>
          <w:tab w:val="left" w:pos="1134" w:leader="none"/>
        </w:tabs>
        <w:ind w:left="0" w:firstLine="709"/>
        <w:jc w:val="both"/>
        <w:rPr/>
      </w:pPr>
      <w:bookmarkStart w:id="30" w:name="_Ref133311861"/>
      <w:r>
        <w:rPr>
          <w:bCs/>
        </w:rPr>
        <w:t xml:space="preserve">Исполнитель обязан уплатить Заказчику штраф в размере суммы денежных средств, перечисленных организации, отвечающей признакам недобросовестности, а также дополнительно компенсировать Заказчику убытки, причиненные в результате нарушения обязательств, установленных пунктами </w:t>
      </w:r>
      <w:r>
        <w:rPr/>
        <w:fldChar w:fldCharType="begin"/>
      </w:r>
      <w:r>
        <w:rPr/>
        <w:instrText xml:space="preserve"> REF _Ref133311853 \r \h </w:instrText>
      </w:r>
      <w:r>
        <w:rPr/>
        <w:fldChar w:fldCharType="separate"/>
      </w:r>
      <w:r>
        <w:rPr/>
        <w:t>11.1</w:t>
      </w:r>
      <w:r>
        <w:rPr/>
        <w:fldChar w:fldCharType="end"/>
      </w:r>
      <w:r>
        <w:rPr>
          <w:bCs/>
        </w:rPr>
        <w:t xml:space="preserve">, </w:t>
      </w:r>
      <w:r>
        <w:rPr/>
        <w:fldChar w:fldCharType="begin"/>
      </w:r>
      <w:r>
        <w:rPr/>
        <w:instrText xml:space="preserve"> REF _Ref133311857 \r \h </w:instrText>
      </w:r>
      <w:r>
        <w:rPr/>
        <w:fldChar w:fldCharType="separate"/>
      </w:r>
      <w:r>
        <w:rPr/>
        <w:t>11.2</w:t>
      </w:r>
      <w:r>
        <w:rPr/>
        <w:fldChar w:fldCharType="end"/>
      </w:r>
      <w:bookmarkEnd w:id="30"/>
      <w:r>
        <w:rPr>
          <w:bCs/>
        </w:rPr>
        <w:t xml:space="preserve"> Договора.</w:t>
      </w:r>
    </w:p>
    <w:p>
      <w:pPr>
        <w:pStyle w:val="ListParagraph"/>
        <w:numPr>
          <w:ilvl w:val="1"/>
          <w:numId w:val="10"/>
        </w:numPr>
        <w:shd w:val="clear" w:color="auto" w:fill="FFFFFF"/>
        <w:tabs>
          <w:tab w:val="clear" w:pos="709"/>
          <w:tab w:val="left" w:pos="1134" w:leader="none"/>
        </w:tabs>
        <w:ind w:left="0" w:firstLine="709"/>
        <w:jc w:val="both"/>
        <w:rPr/>
      </w:pPr>
      <w:bookmarkStart w:id="31" w:name="_Ref373243071"/>
      <w:r>
        <w:rPr>
          <w:bCs/>
        </w:rPr>
        <w:t xml:space="preserve">Штраф, предусмотренный пунктом </w:t>
      </w:r>
      <w:r>
        <w:rPr/>
        <w:fldChar w:fldCharType="begin"/>
      </w:r>
      <w:r>
        <w:rPr/>
        <w:instrText xml:space="preserve"> REF _Ref133311861 \r \h </w:instrText>
      </w:r>
      <w:r>
        <w:rPr/>
        <w:fldChar w:fldCharType="separate"/>
      </w:r>
      <w:r>
        <w:rPr/>
        <w:t>11.4</w:t>
      </w:r>
      <w:r>
        <w:rPr/>
        <w:fldChar w:fldCharType="end"/>
      </w:r>
      <w:r>
        <w:rPr>
          <w:bCs/>
        </w:rPr>
        <w:t xml:space="preserve">  Договора, оплачивается Исполнителем в течение 10 (десяти) рабочих дней с даты получения соответствующего письменного требования Заказчика. Заказчик вправе предъявить требование об уплате штрафа вне независимости от направления уведомления об отказе от Договора (исполнения Договора), предусмотренного пунктом </w:t>
      </w:r>
      <w:r>
        <w:rPr/>
        <w:fldChar w:fldCharType="begin"/>
      </w:r>
      <w:r>
        <w:rPr/>
        <w:instrText xml:space="preserve"> REF _Ref133311865 \r \h </w:instrText>
      </w:r>
      <w:r>
        <w:rPr/>
        <w:fldChar w:fldCharType="separate"/>
      </w:r>
      <w:r>
        <w:rPr/>
        <w:t>11.3</w:t>
      </w:r>
      <w:r>
        <w:rPr/>
        <w:fldChar w:fldCharType="end"/>
      </w:r>
      <w:bookmarkEnd w:id="31"/>
      <w:r>
        <w:rPr>
          <w:bCs/>
        </w:rPr>
        <w:t xml:space="preserve"> Договора.</w:t>
      </w:r>
    </w:p>
    <w:p>
      <w:pPr>
        <w:pStyle w:val="ListParagraph"/>
        <w:numPr>
          <w:ilvl w:val="1"/>
          <w:numId w:val="10"/>
        </w:numPr>
        <w:shd w:val="clear" w:color="auto" w:fill="FFFFFF"/>
        <w:tabs>
          <w:tab w:val="clear" w:pos="709"/>
          <w:tab w:val="left" w:pos="1134" w:leader="none"/>
        </w:tabs>
        <w:ind w:left="0" w:firstLine="709"/>
        <w:jc w:val="both"/>
        <w:rPr/>
      </w:pPr>
      <w:r>
        <w:rPr>
          <w:bCs/>
        </w:rPr>
        <w:t xml:space="preserve">Заказчик вправе приостановить осуществление любых платежей по Договору, причитающихся Исполнителю, независимо от наличия оснований и наступления сроков таких платежей, до уплаты Исполнителем штрафа, предусмотренного пунктом </w:t>
      </w:r>
      <w:r>
        <w:rPr/>
        <w:fldChar w:fldCharType="begin"/>
      </w:r>
      <w:r>
        <w:rPr/>
        <w:instrText xml:space="preserve"> REF _Ref133311861 \r \h </w:instrText>
      </w:r>
      <w:r>
        <w:rPr/>
        <w:fldChar w:fldCharType="separate"/>
      </w:r>
      <w:r>
        <w:rPr/>
        <w:t>11.4</w:t>
      </w:r>
      <w:r>
        <w:rPr/>
        <w:fldChar w:fldCharType="end"/>
      </w:r>
      <w:r>
        <w:rPr>
          <w:bCs/>
        </w:rPr>
        <w:t xml:space="preserve"> Договора. При этом Заказчик не будет считаться просрочившим и / или нарушившим свои обязательства по Договору.</w:t>
      </w:r>
    </w:p>
    <w:p>
      <w:pPr>
        <w:pStyle w:val="ListParagraph"/>
        <w:numPr>
          <w:ilvl w:val="1"/>
          <w:numId w:val="10"/>
        </w:numPr>
        <w:shd w:val="clear" w:color="auto" w:fill="FFFFFF"/>
        <w:tabs>
          <w:tab w:val="clear" w:pos="709"/>
          <w:tab w:val="left" w:pos="1134" w:leader="none"/>
        </w:tabs>
        <w:ind w:left="0" w:firstLine="709"/>
        <w:jc w:val="both"/>
        <w:rPr/>
      </w:pPr>
      <w:r>
        <w:rPr>
          <w:bCs/>
        </w:rPr>
        <w:t xml:space="preserve">Независимо от других положений Договора, положения пунктов </w:t>
      </w:r>
      <w:r>
        <w:rPr/>
        <w:fldChar w:fldCharType="begin"/>
      </w:r>
      <w:r>
        <w:rPr/>
        <w:instrText xml:space="preserve"> REF _Ref133311861 \r \h </w:instrText>
      </w:r>
      <w:r>
        <w:rPr/>
        <w:fldChar w:fldCharType="separate"/>
      </w:r>
      <w:r>
        <w:rPr/>
        <w:t>11.4</w:t>
      </w:r>
      <w:r>
        <w:rPr/>
        <w:fldChar w:fldCharType="end"/>
      </w:r>
      <w:r>
        <w:rPr>
          <w:bCs/>
        </w:rPr>
        <w:t xml:space="preserve">, </w:t>
      </w:r>
      <w:r>
        <w:rPr/>
        <w:fldChar w:fldCharType="begin"/>
      </w:r>
      <w:r>
        <w:rPr/>
        <w:instrText xml:space="preserve"> REF _Ref373243071 \r \h </w:instrText>
      </w:r>
      <w:r>
        <w:rPr/>
        <w:fldChar w:fldCharType="separate"/>
      </w:r>
      <w:r>
        <w:rPr/>
        <w:t>11.5</w:t>
      </w:r>
      <w:r>
        <w:rPr/>
        <w:fldChar w:fldCharType="end"/>
      </w:r>
      <w:r>
        <w:rPr>
          <w:bCs/>
        </w:rPr>
        <w:t xml:space="preserve"> Договора продолжают действовать в течение 4 (четырех) лет после его прекращения (расторжения) или исполнения.</w:t>
      </w:r>
    </w:p>
    <w:p>
      <w:pPr>
        <w:pStyle w:val="ListParagraph"/>
        <w:shd w:val="clear" w:color="auto" w:fill="FFFFFF"/>
        <w:tabs>
          <w:tab w:val="clear" w:pos="709"/>
          <w:tab w:val="left" w:pos="567" w:leader="none"/>
        </w:tabs>
        <w:ind w:left="0" w:hanging="0"/>
        <w:jc w:val="both"/>
        <w:rPr>
          <w:bCs/>
        </w:rPr>
      </w:pPr>
      <w:r>
        <w:rPr>
          <w:bCs/>
        </w:rPr>
      </w:r>
    </w:p>
    <w:p>
      <w:pPr>
        <w:pStyle w:val="ListParagraph"/>
        <w:numPr>
          <w:ilvl w:val="0"/>
          <w:numId w:val="10"/>
        </w:numPr>
        <w:shd w:val="clear" w:color="auto" w:fill="FFFFFF"/>
        <w:tabs>
          <w:tab w:val="clear" w:pos="709"/>
          <w:tab w:val="left" w:pos="426" w:leader="none"/>
        </w:tabs>
        <w:ind w:left="0" w:hanging="0"/>
        <w:jc w:val="center"/>
        <w:rPr>
          <w:b/>
        </w:rPr>
      </w:pPr>
      <w:bookmarkStart w:id="32" w:name="_Ref131768417"/>
      <w:r>
        <w:rPr>
          <w:b/>
          <w:bCs/>
        </w:rPr>
        <w:t>Заверения</w:t>
      </w:r>
      <w:bookmarkEnd w:id="32"/>
      <w:r>
        <w:rPr>
          <w:b/>
        </w:rPr>
        <w:t xml:space="preserve"> Сторон</w:t>
      </w:r>
    </w:p>
    <w:p>
      <w:pPr>
        <w:pStyle w:val="ListParagraph"/>
        <w:numPr>
          <w:ilvl w:val="1"/>
          <w:numId w:val="10"/>
        </w:numPr>
        <w:shd w:val="clear" w:color="auto" w:fill="FFFFFF"/>
        <w:tabs>
          <w:tab w:val="clear" w:pos="709"/>
          <w:tab w:val="left" w:pos="1134" w:leader="none"/>
          <w:tab w:val="left" w:pos="1418" w:leader="none"/>
        </w:tabs>
        <w:ind w:left="0" w:firstLine="709"/>
        <w:jc w:val="both"/>
        <w:rPr/>
      </w:pPr>
      <w:r>
        <w:rPr>
          <w:bCs/>
        </w:rPr>
        <w:t>Каждая</w:t>
      </w:r>
      <w:r>
        <w:rPr/>
        <w:t xml:space="preserve"> из Сторон заявляет и подтверждает другой Стороне, что: </w:t>
      </w:r>
    </w:p>
    <w:p>
      <w:pPr>
        <w:pStyle w:val="ListParagraph"/>
        <w:numPr>
          <w:ilvl w:val="0"/>
          <w:numId w:val="5"/>
        </w:numPr>
        <w:shd w:val="clear" w:color="auto" w:fill="FFFFFF"/>
        <w:tabs>
          <w:tab w:val="left" w:pos="709" w:leader="none"/>
          <w:tab w:val="left" w:pos="1418" w:leader="none"/>
        </w:tabs>
        <w:ind w:left="0" w:firstLine="709"/>
        <w:jc w:val="both"/>
        <w:rPr/>
      </w:pPr>
      <w:r>
        <w:rPr/>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pPr>
        <w:pStyle w:val="ListParagraph"/>
        <w:numPr>
          <w:ilvl w:val="0"/>
          <w:numId w:val="5"/>
        </w:numPr>
        <w:shd w:val="clear" w:color="auto" w:fill="FFFFFF"/>
        <w:tabs>
          <w:tab w:val="left" w:pos="709" w:leader="none"/>
          <w:tab w:val="left" w:pos="1418" w:leader="none"/>
        </w:tabs>
        <w:ind w:left="0" w:firstLine="709"/>
        <w:jc w:val="both"/>
        <w:rPr/>
      </w:pPr>
      <w:r>
        <w:rPr/>
        <w:t>она обладает полной правоспособностью на заключение Договора и исполнение всех своих обязательств, возникающих из Договора или в связи с ним;</w:t>
      </w:r>
    </w:p>
    <w:p>
      <w:pPr>
        <w:pStyle w:val="ListParagraph"/>
        <w:numPr>
          <w:ilvl w:val="0"/>
          <w:numId w:val="5"/>
        </w:numPr>
        <w:shd w:val="clear" w:color="auto" w:fill="FFFFFF"/>
        <w:tabs>
          <w:tab w:val="left" w:pos="709" w:leader="none"/>
          <w:tab w:val="left" w:pos="1418" w:leader="none"/>
        </w:tabs>
        <w:ind w:left="0" w:firstLine="709"/>
        <w:jc w:val="both"/>
        <w:rPr/>
      </w:pPr>
      <w:r>
        <w:rPr/>
        <w:t>она получила все корпоративные одобрения Договора органами управления 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и иных лиц необходимые для заключения и исполнения Договора;</w:t>
      </w:r>
    </w:p>
    <w:p>
      <w:pPr>
        <w:pStyle w:val="ListParagraph"/>
        <w:numPr>
          <w:ilvl w:val="0"/>
          <w:numId w:val="5"/>
        </w:numPr>
        <w:shd w:val="clear" w:color="auto" w:fill="FFFFFF"/>
        <w:tabs>
          <w:tab w:val="left" w:pos="709" w:leader="none"/>
          <w:tab w:val="left" w:pos="1418" w:leader="none"/>
        </w:tabs>
        <w:ind w:left="0" w:firstLine="709"/>
        <w:jc w:val="both"/>
        <w:rPr/>
      </w:pPr>
      <w:r>
        <w:rPr/>
        <w:t>лица, подписывающие от имени Сторон Договор, надлежащим образом уполномочены на его подписание;</w:t>
      </w:r>
    </w:p>
    <w:p>
      <w:pPr>
        <w:pStyle w:val="ListParagraph"/>
        <w:numPr>
          <w:ilvl w:val="0"/>
          <w:numId w:val="5"/>
        </w:numPr>
        <w:shd w:val="clear" w:color="auto" w:fill="FFFFFF"/>
        <w:tabs>
          <w:tab w:val="left" w:pos="709" w:leader="none"/>
          <w:tab w:val="left" w:pos="1418" w:leader="none"/>
        </w:tabs>
        <w:ind w:left="0" w:firstLine="709"/>
        <w:jc w:val="both"/>
        <w:rPr/>
      </w:pPr>
      <w:r>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pPr>
        <w:pStyle w:val="ListParagraph"/>
        <w:numPr>
          <w:ilvl w:val="1"/>
          <w:numId w:val="10"/>
        </w:numPr>
        <w:shd w:val="clear" w:color="auto" w:fill="FFFFFF"/>
        <w:tabs>
          <w:tab w:val="clear" w:pos="709"/>
          <w:tab w:val="left" w:pos="1134" w:leader="none"/>
          <w:tab w:val="left" w:pos="1418" w:leader="none"/>
        </w:tabs>
        <w:ind w:left="0" w:firstLine="709"/>
        <w:jc w:val="both"/>
        <w:rPr/>
      </w:pPr>
      <w:r>
        <w:rPr>
          <w:bCs/>
        </w:rPr>
        <w:t>Исполнитель</w:t>
      </w:r>
      <w:r>
        <w:rPr/>
        <w:t xml:space="preserve"> заявляет и заверяет Заказчика в том, что на момент заключения Договора:</w:t>
      </w:r>
    </w:p>
    <w:p>
      <w:pPr>
        <w:pStyle w:val="ListParagraph"/>
        <w:numPr>
          <w:ilvl w:val="0"/>
          <w:numId w:val="7"/>
        </w:numPr>
        <w:shd w:val="clear" w:color="auto" w:fill="FFFFFF"/>
        <w:tabs>
          <w:tab w:val="left" w:pos="709" w:leader="none"/>
          <w:tab w:val="left" w:pos="1418" w:leader="none"/>
        </w:tabs>
        <w:ind w:left="0" w:firstLine="709"/>
        <w:jc w:val="both"/>
        <w:rPr/>
      </w:pPr>
      <w:r>
        <w:rPr/>
        <w:t>учредителем / учредителями Исполнителя являются лица, не являющиеся массовыми учредителем / учредителями;</w:t>
      </w:r>
    </w:p>
    <w:p>
      <w:pPr>
        <w:pStyle w:val="ListParagraph"/>
        <w:numPr>
          <w:ilvl w:val="0"/>
          <w:numId w:val="7"/>
        </w:numPr>
        <w:shd w:val="clear" w:color="auto" w:fill="FFFFFF"/>
        <w:tabs>
          <w:tab w:val="left" w:pos="709" w:leader="none"/>
          <w:tab w:val="left" w:pos="1418" w:leader="none"/>
        </w:tabs>
        <w:ind w:left="0" w:firstLine="709"/>
        <w:jc w:val="both"/>
        <w:rPr/>
      </w:pPr>
      <w:r>
        <w:rPr/>
        <w:t>руководителем Исполнителя является лицо, не являющееся массовым руководителем;</w:t>
      </w:r>
    </w:p>
    <w:p>
      <w:pPr>
        <w:pStyle w:val="ListParagraph"/>
        <w:numPr>
          <w:ilvl w:val="0"/>
          <w:numId w:val="7"/>
        </w:numPr>
        <w:shd w:val="clear" w:color="auto" w:fill="FFFFFF"/>
        <w:tabs>
          <w:tab w:val="left" w:pos="709" w:leader="none"/>
          <w:tab w:val="left" w:pos="1418" w:leader="none"/>
        </w:tabs>
        <w:ind w:left="0" w:firstLine="709"/>
        <w:jc w:val="both"/>
        <w:rPr/>
      </w:pPr>
      <w:r>
        <w:rPr/>
        <w:t xml:space="preserve">Исполнитель фактически находится по адресу, указанному в Едином государственном реестре юридических лиц; </w:t>
      </w:r>
    </w:p>
    <w:p>
      <w:pPr>
        <w:pStyle w:val="ListParagraph"/>
        <w:numPr>
          <w:ilvl w:val="0"/>
          <w:numId w:val="7"/>
        </w:numPr>
        <w:shd w:val="clear" w:color="auto" w:fill="FFFFFF"/>
        <w:tabs>
          <w:tab w:val="left" w:pos="709" w:leader="none"/>
          <w:tab w:val="left" w:pos="1418" w:leader="none"/>
        </w:tabs>
        <w:ind w:left="0" w:firstLine="709"/>
        <w:jc w:val="both"/>
        <w:rPr/>
      </w:pPr>
      <w:r>
        <w:rPr/>
        <w:t>Исполнитель своевременно и в полном объеме уплачивает налоги и сборы в соответствии с законодательством Российской Федерации;</w:t>
      </w:r>
    </w:p>
    <w:p>
      <w:pPr>
        <w:pStyle w:val="ListParagraph"/>
        <w:numPr>
          <w:ilvl w:val="0"/>
          <w:numId w:val="6"/>
        </w:numPr>
        <w:shd w:val="clear" w:color="auto" w:fill="FFFFFF"/>
        <w:tabs>
          <w:tab w:val="clear" w:pos="709"/>
          <w:tab w:val="left" w:pos="567" w:leader="none"/>
          <w:tab w:val="left" w:pos="1418" w:leader="none"/>
        </w:tabs>
        <w:ind w:left="0" w:firstLine="709"/>
        <w:jc w:val="both"/>
        <w:rPr/>
      </w:pPr>
      <w:r>
        <w:rPr/>
        <w:t>Исполнитель 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Исполнителя должным образом исполнять обязательства, возникающие из Договора или в связи с ним;</w:t>
      </w:r>
    </w:p>
    <w:p>
      <w:pPr>
        <w:pStyle w:val="ListParagraph"/>
        <w:numPr>
          <w:ilvl w:val="0"/>
          <w:numId w:val="6"/>
        </w:numPr>
        <w:shd w:val="clear" w:color="auto" w:fill="FFFFFF"/>
        <w:tabs>
          <w:tab w:val="clear" w:pos="709"/>
          <w:tab w:val="left" w:pos="567" w:leader="none"/>
          <w:tab w:val="left" w:pos="1418" w:leader="none"/>
        </w:tabs>
        <w:ind w:left="0" w:firstLine="709"/>
        <w:jc w:val="both"/>
        <w:rPr/>
      </w:pPr>
      <w:r>
        <w:rPr/>
        <w:t>не отозвана (прекращена, приостановлена, признана недействительной) лицензия или иной документ, необходимый для осуществления деятельности Исполнителя в соответствии с требованиями законодательства Российской Федерации, срок действия лицензии (иного документа) не истек, либо вид деятельности, осуществляемый Исполнителем, не подлежит лицензированию и / или не требует получения иного разрешительного документа;</w:t>
      </w:r>
    </w:p>
    <w:p>
      <w:pPr>
        <w:pStyle w:val="ListParagraph"/>
        <w:numPr>
          <w:ilvl w:val="0"/>
          <w:numId w:val="6"/>
        </w:numPr>
        <w:shd w:val="clear" w:color="auto" w:fill="FFFFFF"/>
        <w:tabs>
          <w:tab w:val="clear" w:pos="709"/>
          <w:tab w:val="left" w:pos="567" w:leader="none"/>
          <w:tab w:val="left" w:pos="1418" w:leader="none"/>
        </w:tabs>
        <w:ind w:left="0" w:firstLine="709"/>
        <w:jc w:val="both"/>
        <w:rPr/>
      </w:pPr>
      <w:r>
        <w:rPr/>
        <w:t>Исполнитель тщательно изучил всю информацию, связанную с Договором, в том числе по вопросам, влияющим на сроки, стоимость и качество Услуг, полностью ознакомлен со всеми условиями оказания Услуг, и принимает на себя все расходы, риски и трудности исполнения обязательств, возникающих из Договора или в связи с ним;</w:t>
      </w:r>
    </w:p>
    <w:p>
      <w:pPr>
        <w:pStyle w:val="ListParagraph"/>
        <w:numPr>
          <w:ilvl w:val="0"/>
          <w:numId w:val="6"/>
        </w:numPr>
        <w:shd w:val="clear" w:color="auto" w:fill="FFFFFF"/>
        <w:tabs>
          <w:tab w:val="clear" w:pos="709"/>
          <w:tab w:val="left" w:pos="567" w:leader="none"/>
          <w:tab w:val="left" w:pos="1418" w:leader="none"/>
        </w:tabs>
        <w:ind w:left="0" w:firstLine="709"/>
        <w:jc w:val="both"/>
        <w:rPr/>
      </w:pPr>
      <w:r>
        <w:rPr/>
        <w:t>Исполнитель тщательно изучил все регламенты Заказчика и подтверждает готовность неукоснительного соблюдения в полном объеме предъявляемых Заказчиком требований;</w:t>
      </w:r>
    </w:p>
    <w:p>
      <w:pPr>
        <w:pStyle w:val="ListParagraph"/>
        <w:numPr>
          <w:ilvl w:val="0"/>
          <w:numId w:val="6"/>
        </w:numPr>
        <w:shd w:val="clear" w:color="auto" w:fill="FFFFFF"/>
        <w:tabs>
          <w:tab w:val="clear" w:pos="709"/>
          <w:tab w:val="left" w:pos="567" w:leader="none"/>
          <w:tab w:val="left" w:pos="1418" w:leader="none"/>
        </w:tabs>
        <w:ind w:left="0" w:firstLine="709"/>
        <w:jc w:val="both"/>
        <w:rPr/>
      </w:pPr>
      <w:r>
        <w:rPr/>
        <w:t>Исполнитель 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pPr>
        <w:pStyle w:val="ListParagraph"/>
        <w:numPr>
          <w:ilvl w:val="0"/>
          <w:numId w:val="6"/>
        </w:numPr>
        <w:shd w:val="clear" w:color="auto" w:fill="FFFFFF"/>
        <w:tabs>
          <w:tab w:val="clear" w:pos="709"/>
          <w:tab w:val="left" w:pos="567" w:leader="none"/>
          <w:tab w:val="left" w:pos="1418" w:leader="none"/>
        </w:tabs>
        <w:ind w:left="0" w:firstLine="709"/>
        <w:jc w:val="both"/>
        <w:rPr/>
      </w:pPr>
      <w:r>
        <w:rPr/>
        <w:t>вся информация, предоставленная Заказчику, является достоверной, полной и точной, и Исполнитель не скрыл никаких обстоятельств, которые при их обнаружении могли бы негативно повлиять на решение Заказчика заключить Договор на указанных в нем условиях.</w:t>
      </w:r>
    </w:p>
    <w:p>
      <w:pPr>
        <w:pStyle w:val="ListParagraph"/>
        <w:numPr>
          <w:ilvl w:val="1"/>
          <w:numId w:val="10"/>
        </w:numPr>
        <w:shd w:val="clear" w:color="auto" w:fill="FFFFFF"/>
        <w:tabs>
          <w:tab w:val="clear" w:pos="709"/>
          <w:tab w:val="left" w:pos="1134" w:leader="none"/>
          <w:tab w:val="left" w:pos="1418" w:leader="none"/>
        </w:tabs>
        <w:ind w:left="0" w:firstLine="709"/>
        <w:jc w:val="both"/>
        <w:rPr/>
      </w:pPr>
      <w:r>
        <w:rPr/>
        <w:t xml:space="preserve">При заключении и исполнении Договора каждая Сторона полагается на достоверность, точность и полноту заверений другой Стороны, изложенных в настоящем разделе Договора. </w:t>
      </w:r>
    </w:p>
    <w:p>
      <w:pPr>
        <w:pStyle w:val="ListParagraph"/>
        <w:numPr>
          <w:ilvl w:val="1"/>
          <w:numId w:val="10"/>
        </w:numPr>
        <w:shd w:val="clear" w:color="auto" w:fill="FFFFFF"/>
        <w:tabs>
          <w:tab w:val="clear" w:pos="709"/>
          <w:tab w:val="left" w:pos="1134" w:leader="none"/>
          <w:tab w:val="left" w:pos="1418" w:leader="none"/>
        </w:tabs>
        <w:ind w:left="0" w:firstLine="709"/>
        <w:jc w:val="both"/>
        <w:rPr/>
      </w:pPr>
      <w:r>
        <w:rPr/>
        <w:t xml:space="preserve">В случае, если </w:t>
      </w:r>
      <w:r>
        <w:rPr>
          <w:bCs/>
        </w:rPr>
        <w:t xml:space="preserve">Исполнитель </w:t>
      </w:r>
      <w:r>
        <w:rPr/>
        <w:t xml:space="preserve">при заключении Договора предоставил Заказчику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Pr>
          <w:bCs/>
        </w:rPr>
        <w:t>Исполнитель о</w:t>
      </w:r>
      <w:r>
        <w:rPr/>
        <w:t xml:space="preserve">бязан по письменному требованию Заказчика уплатить последнему штраф в размере 5 (пяти) процентов от Цены Договора, указанной в пункте </w:t>
      </w:r>
      <w:r>
        <w:rPr/>
        <w:fldChar w:fldCharType="begin"/>
      </w:r>
      <w:r>
        <w:rPr/>
        <w:instrText xml:space="preserve"> REF _Ref133402395 \r \h </w:instrText>
      </w:r>
      <w:r>
        <w:rPr/>
        <w:fldChar w:fldCharType="separate"/>
      </w:r>
      <w:r>
        <w:rPr/>
        <w:t>3.1</w:t>
      </w:r>
      <w:r>
        <w:rPr/>
        <w:fldChar w:fldCharType="end"/>
      </w:r>
      <w:r>
        <w:rPr/>
        <w:t>Договора.</w:t>
      </w:r>
    </w:p>
    <w:p>
      <w:pPr>
        <w:pStyle w:val="ListParagraph"/>
        <w:numPr>
          <w:ilvl w:val="1"/>
          <w:numId w:val="10"/>
        </w:numPr>
        <w:shd w:val="clear" w:color="auto" w:fill="FFFFFF"/>
        <w:tabs>
          <w:tab w:val="clear" w:pos="709"/>
          <w:tab w:val="left" w:pos="1134" w:leader="none"/>
          <w:tab w:val="left" w:pos="1418" w:leader="none"/>
        </w:tabs>
        <w:ind w:left="0" w:firstLine="709"/>
        <w:jc w:val="both"/>
        <w:rPr/>
      </w:pPr>
      <w:r>
        <w:rPr/>
        <w:t>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pPr>
        <w:pStyle w:val="ListParagraph"/>
        <w:shd w:val="clear" w:color="auto" w:fill="FFFFFF"/>
        <w:tabs>
          <w:tab w:val="clear" w:pos="709"/>
          <w:tab w:val="left" w:pos="1134" w:leader="none"/>
          <w:tab w:val="left" w:pos="1418" w:leader="none"/>
        </w:tabs>
        <w:ind w:left="0" w:firstLine="709"/>
        <w:jc w:val="both"/>
        <w:rPr>
          <w:b/>
        </w:rPr>
      </w:pPr>
      <w:r>
        <w:rPr>
          <w:b/>
        </w:rPr>
      </w:r>
    </w:p>
    <w:p>
      <w:pPr>
        <w:pStyle w:val="ListParagraph"/>
        <w:numPr>
          <w:ilvl w:val="0"/>
          <w:numId w:val="10"/>
        </w:numPr>
        <w:shd w:val="clear" w:color="auto" w:fill="FFFFFF"/>
        <w:tabs>
          <w:tab w:val="clear" w:pos="709"/>
          <w:tab w:val="left" w:pos="426" w:leader="none"/>
        </w:tabs>
        <w:ind w:left="0" w:hanging="0"/>
        <w:jc w:val="center"/>
        <w:rPr>
          <w:b/>
        </w:rPr>
      </w:pPr>
      <w:bookmarkStart w:id="33" w:name="_Ref133401502"/>
      <w:r>
        <w:rPr>
          <w:b/>
          <w:bCs/>
        </w:rPr>
        <w:t>П</w:t>
      </w:r>
      <w:bookmarkEnd w:id="33"/>
      <w:r>
        <w:rPr>
          <w:b/>
        </w:rPr>
        <w:t>рекращение (расторжение) Договора</w:t>
      </w:r>
    </w:p>
    <w:p>
      <w:pPr>
        <w:pStyle w:val="ListParagraph"/>
        <w:numPr>
          <w:ilvl w:val="1"/>
          <w:numId w:val="10"/>
        </w:numPr>
        <w:shd w:val="clear" w:color="auto" w:fill="FFFFFF"/>
        <w:tabs>
          <w:tab w:val="clear" w:pos="709"/>
          <w:tab w:val="left" w:pos="1134" w:leader="none"/>
        </w:tabs>
        <w:ind w:left="0" w:firstLine="709"/>
        <w:jc w:val="both"/>
        <w:rPr/>
      </w:pPr>
      <w:r>
        <w:rPr/>
        <w:t xml:space="preserve">Договор может быть прекращен (расторгнут) по соглашению Сторон. Сторона, имеющая намерение расторгнуть Договор, обязана направить письменное уведомление об этом другой Стороне в порядке, предусмотренном пунктом </w:t>
      </w:r>
      <w:r>
        <w:rPr/>
        <w:fldChar w:fldCharType="begin"/>
      </w:r>
      <w:r>
        <w:rPr/>
        <w:instrText xml:space="preserve"> REF _Ref133311805 \r \h </w:instrText>
      </w:r>
      <w:r>
        <w:rPr/>
        <w:fldChar w:fldCharType="separate"/>
      </w:r>
      <w:r>
        <w:rPr/>
        <w:t>14.8</w:t>
      </w:r>
      <w:r>
        <w:rPr/>
        <w:fldChar w:fldCharType="end"/>
      </w:r>
      <w:r>
        <w:rPr>
          <w:bCs/>
        </w:rPr>
        <w:t xml:space="preserve"> </w:t>
      </w:r>
      <w:r>
        <w:rPr/>
        <w:t>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20 (двадцати) календарных дней со дня его получения.</w:t>
      </w:r>
    </w:p>
    <w:p>
      <w:pPr>
        <w:pStyle w:val="ListParagraph"/>
        <w:numPr>
          <w:ilvl w:val="1"/>
          <w:numId w:val="10"/>
        </w:numPr>
        <w:shd w:val="clear" w:color="auto" w:fill="FFFFFF"/>
        <w:tabs>
          <w:tab w:val="clear" w:pos="709"/>
          <w:tab w:val="left" w:pos="1134" w:leader="none"/>
        </w:tabs>
        <w:ind w:left="0" w:firstLine="709"/>
        <w:jc w:val="both"/>
        <w:rPr/>
      </w:pPr>
      <w:r>
        <w:rPr/>
        <w:t xml:space="preserve">Заказчик вправе в любое время до сдачи ему результатов Услуг в одностороннем внесудебном порядке отказаться от Договора полностью или в части, при условии оплаты Исполнителю фактически понесенные им расходов оказанных до получения Исполнителем уведомления Заказчика об отказе от Договора (исполнения Договора). </w:t>
      </w:r>
    </w:p>
    <w:p>
      <w:pPr>
        <w:pStyle w:val="ListParagraph"/>
        <w:numPr>
          <w:ilvl w:val="1"/>
          <w:numId w:val="10"/>
        </w:numPr>
        <w:shd w:val="clear" w:color="auto" w:fill="FFFFFF"/>
        <w:tabs>
          <w:tab w:val="clear" w:pos="709"/>
          <w:tab w:val="left" w:pos="1134" w:leader="none"/>
        </w:tabs>
        <w:ind w:left="0" w:firstLine="709"/>
        <w:jc w:val="both"/>
        <w:rPr/>
      </w:pPr>
      <w:r>
        <w:rPr/>
        <w:t>Возмещение убытков Исполнителя, вызванных отказом от Договора (исполнения Договора), Заказчиком не производится.</w:t>
      </w:r>
    </w:p>
    <w:p>
      <w:pPr>
        <w:pStyle w:val="ListParagraph"/>
        <w:numPr>
          <w:ilvl w:val="1"/>
          <w:numId w:val="10"/>
        </w:numPr>
        <w:shd w:val="clear" w:color="auto" w:fill="FFFFFF"/>
        <w:tabs>
          <w:tab w:val="clear" w:pos="709"/>
          <w:tab w:val="left" w:pos="1134" w:leader="none"/>
        </w:tabs>
        <w:ind w:left="0" w:firstLine="709"/>
        <w:jc w:val="both"/>
        <w:rPr/>
      </w:pPr>
      <w:r>
        <w:rPr/>
        <w:t>В случае существенного нарушения Договора Исполнителем Заказчик вправе в одностороннем внесудебном порядке отказаться от Договора и потребовать полного возмещения Исполнителем убытков, причиненных отказом от Договора (исполнения Договора).</w:t>
      </w:r>
    </w:p>
    <w:p>
      <w:pPr>
        <w:pStyle w:val="ListParagraph"/>
        <w:shd w:val="clear" w:color="auto" w:fill="FFFFFF"/>
        <w:tabs>
          <w:tab w:val="clear" w:pos="709"/>
          <w:tab w:val="left" w:pos="1134" w:leader="none"/>
        </w:tabs>
        <w:ind w:left="0" w:firstLine="709"/>
        <w:jc w:val="both"/>
        <w:rPr/>
      </w:pPr>
      <w:r>
        <w:rPr/>
        <w:t>Заказчик одновременно с уведомлением об отказе от Договора (исполнения Договора) направляет Исполнителю письменное требование о возмещении убытков с приложением расчета суммы убытков. Исполнитель обязан оплатить Заказчику убытки не позднее 15 (пятнадцати) календарных дней с момента получения расчета суммы убытков от Заказчика.</w:t>
      </w:r>
    </w:p>
    <w:p>
      <w:pPr>
        <w:pStyle w:val="ListParagraph"/>
        <w:numPr>
          <w:ilvl w:val="1"/>
          <w:numId w:val="10"/>
        </w:numPr>
        <w:shd w:val="clear" w:color="auto" w:fill="FFFFFF"/>
        <w:tabs>
          <w:tab w:val="clear" w:pos="709"/>
          <w:tab w:val="left" w:pos="1134" w:leader="none"/>
        </w:tabs>
        <w:ind w:left="0" w:firstLine="709"/>
        <w:jc w:val="both"/>
        <w:rPr/>
      </w:pPr>
      <w:r>
        <w:rPr/>
        <w:t>Стороны установили, что существенным нарушением Договора Исполнителем является:</w:t>
      </w:r>
    </w:p>
    <w:p>
      <w:pPr>
        <w:pStyle w:val="ListParagraph"/>
        <w:numPr>
          <w:ilvl w:val="0"/>
          <w:numId w:val="4"/>
        </w:numPr>
        <w:tabs>
          <w:tab w:val="clear" w:pos="709"/>
          <w:tab w:val="left" w:pos="1134" w:leader="none"/>
        </w:tabs>
        <w:ind w:left="0" w:right="23" w:firstLine="709"/>
        <w:jc w:val="both"/>
        <w:rPr/>
      </w:pPr>
      <w:r>
        <w:rPr/>
        <w:t>нарушение Исполнителем начального и конечного сроков оказания Услуг по Договору более чем на 20 (двадцать) календарных дней по причинам, не зависящим от Заказчика;</w:t>
      </w:r>
    </w:p>
    <w:p>
      <w:pPr>
        <w:pStyle w:val="ListParagraph"/>
        <w:numPr>
          <w:ilvl w:val="0"/>
          <w:numId w:val="4"/>
        </w:numPr>
        <w:tabs>
          <w:tab w:val="clear" w:pos="709"/>
          <w:tab w:val="left" w:pos="1134" w:leader="none"/>
        </w:tabs>
        <w:ind w:left="0" w:firstLine="709"/>
        <w:jc w:val="both"/>
        <w:rPr/>
      </w:pPr>
      <w:r>
        <w:rPr/>
        <w:t>несоблюдение Исполнителем требований к качеству Услуг и / или используемых при оказании Услуг материально-технических ресурсов, если исправление выявленных Заказчиком недостатков Услуг влечет нарушение сроков оказания Услуг более чем на 20 (двадцать) календарных дней либо такие недостатки являются неустранимыми;</w:t>
      </w:r>
    </w:p>
    <w:p>
      <w:pPr>
        <w:pStyle w:val="ListParagraph"/>
        <w:numPr>
          <w:ilvl w:val="0"/>
          <w:numId w:val="4"/>
        </w:numPr>
        <w:tabs>
          <w:tab w:val="clear" w:pos="709"/>
          <w:tab w:val="left" w:pos="1134" w:leader="none"/>
        </w:tabs>
        <w:ind w:left="0" w:firstLine="709"/>
        <w:jc w:val="both"/>
        <w:rPr/>
      </w:pPr>
      <w:r>
        <w:rPr/>
        <w:t>отсутствие (по причине отзыва, прекращения, приостановления действия, признания недействительным или по другим основаниям) допусков, разрешений и / или лицензий;</w:t>
      </w:r>
    </w:p>
    <w:p>
      <w:pPr>
        <w:pStyle w:val="ListParagraph"/>
        <w:numPr>
          <w:ilvl w:val="0"/>
          <w:numId w:val="4"/>
        </w:numPr>
        <w:tabs>
          <w:tab w:val="clear" w:pos="709"/>
          <w:tab w:val="left" w:pos="1134" w:leader="none"/>
        </w:tabs>
        <w:ind w:left="0" w:firstLine="709"/>
        <w:jc w:val="both"/>
        <w:rPr/>
      </w:pPr>
      <w:r>
        <w:rPr/>
        <w:t>принятие актов государственных органов или организаций, лишающих Исполнителя в установленном порядке права на оказание Услуг по Договору;</w:t>
      </w:r>
    </w:p>
    <w:p>
      <w:pPr>
        <w:pStyle w:val="ListParagraph"/>
        <w:numPr>
          <w:ilvl w:val="0"/>
          <w:numId w:val="4"/>
        </w:numPr>
        <w:tabs>
          <w:tab w:val="clear" w:pos="709"/>
          <w:tab w:val="left" w:pos="1134" w:leader="none"/>
        </w:tabs>
        <w:ind w:left="0" w:firstLine="709"/>
        <w:jc w:val="both"/>
        <w:rPr/>
      </w:pPr>
      <w:r>
        <w:rPr/>
        <w:t>наложение ареста на имущество Исполнителя, введение арбитражным судом процедуры несостоятельности (банкротства) в отношении Исполнителя;</w:t>
      </w:r>
    </w:p>
    <w:p>
      <w:pPr>
        <w:pStyle w:val="Normal"/>
        <w:numPr>
          <w:ilvl w:val="0"/>
          <w:numId w:val="4"/>
        </w:numPr>
        <w:tabs>
          <w:tab w:val="clear" w:pos="709"/>
          <w:tab w:val="left" w:pos="1134" w:leader="none"/>
        </w:tabs>
        <w:ind w:left="0" w:firstLine="709"/>
        <w:jc w:val="both"/>
        <w:rPr/>
      </w:pPr>
      <w:r>
        <w:rPr/>
        <w:t>нарушение более чем на 20 (двадцать) календарных дней сроков предоставления документов, подтверждающих обеспечение обязательств по возврату аванса и иных платежей по Договору, отказ в предоставлении Заказчику таких документов;</w:t>
      </w:r>
    </w:p>
    <w:p>
      <w:pPr>
        <w:pStyle w:val="ListParagraph"/>
        <w:numPr>
          <w:ilvl w:val="0"/>
          <w:numId w:val="4"/>
        </w:numPr>
        <w:tabs>
          <w:tab w:val="clear" w:pos="709"/>
          <w:tab w:val="left" w:pos="1134" w:leader="none"/>
        </w:tabs>
        <w:ind w:left="0" w:firstLine="709"/>
        <w:jc w:val="both"/>
        <w:rPr/>
      </w:pPr>
      <w:r>
        <w:rPr/>
        <w:t xml:space="preserve">установление в ходе исполнения Договора фактов несоответствия Исполнителя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Исполнителя об обстоятельствах, указанных в разделе </w:t>
      </w:r>
      <w:r>
        <w:rPr/>
        <w:fldChar w:fldCharType="begin"/>
      </w:r>
      <w:r>
        <w:rPr/>
        <w:instrText xml:space="preserve"> REF _Ref131768417 \r \h </w:instrText>
      </w:r>
      <w:r>
        <w:rPr/>
        <w:fldChar w:fldCharType="separate"/>
      </w:r>
      <w:r>
        <w:rPr/>
        <w:t>12</w:t>
      </w:r>
      <w:r>
        <w:rPr/>
        <w:fldChar w:fldCharType="end"/>
      </w:r>
      <w:r>
        <w:rPr/>
        <w:t xml:space="preserve"> Договора, и имеющих существенное значение для его заключения и исполнения.</w:t>
      </w:r>
    </w:p>
    <w:p>
      <w:pPr>
        <w:pStyle w:val="ListParagraph"/>
        <w:numPr>
          <w:ilvl w:val="1"/>
          <w:numId w:val="10"/>
        </w:numPr>
        <w:shd w:val="clear" w:color="auto" w:fill="FFFFFF"/>
        <w:tabs>
          <w:tab w:val="clear" w:pos="709"/>
          <w:tab w:val="left" w:pos="1134" w:leader="none"/>
        </w:tabs>
        <w:ind w:left="0" w:firstLine="709"/>
        <w:jc w:val="both"/>
        <w:rPr/>
      </w:pPr>
      <w:r>
        <w:rPr/>
        <w:t xml:space="preserve">В случае отказа Заказчика от Договора в случаях, предусмотренных пунктами 14.2 - 14.4 Договора, последний считается прекращенным (расторгнутым) со дня, следующего за днем получения Исполнителем уведомления Заказчика об отказе от Договора (исполнения Договора). </w:t>
      </w:r>
    </w:p>
    <w:p>
      <w:pPr>
        <w:pStyle w:val="ListParagraph"/>
        <w:numPr>
          <w:ilvl w:val="1"/>
          <w:numId w:val="10"/>
        </w:numPr>
        <w:shd w:val="clear" w:color="auto" w:fill="FFFFFF"/>
        <w:tabs>
          <w:tab w:val="clear" w:pos="709"/>
          <w:tab w:val="left" w:pos="1134" w:leader="none"/>
        </w:tabs>
        <w:ind w:left="0" w:firstLine="709"/>
        <w:jc w:val="both"/>
        <w:rPr/>
      </w:pPr>
      <w:r>
        <w:rPr/>
        <w:t>С даты прекращения Договора Исполнитель обязан прекратить оказание Услуг, и в согласованные Сторонами сроки:</w:t>
      </w:r>
    </w:p>
    <w:p>
      <w:pPr>
        <w:pStyle w:val="ListParagraph"/>
        <w:numPr>
          <w:ilvl w:val="0"/>
          <w:numId w:val="9"/>
        </w:numPr>
        <w:shd w:val="clear" w:color="auto" w:fill="FFFFFF"/>
        <w:tabs>
          <w:tab w:val="clear" w:pos="709"/>
          <w:tab w:val="left" w:pos="1134" w:leader="none"/>
          <w:tab w:val="left" w:pos="1418" w:leader="none"/>
        </w:tabs>
        <w:ind w:left="0" w:firstLine="709"/>
        <w:jc w:val="both"/>
        <w:rPr/>
      </w:pPr>
      <w:r>
        <w:rPr/>
        <w:t>передать Заказчику результат Услуг, техническую и иную полученную документацию;</w:t>
      </w:r>
    </w:p>
    <w:p>
      <w:pPr>
        <w:pStyle w:val="ListParagraph"/>
        <w:numPr>
          <w:ilvl w:val="1"/>
          <w:numId w:val="10"/>
        </w:numPr>
        <w:shd w:val="clear" w:color="auto" w:fill="FFFFFF"/>
        <w:tabs>
          <w:tab w:val="clear" w:pos="709"/>
          <w:tab w:val="left" w:pos="1134" w:leader="none"/>
        </w:tabs>
        <w:ind w:left="0" w:firstLine="709"/>
        <w:jc w:val="both"/>
        <w:rPr/>
      </w:pPr>
      <w:r>
        <w:rPr/>
        <w:t>При прекращении (расторжении) Договора по основаниям, указанным в настоящем разделе, все обязательства Сторон по Договору считаются прекратившимися, за исключением обязательств по незавершенным расчетам, а также обязательств Исполнителя по возмещению неустойки (пени), штрафов и убытков в случаях и размерах, предусмотренных Договором.</w:t>
      </w:r>
    </w:p>
    <w:p>
      <w:pPr>
        <w:pStyle w:val="ListParagraph"/>
        <w:shd w:val="clear" w:color="auto" w:fill="FFFFFF"/>
        <w:tabs>
          <w:tab w:val="clear" w:pos="709"/>
          <w:tab w:val="left" w:pos="1134" w:leader="none"/>
        </w:tabs>
        <w:ind w:left="0" w:hanging="0"/>
        <w:jc w:val="both"/>
        <w:rPr/>
      </w:pPr>
      <w:r>
        <w:rPr/>
      </w:r>
    </w:p>
    <w:p>
      <w:pPr>
        <w:pStyle w:val="ListParagraph"/>
        <w:numPr>
          <w:ilvl w:val="0"/>
          <w:numId w:val="10"/>
        </w:numPr>
        <w:shd w:val="clear" w:color="auto" w:fill="FFFFFF"/>
        <w:tabs>
          <w:tab w:val="clear" w:pos="709"/>
          <w:tab w:val="left" w:pos="426" w:leader="none"/>
        </w:tabs>
        <w:ind w:left="0" w:hanging="0"/>
        <w:jc w:val="center"/>
        <w:rPr>
          <w:b/>
          <w:bCs/>
        </w:rPr>
      </w:pPr>
      <w:r>
        <w:rPr>
          <w:b/>
          <w:bCs/>
        </w:rPr>
        <w:t>Заключительные положения</w:t>
      </w:r>
    </w:p>
    <w:p>
      <w:pPr>
        <w:pStyle w:val="ListParagraph"/>
        <w:numPr>
          <w:ilvl w:val="1"/>
          <w:numId w:val="10"/>
        </w:numPr>
        <w:shd w:val="clear" w:color="auto" w:fill="FFFFFF"/>
        <w:tabs>
          <w:tab w:val="clear" w:pos="709"/>
          <w:tab w:val="left" w:pos="1134" w:leader="none"/>
          <w:tab w:val="left" w:pos="1418" w:leader="none"/>
        </w:tabs>
        <w:ind w:left="0" w:firstLine="709"/>
        <w:jc w:val="both"/>
        <w:rPr/>
      </w:pPr>
      <w:r>
        <w:rPr/>
        <w:t xml:space="preserve">Договор вступает в силу с даты его подписания Сторонами и действует до полного исполнения ими принятых на себя обязательств. </w:t>
      </w:r>
    </w:p>
    <w:p>
      <w:pPr>
        <w:pStyle w:val="Normal"/>
        <w:numPr>
          <w:ilvl w:val="1"/>
          <w:numId w:val="10"/>
        </w:numPr>
        <w:snapToGrid w:val="false"/>
        <w:ind w:left="0" w:firstLine="709"/>
        <w:jc w:val="both"/>
        <w:rPr>
          <w:highlight w:val="lightGray"/>
          <w:lang w:eastAsia="en-US"/>
        </w:rPr>
      </w:pPr>
      <w:r>
        <w:rPr>
          <w:highlight w:val="lightGray"/>
          <w:lang w:eastAsia="en-US"/>
        </w:rPr>
        <w:t xml:space="preserve">Договор заключается в электронной форме с использованием программно-аппаратных средств информационной системы электронного документооборота общего пользования путем его подписания усиленными квалифицированными электронными подписями (далее – УКЭП) уполномоченных представителей Сторон. </w:t>
      </w:r>
    </w:p>
    <w:p>
      <w:pPr>
        <w:pStyle w:val="Normal"/>
        <w:ind w:firstLine="709"/>
        <w:jc w:val="both"/>
        <w:rPr>
          <w:lang w:eastAsia="en-US"/>
        </w:rPr>
      </w:pPr>
      <w:r>
        <w:rPr>
          <w:highlight w:val="lightGray"/>
          <w:lang w:eastAsia="en-US"/>
        </w:rPr>
        <w:t>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r>
        <w:rPr>
          <w:rStyle w:val="FootnoteReference"/>
          <w:highlight w:val="lightGray"/>
          <w:lang w:eastAsia="en-US"/>
        </w:rPr>
        <w:footnoteReference w:id="2"/>
      </w:r>
      <w:r>
        <w:rPr>
          <w:highlight w:val="lightGray"/>
          <w:lang w:eastAsia="en-US"/>
        </w:rPr>
        <w:t>.</w:t>
      </w:r>
    </w:p>
    <w:p>
      <w:pPr>
        <w:pStyle w:val="ListParagraph"/>
        <w:numPr>
          <w:ilvl w:val="1"/>
          <w:numId w:val="10"/>
        </w:numPr>
        <w:shd w:val="clear" w:color="auto" w:fill="FFFFFF"/>
        <w:tabs>
          <w:tab w:val="clear" w:pos="709"/>
          <w:tab w:val="left" w:pos="1134" w:leader="none"/>
          <w:tab w:val="left" w:pos="1418" w:leader="none"/>
        </w:tabs>
        <w:ind w:left="0" w:firstLine="709"/>
        <w:jc w:val="both"/>
        <w:rPr/>
      </w:pPr>
      <w:r>
        <w:rPr/>
        <w:t xml:space="preserve">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 за исключением случаев изменения реквизитов Сторон, предусмотренных пунктом </w:t>
      </w:r>
      <w:r>
        <w:rPr/>
        <w:fldChar w:fldCharType="begin"/>
      </w:r>
      <w:r>
        <w:rPr/>
        <w:instrText xml:space="preserve"> REF _Ref133312344 \r \h </w:instrText>
      </w:r>
      <w:r>
        <w:rPr/>
        <w:fldChar w:fldCharType="separate"/>
      </w:r>
      <w:r>
        <w:rPr/>
        <w:t>14.7</w:t>
      </w:r>
      <w:r>
        <w:rPr/>
        <w:fldChar w:fldCharType="end"/>
      </w:r>
      <w:r>
        <w:rPr>
          <w:highlight w:val="lightGray"/>
        </w:rPr>
        <w:t xml:space="preserve"> </w:t>
      </w:r>
      <w:r>
        <w:rPr/>
        <w:t xml:space="preserve">Договора. </w:t>
      </w:r>
    </w:p>
    <w:p>
      <w:pPr>
        <w:pStyle w:val="ListParagraph"/>
        <w:numPr>
          <w:ilvl w:val="1"/>
          <w:numId w:val="10"/>
        </w:numPr>
        <w:shd w:val="clear" w:color="auto" w:fill="FFFFFF"/>
        <w:tabs>
          <w:tab w:val="clear" w:pos="709"/>
          <w:tab w:val="left" w:pos="1134" w:leader="none"/>
          <w:tab w:val="left" w:pos="1418" w:leader="none"/>
        </w:tabs>
        <w:ind w:left="0" w:firstLine="709"/>
        <w:jc w:val="both"/>
        <w:rPr/>
      </w:pPr>
      <w:r>
        <w:rPr/>
        <w:t>Все приложения к Договору, а также любые изменения и дополнения, оформленные надлежащим образом, являются неотъемлемой частью Договора.</w:t>
      </w:r>
    </w:p>
    <w:p>
      <w:pPr>
        <w:pStyle w:val="ListParagraph"/>
        <w:numPr>
          <w:ilvl w:val="1"/>
          <w:numId w:val="10"/>
        </w:numPr>
        <w:shd w:val="clear" w:color="auto" w:fill="FFFFFF"/>
        <w:tabs>
          <w:tab w:val="clear" w:pos="709"/>
          <w:tab w:val="left" w:pos="1134" w:leader="none"/>
          <w:tab w:val="left" w:pos="1418" w:leader="none"/>
        </w:tabs>
        <w:ind w:left="0" w:firstLine="709"/>
        <w:jc w:val="both"/>
        <w:rPr/>
      </w:pPr>
      <w:r>
        <w:rPr/>
        <w:t>В случае наличия любых расхождений между содержанием Договора и приложений к нему, приоритет имеет текст Договора.</w:t>
      </w:r>
    </w:p>
    <w:p>
      <w:pPr>
        <w:pStyle w:val="ListParagraph"/>
        <w:numPr>
          <w:ilvl w:val="1"/>
          <w:numId w:val="10"/>
        </w:numPr>
        <w:shd w:val="clear" w:color="auto" w:fill="FFFFFF"/>
        <w:tabs>
          <w:tab w:val="clear" w:pos="709"/>
          <w:tab w:val="left" w:pos="1134" w:leader="none"/>
          <w:tab w:val="left" w:pos="1418" w:leader="none"/>
        </w:tabs>
        <w:ind w:left="0" w:firstLine="709"/>
        <w:jc w:val="both"/>
        <w:rPr/>
      </w:pPr>
      <w:r>
        <w:rPr/>
        <w:t xml:space="preserve">Обмен информацией между Сторонами по любым вопросам, связанным с исполнением Договора, включая уведомления и иные сообщения, осуществляется только в письменной форме в порядке, предусмотренном пунктом </w:t>
      </w:r>
      <w:r>
        <w:rPr/>
        <w:fldChar w:fldCharType="begin"/>
      </w:r>
      <w:r>
        <w:rPr/>
        <w:instrText xml:space="preserve"> REF _Ref133311805 \r \h </w:instrText>
      </w:r>
      <w:r>
        <w:rPr/>
        <w:fldChar w:fldCharType="separate"/>
      </w:r>
      <w:r>
        <w:rPr/>
        <w:t>14.8</w:t>
      </w:r>
      <w:r>
        <w:rPr/>
        <w:fldChar w:fldCharType="end"/>
      </w:r>
      <w:r>
        <w:rPr>
          <w:bCs/>
        </w:rPr>
        <w:t xml:space="preserve"> </w:t>
      </w:r>
      <w:r>
        <w:rPr/>
        <w:t xml:space="preserve"> Договора. Использование средств электронной связи не допускается, за исключением случаев оперативного обмена информацией, которая не влечет возникновения, изменения либо прекращения гражданских прав и обязанностей Стороны.</w:t>
      </w:r>
    </w:p>
    <w:p>
      <w:pPr>
        <w:pStyle w:val="ListParagraph"/>
        <w:numPr>
          <w:ilvl w:val="1"/>
          <w:numId w:val="10"/>
        </w:numPr>
        <w:shd w:val="clear" w:color="auto" w:fill="FFFFFF"/>
        <w:tabs>
          <w:tab w:val="clear" w:pos="709"/>
          <w:tab w:val="left" w:pos="1134" w:leader="none"/>
          <w:tab w:val="left" w:pos="1418" w:leader="none"/>
        </w:tabs>
        <w:ind w:left="0" w:firstLine="709"/>
        <w:jc w:val="both"/>
        <w:rPr/>
      </w:pPr>
      <w:bookmarkStart w:id="34" w:name="_Ref133312344"/>
      <w:r>
        <w:rPr/>
        <w:t xml:space="preserve">Стороны обязуются уведомлять друг друга об изменении адреса и / или реквизитов, указанных в разделе  </w:t>
      </w:r>
      <w:r>
        <w:rPr/>
        <w:fldChar w:fldCharType="begin"/>
      </w:r>
      <w:r>
        <w:rPr/>
        <w:instrText xml:space="preserve"> REF _Ref133312353 \r \h </w:instrText>
      </w:r>
      <w:r>
        <w:rPr/>
        <w:fldChar w:fldCharType="separate"/>
      </w:r>
      <w:r>
        <w:rPr/>
        <w:t>16</w:t>
      </w:r>
      <w:r>
        <w:rPr/>
        <w:fldChar w:fldCharType="end"/>
      </w:r>
      <w:r>
        <w:rPr/>
        <w:t xml:space="preserve"> Договора, не позднее 3 (трех) рабочих дней после такого изменения в порядке, установленном пунктом </w:t>
      </w:r>
      <w:r>
        <w:rPr/>
        <w:fldChar w:fldCharType="begin"/>
      </w:r>
      <w:r>
        <w:rPr/>
        <w:instrText xml:space="preserve"> REF _Ref133311805 \r \h </w:instrText>
      </w:r>
      <w:r>
        <w:rPr/>
        <w:fldChar w:fldCharType="separate"/>
      </w:r>
      <w:r>
        <w:rPr/>
        <w:t>14.8</w:t>
      </w:r>
      <w:r>
        <w:rPr/>
        <w:fldChar w:fldCharType="end"/>
      </w:r>
      <w:r>
        <w:rPr>
          <w:bCs/>
        </w:rPr>
        <w:t xml:space="preserve"> </w:t>
      </w:r>
      <w:r>
        <w:rPr/>
        <w:t>Договора.</w:t>
      </w:r>
      <w:bookmarkEnd w:id="34"/>
      <w:r>
        <w:rPr/>
        <w:t xml:space="preserve"> </w:t>
      </w:r>
    </w:p>
    <w:p>
      <w:pPr>
        <w:pStyle w:val="ListParagraph"/>
        <w:numPr>
          <w:ilvl w:val="1"/>
          <w:numId w:val="10"/>
        </w:numPr>
        <w:shd w:val="clear" w:color="auto" w:fill="FFFFFF"/>
        <w:tabs>
          <w:tab w:val="clear" w:pos="709"/>
          <w:tab w:val="left" w:pos="1418" w:leader="none"/>
          <w:tab w:val="left" w:pos="1560" w:leader="none"/>
        </w:tabs>
        <w:ind w:left="0" w:firstLine="709"/>
        <w:jc w:val="both"/>
        <w:rPr/>
      </w:pPr>
      <w:bookmarkStart w:id="35" w:name="_Ref133311805"/>
      <w:r>
        <w:rPr/>
        <w:t xml:space="preserve">Письма, уведомления и / или сообщения направляются Стороне-получателю по адресу ее места нахождения, указанному в разделе </w:t>
      </w:r>
      <w:r>
        <w:rPr>
          <w:highlight w:val="lightGray"/>
        </w:rPr>
        <w:t xml:space="preserve"> </w:t>
      </w:r>
      <w:r>
        <w:rPr/>
        <w:fldChar w:fldCharType="begin"/>
      </w:r>
      <w:r>
        <w:rPr/>
        <w:instrText xml:space="preserve"> REF _Ref133312353 \r \h </w:instrText>
      </w:r>
      <w:r>
        <w:rPr/>
        <w:fldChar w:fldCharType="separate"/>
      </w:r>
      <w:r>
        <w:rPr/>
        <w:t>16</w:t>
      </w:r>
      <w:r>
        <w:rPr/>
        <w:fldChar w:fldCharType="end"/>
      </w:r>
      <w:bookmarkEnd w:id="35"/>
      <w:r>
        <w:rPr/>
        <w:t xml:space="preserve"> Договора, или в ранее полученном уведомлении Стороны об изменении адреса, одним из следующих способов, при этом документ будет считаться полученным:</w:t>
      </w:r>
    </w:p>
    <w:p>
      <w:pPr>
        <w:pStyle w:val="ListParagraph"/>
        <w:numPr>
          <w:ilvl w:val="2"/>
          <w:numId w:val="10"/>
        </w:numPr>
        <w:shd w:val="clear" w:color="auto" w:fill="FFFFFF"/>
        <w:tabs>
          <w:tab w:val="clear" w:pos="709"/>
          <w:tab w:val="left" w:pos="1418" w:leader="none"/>
          <w:tab w:val="left" w:pos="1560" w:leader="none"/>
        </w:tabs>
        <w:ind w:left="0" w:firstLine="709"/>
        <w:jc w:val="both"/>
        <w:rPr>
          <w:bCs/>
        </w:rPr>
      </w:pPr>
      <w:r>
        <w:rPr>
          <w:bCs/>
        </w:rPr>
        <w:t>доставкой лично или курьером Стороны-отправителя – в дату и время фактического приема уведомления Стороной-получателем с отметкой о получении;</w:t>
      </w:r>
    </w:p>
    <w:p>
      <w:pPr>
        <w:pStyle w:val="ListParagraph"/>
        <w:numPr>
          <w:ilvl w:val="2"/>
          <w:numId w:val="10"/>
        </w:numPr>
        <w:shd w:val="clear" w:color="auto" w:fill="FFFFFF"/>
        <w:tabs>
          <w:tab w:val="clear" w:pos="709"/>
          <w:tab w:val="left" w:pos="1418" w:leader="none"/>
          <w:tab w:val="left" w:pos="1560" w:leader="none"/>
        </w:tabs>
        <w:ind w:left="0" w:firstLine="709"/>
        <w:jc w:val="both"/>
        <w:rPr/>
      </w:pPr>
      <w:r>
        <w:rPr>
          <w:bCs/>
        </w:rPr>
        <w:t xml:space="preserve">заказным почтовым отправлением с уведомлением о вручении – </w:t>
      </w:r>
      <w:r>
        <w:rPr/>
        <w:t xml:space="preserve">в дату фактического </w:t>
      </w:r>
      <w:r>
        <w:rPr>
          <w:bCs/>
        </w:rPr>
        <w:t>вручения</w:t>
      </w:r>
      <w:r>
        <w:rPr/>
        <w:t xml:space="preserve">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p>
    <w:p>
      <w:pPr>
        <w:pStyle w:val="ListParagraph"/>
        <w:numPr>
          <w:ilvl w:val="2"/>
          <w:numId w:val="10"/>
        </w:numPr>
        <w:shd w:val="clear" w:color="auto" w:fill="FFFFFF"/>
        <w:tabs>
          <w:tab w:val="clear" w:pos="709"/>
          <w:tab w:val="left" w:pos="1418" w:leader="none"/>
          <w:tab w:val="left" w:pos="1560" w:leader="none"/>
        </w:tabs>
        <w:ind w:left="0" w:firstLine="709"/>
        <w:jc w:val="both"/>
        <w:rPr>
          <w:bCs/>
        </w:rPr>
      </w:pPr>
      <w:r>
        <w:rPr>
          <w:bCs/>
        </w:rPr>
        <w:t>посредством электронной почты (</w:t>
      </w:r>
      <w:r>
        <w:rPr>
          <w:bCs/>
          <w:lang w:val="en-US"/>
        </w:rPr>
        <w:t>e</w:t>
      </w:r>
      <w:r>
        <w:rPr>
          <w:bCs/>
        </w:rPr>
        <w:t>-</w:t>
      </w:r>
      <w:r>
        <w:rPr>
          <w:bCs/>
          <w:lang w:val="en-US"/>
        </w:rPr>
        <w:t>mail</w:t>
      </w:r>
      <w:r>
        <w:rPr>
          <w:bCs/>
        </w:rPr>
        <w:t>) – в дату направления электронного сообщения, зафиксированную на почтовом сервере отправителя.</w:t>
      </w:r>
    </w:p>
    <w:p>
      <w:pPr>
        <w:pStyle w:val="ListParagraph"/>
        <w:shd w:val="clear" w:color="auto" w:fill="FFFFFF"/>
        <w:tabs>
          <w:tab w:val="clear" w:pos="709"/>
          <w:tab w:val="left" w:pos="1134" w:leader="none"/>
        </w:tabs>
        <w:ind w:left="0" w:firstLine="709"/>
        <w:jc w:val="both"/>
        <w:rPr>
          <w:bCs/>
        </w:rPr>
      </w:pPr>
      <w:r>
        <w:rPr>
          <w:bCs/>
        </w:rPr>
        <w:t>Оригиналы документов, направленные посредством электронной почты, должны не позднее следующего рабочего дня быть направлены Стороной-отправителем способами, указанными в пунктах 15.8.1. – 15.8.2. Договора.</w:t>
      </w:r>
    </w:p>
    <w:p>
      <w:pPr>
        <w:pStyle w:val="ListParagraph"/>
        <w:numPr>
          <w:ilvl w:val="1"/>
          <w:numId w:val="10"/>
        </w:numPr>
        <w:shd w:val="clear" w:color="auto" w:fill="FFFFFF"/>
        <w:tabs>
          <w:tab w:val="clear" w:pos="709"/>
          <w:tab w:val="left" w:pos="1418" w:leader="none"/>
        </w:tabs>
        <w:ind w:left="0" w:firstLine="709"/>
        <w:jc w:val="both"/>
        <w:rPr>
          <w:bCs/>
        </w:rPr>
      </w:pPr>
      <w:r>
        <w:rPr>
          <w:bCs/>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w:t>
      </w:r>
      <w:r>
        <w:rPr/>
        <w:t>законодательством</w:t>
      </w:r>
      <w:r>
        <w:rPr>
          <w:bCs/>
        </w:rPr>
        <w:t xml:space="preserve"> Российской Федерации или Договором, не означает отказ от такого права и не влечет прекращения возможности реализовать это право в будущем. </w:t>
      </w:r>
    </w:p>
    <w:p>
      <w:pPr>
        <w:pStyle w:val="ListParagraph"/>
        <w:numPr>
          <w:ilvl w:val="1"/>
          <w:numId w:val="10"/>
        </w:numPr>
        <w:shd w:val="clear" w:color="auto" w:fill="FFFFFF"/>
        <w:tabs>
          <w:tab w:val="clear" w:pos="709"/>
          <w:tab w:val="left" w:pos="1418" w:leader="none"/>
        </w:tabs>
        <w:ind w:left="0" w:firstLine="709"/>
        <w:jc w:val="both"/>
        <w:rPr>
          <w:bCs/>
        </w:rPr>
      </w:pPr>
      <w:r>
        <w:rPr/>
        <w:t>Уступка (</w:t>
      </w:r>
      <w:r>
        <w:rPr>
          <w:bCs/>
        </w:rPr>
        <w:t>передача</w:t>
      </w:r>
      <w:r>
        <w:rPr/>
        <w:t xml:space="preserve">), в том числе в залог, прав (требований) к Заказчику по денежным обязательствам, </w:t>
      </w:r>
      <w:r>
        <w:rPr>
          <w:bCs/>
        </w:rPr>
        <w:t xml:space="preserve">возникшим из Договора, и </w:t>
      </w:r>
      <w:r>
        <w:rPr/>
        <w:t>принадлежащих Исполнителю</w:t>
      </w:r>
      <w:r>
        <w:rPr>
          <w:bCs/>
        </w:rPr>
        <w:t>, осуществляется</w:t>
      </w:r>
      <w:r>
        <w:rPr/>
        <w:t xml:space="preserve"> только </w:t>
      </w:r>
      <w:r>
        <w:rPr>
          <w:bCs/>
        </w:rPr>
        <w:t>при условии</w:t>
      </w:r>
      <w:r>
        <w:rPr/>
        <w:t xml:space="preserve"> предварительного письменного согласия Заказчика и оформляется </w:t>
      </w:r>
      <w:r>
        <w:rPr>
          <w:bCs/>
        </w:rPr>
        <w:t>трёхсторонним</w:t>
      </w:r>
      <w:r>
        <w:rPr/>
        <w:t xml:space="preserve"> договором</w:t>
      </w:r>
      <w:r>
        <w:rPr>
          <w:bCs/>
        </w:rPr>
        <w:t>.</w:t>
      </w:r>
      <w:r>
        <w:rPr/>
        <w:t xml:space="preserve"> </w:t>
      </w:r>
    </w:p>
    <w:p>
      <w:pPr>
        <w:pStyle w:val="ListParagraph"/>
        <w:numPr>
          <w:ilvl w:val="1"/>
          <w:numId w:val="10"/>
        </w:numPr>
        <w:shd w:val="clear" w:color="auto" w:fill="FFFFFF"/>
        <w:tabs>
          <w:tab w:val="clear" w:pos="709"/>
          <w:tab w:val="left" w:pos="1418" w:leader="none"/>
        </w:tabs>
        <w:ind w:left="0" w:firstLine="709"/>
        <w:jc w:val="both"/>
        <w:rPr/>
      </w:pPr>
      <w:r>
        <w:rPr/>
        <w:t xml:space="preserve">Во всем остальном, что не урегулировано Договором, Стороны руководствуются законодательством Российской Федерации. </w:t>
      </w:r>
    </w:p>
    <w:p>
      <w:pPr>
        <w:pStyle w:val="ListParagraph"/>
        <w:numPr>
          <w:ilvl w:val="1"/>
          <w:numId w:val="10"/>
        </w:numPr>
        <w:shd w:val="clear" w:color="auto" w:fill="FFFFFF"/>
        <w:tabs>
          <w:tab w:val="clear" w:pos="709"/>
          <w:tab w:val="left" w:pos="1418" w:leader="none"/>
        </w:tabs>
        <w:ind w:left="0" w:firstLine="709"/>
        <w:jc w:val="both"/>
        <w:rPr/>
      </w:pPr>
      <w:r>
        <w:rPr/>
        <w:t>Договор составлен в 2 (двух) оригинальных экземплярах, имеющих равную юридическую силу, по 1 (одному) для каждой из Сторон</w:t>
      </w:r>
      <w:r>
        <w:rPr>
          <w:rStyle w:val="FootnoteReference"/>
        </w:rPr>
        <w:footnoteReference w:id="3"/>
      </w:r>
      <w:r>
        <w:rPr>
          <w:highlight w:val="lightGray"/>
        </w:rPr>
        <w:t>.</w:t>
      </w:r>
    </w:p>
    <w:p>
      <w:pPr>
        <w:pStyle w:val="Normal"/>
        <w:shd w:val="clear" w:color="auto" w:fill="FFFFFF"/>
        <w:tabs>
          <w:tab w:val="clear" w:pos="709"/>
          <w:tab w:val="left" w:pos="1418" w:leader="none"/>
        </w:tabs>
        <w:ind w:firstLine="426"/>
        <w:jc w:val="both"/>
        <w:rPr/>
      </w:pPr>
      <w:r>
        <w:rPr/>
      </w:r>
    </w:p>
    <w:p>
      <w:pPr>
        <w:pStyle w:val="ListParagraph"/>
        <w:numPr>
          <w:ilvl w:val="0"/>
          <w:numId w:val="10"/>
        </w:numPr>
        <w:shd w:val="clear" w:color="auto" w:fill="FFFFFF"/>
        <w:tabs>
          <w:tab w:val="clear" w:pos="709"/>
          <w:tab w:val="left" w:pos="426" w:leader="none"/>
        </w:tabs>
        <w:ind w:left="0" w:hanging="0"/>
        <w:jc w:val="center"/>
        <w:rPr/>
      </w:pPr>
      <w:r>
        <w:rPr>
          <w:b/>
          <w:bCs/>
        </w:rPr>
        <w:t>Список приложений</w:t>
      </w:r>
    </w:p>
    <w:p>
      <w:pPr>
        <w:pStyle w:val="Normal"/>
        <w:tabs>
          <w:tab w:val="clear" w:pos="709"/>
          <w:tab w:val="left" w:pos="2127" w:leader="none"/>
          <w:tab w:val="left" w:pos="2410" w:leader="none"/>
        </w:tabs>
        <w:jc w:val="both"/>
        <w:rPr/>
      </w:pPr>
      <w:r>
        <w:rPr/>
        <w:t>Приложение № 1 – Задание на оказание Услуг;</w:t>
      </w:r>
    </w:p>
    <w:p>
      <w:pPr>
        <w:pStyle w:val="Normal"/>
        <w:tabs>
          <w:tab w:val="clear" w:pos="709"/>
          <w:tab w:val="left" w:pos="2127" w:leader="none"/>
          <w:tab w:val="left" w:pos="2410" w:leader="none"/>
        </w:tabs>
        <w:jc w:val="both"/>
        <w:rPr>
          <w:lang w:eastAsia="en-US"/>
        </w:rPr>
      </w:pPr>
      <w:r>
        <w:rPr/>
        <w:t xml:space="preserve">Приложение № 2 – </w:t>
      </w:r>
      <w:r>
        <w:rPr>
          <w:lang w:eastAsia="en-US"/>
        </w:rPr>
        <w:t>Расчет стоимости Услуг</w:t>
      </w:r>
      <w:r>
        <w:rPr/>
        <w:t>;</w:t>
      </w:r>
    </w:p>
    <w:p>
      <w:pPr>
        <w:pStyle w:val="Normal"/>
        <w:tabs>
          <w:tab w:val="clear" w:pos="709"/>
          <w:tab w:val="left" w:pos="2127" w:leader="none"/>
          <w:tab w:val="left" w:pos="2410" w:leader="none"/>
        </w:tabs>
        <w:jc w:val="both"/>
        <w:rPr/>
      </w:pPr>
      <w:r>
        <w:rPr/>
        <w:t>Приложение № 3 – Форма Акта об оказании Услуг;</w:t>
      </w:r>
    </w:p>
    <w:p>
      <w:pPr>
        <w:pStyle w:val="ListParagraph"/>
        <w:shd w:val="clear" w:color="auto" w:fill="FFFFFF"/>
        <w:tabs>
          <w:tab w:val="clear" w:pos="709"/>
          <w:tab w:val="left" w:pos="1134" w:leader="none"/>
          <w:tab w:val="left" w:pos="2127" w:leader="none"/>
          <w:tab w:val="left" w:pos="2410" w:leader="none"/>
        </w:tabs>
        <w:ind w:left="0" w:hanging="0"/>
        <w:jc w:val="both"/>
        <w:rPr>
          <w:lang w:eastAsia="en-US"/>
        </w:rPr>
      </w:pPr>
      <w:r>
        <w:rPr>
          <w:lang w:eastAsia="en-US"/>
        </w:rPr>
      </w:r>
    </w:p>
    <w:p>
      <w:pPr>
        <w:pStyle w:val="Normal"/>
        <w:jc w:val="both"/>
        <w:rPr/>
      </w:pPr>
      <w:r>
        <w:rPr/>
      </w:r>
    </w:p>
    <w:p>
      <w:pPr>
        <w:pStyle w:val="ListParagraph"/>
        <w:shd w:val="clear" w:color="auto" w:fill="FFFFFF"/>
        <w:tabs>
          <w:tab w:val="clear" w:pos="709"/>
          <w:tab w:val="left" w:pos="1134" w:leader="none"/>
          <w:tab w:val="left" w:pos="2127" w:leader="none"/>
          <w:tab w:val="left" w:pos="2410" w:leader="none"/>
        </w:tabs>
        <w:ind w:left="0" w:hanging="0"/>
        <w:rPr>
          <w:lang w:eastAsia="en-US"/>
        </w:rPr>
      </w:pPr>
      <w:r>
        <w:rPr>
          <w:lang w:eastAsia="en-US"/>
        </w:rPr>
      </w:r>
    </w:p>
    <w:p>
      <w:pPr>
        <w:pStyle w:val="ListParagraph"/>
        <w:numPr>
          <w:ilvl w:val="0"/>
          <w:numId w:val="10"/>
        </w:numPr>
        <w:shd w:val="clear" w:color="auto" w:fill="FFFFFF"/>
        <w:tabs>
          <w:tab w:val="clear" w:pos="709"/>
          <w:tab w:val="left" w:pos="426" w:leader="none"/>
        </w:tabs>
        <w:ind w:left="0" w:hanging="0"/>
        <w:jc w:val="center"/>
        <w:rPr>
          <w:b/>
          <w:bCs/>
          <w:color w:val="000000"/>
        </w:rPr>
      </w:pPr>
      <w:bookmarkStart w:id="36" w:name="_Ref133312353"/>
      <w:bookmarkEnd w:id="36"/>
      <w:r>
        <w:rPr>
          <w:b/>
          <w:bCs/>
          <w:color w:val="000000"/>
        </w:rPr>
        <w:t>Адреса и платежные реквизиты Сторон</w:t>
      </w:r>
    </w:p>
    <w:p>
      <w:pPr>
        <w:pStyle w:val="Normal"/>
        <w:jc w:val="right"/>
        <w:rPr/>
      </w:pPr>
      <w:r>
        <w:rPr/>
      </w:r>
    </w:p>
    <w:tbl>
      <w:tblPr>
        <w:tblW w:w="9287" w:type="dxa"/>
        <w:jc w:val="left"/>
        <w:tblInd w:w="0" w:type="dxa"/>
        <w:tblLayout w:type="fixed"/>
        <w:tblCellMar>
          <w:top w:w="0" w:type="dxa"/>
          <w:left w:w="108" w:type="dxa"/>
          <w:bottom w:w="0" w:type="dxa"/>
          <w:right w:w="108" w:type="dxa"/>
        </w:tblCellMar>
        <w:tblLook w:val="01e0" w:noHBand="0" w:noVBand="0" w:firstColumn="1" w:lastRow="1" w:lastColumn="1" w:firstRow="1"/>
      </w:tblPr>
      <w:tblGrid>
        <w:gridCol w:w="4643"/>
        <w:gridCol w:w="4643"/>
      </w:tblGrid>
      <w:tr>
        <w:trPr/>
        <w:tc>
          <w:tcPr>
            <w:tcW w:w="4643" w:type="dxa"/>
            <w:tcBorders/>
            <w:shd w:color="auto" w:fill="auto" w:val="clear"/>
          </w:tcPr>
          <w:p>
            <w:pPr>
              <w:pStyle w:val="Normal"/>
              <w:widowControl w:val="false"/>
              <w:rPr>
                <w:b/>
              </w:rPr>
            </w:pPr>
            <w:r>
              <w:rPr>
                <w:b/>
              </w:rPr>
              <w:t>ЗАКАЗЧИК:</w:t>
            </w:r>
          </w:p>
        </w:tc>
        <w:tc>
          <w:tcPr>
            <w:tcW w:w="4643" w:type="dxa"/>
            <w:tcBorders/>
            <w:shd w:color="auto" w:fill="auto" w:val="clear"/>
          </w:tcPr>
          <w:p>
            <w:pPr>
              <w:pStyle w:val="Normal"/>
              <w:widowControl w:val="false"/>
              <w:rPr>
                <w:b/>
              </w:rPr>
            </w:pPr>
            <w:r>
              <w:rPr>
                <w:b/>
              </w:rPr>
              <w:t>ИСПОЛНИТЕЛЬ:</w:t>
            </w:r>
          </w:p>
        </w:tc>
      </w:tr>
      <w:tr>
        <w:trPr/>
        <w:tc>
          <w:tcPr>
            <w:tcW w:w="4643" w:type="dxa"/>
            <w:tcBorders/>
            <w:shd w:color="auto" w:fill="auto" w:val="clear"/>
          </w:tcPr>
          <w:p>
            <w:pPr>
              <w:pStyle w:val="Normal"/>
              <w:widowControl w:val="false"/>
              <w:rPr>
                <w:b/>
              </w:rPr>
            </w:pPr>
            <w:r>
              <w:rPr>
                <w:b/>
              </w:rPr>
              <w:t>Акционерное общество «Всероссийский научно-исследовательский институт гидротехники имени Б.Е.Веденеева»</w:t>
            </w:r>
          </w:p>
          <w:p>
            <w:pPr>
              <w:pStyle w:val="Normal"/>
              <w:widowControl w:val="false"/>
              <w:rPr>
                <w:b/>
              </w:rPr>
            </w:pPr>
            <w:r>
              <w:rPr>
                <w:b/>
              </w:rPr>
              <w:t>(АО «ВНИИГ им. Б.Е. Веденеева»)</w:t>
            </w:r>
          </w:p>
          <w:p>
            <w:pPr>
              <w:pStyle w:val="Normal"/>
              <w:widowControl w:val="false"/>
              <w:rPr>
                <w:b/>
              </w:rPr>
            </w:pPr>
            <w:r>
              <w:rPr>
                <w:b/>
              </w:rPr>
            </w:r>
          </w:p>
          <w:p>
            <w:pPr>
              <w:pStyle w:val="Normal"/>
              <w:widowControl w:val="false"/>
              <w:rPr/>
            </w:pPr>
            <w:r>
              <w:rPr/>
              <w:t>Место нахождения:</w:t>
            </w:r>
          </w:p>
          <w:p>
            <w:pPr>
              <w:pStyle w:val="Normal"/>
              <w:widowControl w:val="false"/>
              <w:rPr/>
            </w:pPr>
            <w:r>
              <w:rPr/>
              <w:t xml:space="preserve"> </w:t>
            </w:r>
            <w:r>
              <w:rPr/>
              <w:t>г. Санкт-Петербург</w:t>
            </w:r>
          </w:p>
          <w:p>
            <w:pPr>
              <w:pStyle w:val="Normal"/>
              <w:widowControl w:val="false"/>
              <w:rPr/>
            </w:pPr>
            <w:r>
              <w:rPr/>
              <w:t>Адрес: 195220, г.Санкт-Петербург,</w:t>
            </w:r>
          </w:p>
          <w:p>
            <w:pPr>
              <w:pStyle w:val="Normal"/>
              <w:widowControl w:val="false"/>
              <w:rPr/>
            </w:pPr>
            <w:r>
              <w:rPr/>
              <w:t xml:space="preserve"> </w:t>
            </w:r>
            <w:r>
              <w:rPr/>
              <w:t>ул. Гжатская, д. 21</w:t>
            </w:r>
          </w:p>
          <w:p>
            <w:pPr>
              <w:pStyle w:val="Normal"/>
              <w:widowControl w:val="false"/>
              <w:rPr/>
            </w:pPr>
            <w:r>
              <w:rPr/>
              <w:t>Почтовый адрес:</w:t>
            </w:r>
          </w:p>
          <w:p>
            <w:pPr>
              <w:pStyle w:val="Normal"/>
              <w:widowControl w:val="false"/>
              <w:rPr/>
            </w:pPr>
            <w:r>
              <w:rPr/>
              <w:t>195220,г.Санкт-Петербург, ул.Гжатская,д.21</w:t>
            </w:r>
          </w:p>
          <w:p>
            <w:pPr>
              <w:pStyle w:val="Normal"/>
              <w:widowControl w:val="false"/>
              <w:rPr/>
            </w:pPr>
            <w:r>
              <w:rPr/>
              <w:t>ОГРН1027802483400,</w:t>
            </w:r>
          </w:p>
          <w:p>
            <w:pPr>
              <w:pStyle w:val="Normal"/>
              <w:widowControl w:val="false"/>
              <w:rPr/>
            </w:pPr>
            <w:r>
              <w:rPr/>
              <w:t>ИНН 7804004400 / КПП 780401001</w:t>
            </w:r>
          </w:p>
          <w:p>
            <w:pPr>
              <w:pStyle w:val="Normal"/>
              <w:widowControl w:val="false"/>
              <w:rPr/>
            </w:pPr>
            <w:r>
              <w:rPr/>
              <w:t>Расчетный  счета 40702810255080111494</w:t>
            </w:r>
          </w:p>
          <w:p>
            <w:pPr>
              <w:pStyle w:val="Normal"/>
              <w:widowControl w:val="false"/>
              <w:rPr/>
            </w:pPr>
            <w:r>
              <w:rPr/>
              <w:t>в Северо-Западном банке ПАО Сбербанк,</w:t>
            </w:r>
          </w:p>
          <w:p>
            <w:pPr>
              <w:pStyle w:val="Normal"/>
              <w:widowControl w:val="false"/>
              <w:rPr/>
            </w:pPr>
            <w:r>
              <w:rPr/>
              <w:t>г. Санкт-Петербург</w:t>
            </w:r>
          </w:p>
          <w:p>
            <w:pPr>
              <w:pStyle w:val="Normal"/>
              <w:widowControl w:val="false"/>
              <w:rPr/>
            </w:pPr>
            <w:r>
              <w:rPr/>
              <w:t>номер корреспондентского счета банка 30101810500000000653</w:t>
            </w:r>
          </w:p>
          <w:p>
            <w:pPr>
              <w:pStyle w:val="Normal"/>
              <w:widowControl w:val="false"/>
              <w:rPr/>
            </w:pPr>
            <w:r>
              <w:rPr/>
              <w:t>БИК банка 044030653</w:t>
            </w:r>
          </w:p>
          <w:p>
            <w:pPr>
              <w:pStyle w:val="Normal"/>
              <w:widowControl w:val="false"/>
              <w:rPr/>
            </w:pPr>
            <w:r>
              <w:rPr/>
              <w:t>номер телефона (812)535 54 45</w:t>
            </w:r>
          </w:p>
          <w:p>
            <w:pPr>
              <w:pStyle w:val="Normal"/>
              <w:widowControl w:val="false"/>
              <w:rPr/>
            </w:pPr>
            <w:r>
              <w:rPr>
                <w:lang w:val="en-US"/>
              </w:rPr>
              <w:t>email</w:t>
            </w:r>
            <w:r>
              <w:rPr/>
              <w:t>:</w:t>
            </w:r>
            <w:r>
              <w:rPr>
                <w:lang w:val="en-US"/>
              </w:rPr>
              <w:t>vniig</w:t>
            </w:r>
            <w:r>
              <w:rPr/>
              <w:t>@</w:t>
            </w:r>
            <w:r>
              <w:rPr>
                <w:lang w:val="en-US"/>
              </w:rPr>
              <w:t>vniig</w:t>
            </w:r>
            <w:r>
              <w:rPr/>
              <w:t>.</w:t>
            </w:r>
            <w:r>
              <w:rPr>
                <w:lang w:val="en-US"/>
              </w:rPr>
              <w:t>ru</w:t>
            </w:r>
          </w:p>
          <w:p>
            <w:pPr>
              <w:pStyle w:val="Normal"/>
              <w:widowControl w:val="false"/>
              <w:rPr/>
            </w:pPr>
            <w:r>
              <w:rPr/>
              <w:t>номер факса (812) 535 67 20</w:t>
            </w:r>
          </w:p>
          <w:p>
            <w:pPr>
              <w:pStyle w:val="Normal"/>
              <w:widowControl w:val="false"/>
              <w:rPr/>
            </w:pPr>
            <w:r>
              <w:rPr/>
            </w:r>
          </w:p>
        </w:tc>
        <w:tc>
          <w:tcPr>
            <w:tcW w:w="4643" w:type="dxa"/>
            <w:tcBorders/>
            <w:shd w:color="auto" w:fill="auto" w:val="clear"/>
          </w:tcPr>
          <w:p>
            <w:pPr>
              <w:pStyle w:val="Normal"/>
              <w:widowControl w:val="false"/>
              <w:rPr/>
            </w:pPr>
            <w:r>
              <w:rPr/>
            </w:r>
          </w:p>
          <w:p>
            <w:pPr>
              <w:pStyle w:val="Normal"/>
              <w:widowControl w:val="false"/>
              <w:rPr/>
            </w:pPr>
            <w:r>
              <w:rPr/>
            </w:r>
          </w:p>
          <w:p>
            <w:pPr>
              <w:pStyle w:val="Normal"/>
              <w:widowControl w:val="false"/>
              <w:rPr/>
            </w:pPr>
            <w:r>
              <w:rPr/>
              <w:t>_________________________________</w:t>
            </w:r>
          </w:p>
          <w:p>
            <w:pPr>
              <w:pStyle w:val="Normal"/>
              <w:widowControl w:val="false"/>
              <w:rPr/>
            </w:pPr>
            <w:r>
              <w:rPr/>
              <w:t>(наименование юридического лица)</w:t>
            </w:r>
          </w:p>
          <w:p>
            <w:pPr>
              <w:pStyle w:val="Normal"/>
              <w:widowControl w:val="false"/>
              <w:rPr/>
            </w:pPr>
            <w:r>
              <w:rPr/>
            </w:r>
          </w:p>
          <w:p>
            <w:pPr>
              <w:pStyle w:val="Normal"/>
              <w:widowControl w:val="false"/>
              <w:rPr/>
            </w:pPr>
            <w:r>
              <w:rPr/>
              <w:t>Место нахождения:</w:t>
            </w:r>
          </w:p>
          <w:p>
            <w:pPr>
              <w:pStyle w:val="Normal"/>
              <w:widowControl w:val="false"/>
              <w:rPr/>
            </w:pPr>
            <w:r>
              <w:rPr/>
              <w:t>_________________________________</w:t>
            </w:r>
          </w:p>
          <w:p>
            <w:pPr>
              <w:pStyle w:val="Normal"/>
              <w:widowControl w:val="false"/>
              <w:rPr/>
            </w:pPr>
            <w:r>
              <w:rPr/>
            </w:r>
          </w:p>
          <w:p>
            <w:pPr>
              <w:pStyle w:val="Normal"/>
              <w:widowControl w:val="false"/>
              <w:rPr/>
            </w:pPr>
            <w:r>
              <w:rPr/>
              <w:t>Почтовый адрес:</w:t>
            </w:r>
          </w:p>
          <w:p>
            <w:pPr>
              <w:pStyle w:val="Normal"/>
              <w:widowControl w:val="false"/>
              <w:rPr/>
            </w:pPr>
            <w:r>
              <w:rPr/>
              <w:t>_________________________________</w:t>
            </w:r>
          </w:p>
          <w:p>
            <w:pPr>
              <w:pStyle w:val="Normal"/>
              <w:widowControl w:val="false"/>
              <w:rPr/>
            </w:pPr>
            <w:r>
              <w:rPr/>
              <w:t>ОГРН: ___________________________</w:t>
            </w:r>
          </w:p>
          <w:p>
            <w:pPr>
              <w:pStyle w:val="Normal"/>
              <w:widowControl w:val="false"/>
              <w:rPr/>
            </w:pPr>
            <w:r>
              <w:rPr/>
              <w:t>ИНН / КПП: _______________________</w:t>
            </w:r>
          </w:p>
          <w:p>
            <w:pPr>
              <w:pStyle w:val="Normal"/>
              <w:widowControl w:val="false"/>
              <w:rPr/>
            </w:pPr>
            <w:r>
              <w:rPr/>
              <w:t>_________________________________</w:t>
            </w:r>
          </w:p>
          <w:p>
            <w:pPr>
              <w:pStyle w:val="Normal"/>
              <w:widowControl w:val="false"/>
              <w:rPr/>
            </w:pPr>
            <w:r>
              <w:rPr/>
              <w:t>(номер расчетного счета)</w:t>
            </w:r>
          </w:p>
          <w:p>
            <w:pPr>
              <w:pStyle w:val="Normal"/>
              <w:widowControl w:val="false"/>
              <w:rPr/>
            </w:pPr>
            <w:r>
              <w:rPr/>
              <w:t>_________________________________</w:t>
            </w:r>
          </w:p>
          <w:p>
            <w:pPr>
              <w:pStyle w:val="Normal"/>
              <w:widowControl w:val="false"/>
              <w:rPr/>
            </w:pPr>
            <w:r>
              <w:rPr/>
              <w:t>(наименование банка)</w:t>
            </w:r>
          </w:p>
          <w:p>
            <w:pPr>
              <w:pStyle w:val="Normal"/>
              <w:widowControl w:val="false"/>
              <w:rPr/>
            </w:pPr>
            <w:r>
              <w:rPr/>
              <w:t>_________________________________</w:t>
            </w:r>
          </w:p>
          <w:p>
            <w:pPr>
              <w:pStyle w:val="Normal"/>
              <w:widowControl w:val="false"/>
              <w:rPr/>
            </w:pPr>
            <w:r>
              <w:rPr/>
              <w:t>(номер корреспондентского счета банка)</w:t>
            </w:r>
          </w:p>
          <w:p>
            <w:pPr>
              <w:pStyle w:val="Normal"/>
              <w:widowControl w:val="false"/>
              <w:rPr/>
            </w:pPr>
            <w:r>
              <w:rPr/>
              <w:t>_________________________________</w:t>
            </w:r>
          </w:p>
          <w:p>
            <w:pPr>
              <w:pStyle w:val="Normal"/>
              <w:widowControl w:val="false"/>
              <w:rPr/>
            </w:pPr>
            <w:r>
              <w:rPr/>
              <w:t>(БИК банка)</w:t>
            </w:r>
          </w:p>
          <w:p>
            <w:pPr>
              <w:pStyle w:val="Normal"/>
              <w:widowControl w:val="false"/>
              <w:rPr/>
            </w:pPr>
            <w:r>
              <w:rPr/>
            </w:r>
          </w:p>
          <w:p>
            <w:pPr>
              <w:pStyle w:val="Normal"/>
              <w:widowControl w:val="false"/>
              <w:rPr/>
            </w:pPr>
            <w:r>
              <w:rPr/>
              <w:t>_________________________________</w:t>
            </w:r>
          </w:p>
          <w:p>
            <w:pPr>
              <w:pStyle w:val="Normal"/>
              <w:widowControl w:val="false"/>
              <w:rPr/>
            </w:pPr>
            <w:r>
              <w:rPr/>
              <w:t>(номер телефона)</w:t>
            </w:r>
          </w:p>
          <w:p>
            <w:pPr>
              <w:pStyle w:val="Normal"/>
              <w:widowControl w:val="false"/>
              <w:rPr/>
            </w:pPr>
            <w:r>
              <w:rPr/>
            </w:r>
          </w:p>
        </w:tc>
      </w:tr>
      <w:tr>
        <w:trPr/>
        <w:tc>
          <w:tcPr>
            <w:tcW w:w="4643" w:type="dxa"/>
            <w:tcBorders/>
            <w:shd w:color="auto" w:fill="auto" w:val="clear"/>
          </w:tcPr>
          <w:p>
            <w:pPr>
              <w:pStyle w:val="Normal"/>
              <w:widowControl w:val="false"/>
              <w:rPr/>
            </w:pPr>
            <w:r>
              <w:rPr/>
              <w:t>_______________ / _______________</w:t>
            </w:r>
          </w:p>
          <w:p>
            <w:pPr>
              <w:pStyle w:val="Normal"/>
              <w:widowControl w:val="false"/>
              <w:rPr/>
            </w:pPr>
            <w:r>
              <w:rPr/>
            </w:r>
          </w:p>
        </w:tc>
        <w:tc>
          <w:tcPr>
            <w:tcW w:w="4643" w:type="dxa"/>
            <w:tcBorders/>
            <w:shd w:color="auto" w:fill="auto" w:val="clear"/>
          </w:tcPr>
          <w:p>
            <w:pPr>
              <w:pStyle w:val="Normal"/>
              <w:widowControl w:val="false"/>
              <w:rPr/>
            </w:pPr>
            <w:r>
              <w:rPr/>
              <w:t>_______________ / _______________</w:t>
            </w:r>
          </w:p>
          <w:p>
            <w:pPr>
              <w:pStyle w:val="Normal"/>
              <w:widowControl w:val="false"/>
              <w:rPr/>
            </w:pPr>
            <w:r>
              <w:rPr/>
            </w:r>
          </w:p>
        </w:tc>
      </w:tr>
    </w:tbl>
    <w:p>
      <w:pPr>
        <w:pStyle w:val="Normal"/>
        <w:ind w:firstLine="709"/>
        <w:jc w:val="right"/>
        <w:rPr>
          <w:sz w:val="22"/>
          <w:szCs w:val="22"/>
        </w:rPr>
      </w:pPr>
      <w:r>
        <w:rPr>
          <w:sz w:val="22"/>
          <w:szCs w:val="22"/>
        </w:rPr>
      </w:r>
    </w:p>
    <w:p>
      <w:pPr>
        <w:pStyle w:val="Normal"/>
        <w:rPr>
          <w:sz w:val="22"/>
          <w:szCs w:val="22"/>
        </w:rPr>
      </w:pPr>
      <w:r>
        <w:rPr>
          <w:sz w:val="22"/>
          <w:szCs w:val="22"/>
        </w:rPr>
      </w:r>
      <w:r>
        <w:br w:type="page"/>
      </w:r>
    </w:p>
    <w:p>
      <w:pPr>
        <w:pStyle w:val="Normal"/>
        <w:ind w:firstLine="709"/>
        <w:jc w:val="right"/>
        <w:rPr>
          <w:sz w:val="22"/>
          <w:szCs w:val="22"/>
        </w:rPr>
      </w:pPr>
      <w:r>
        <w:rPr>
          <w:sz w:val="22"/>
          <w:szCs w:val="22"/>
        </w:rPr>
        <w:t>Приложение № 1</w:t>
      </w:r>
    </w:p>
    <w:p>
      <w:pPr>
        <w:pStyle w:val="Normal"/>
        <w:jc w:val="right"/>
        <w:rPr>
          <w:sz w:val="22"/>
          <w:szCs w:val="22"/>
        </w:rPr>
      </w:pPr>
      <w:r>
        <w:rPr>
          <w:sz w:val="22"/>
          <w:szCs w:val="22"/>
        </w:rPr>
        <w:t xml:space="preserve">            </w:t>
      </w:r>
      <w:r>
        <w:rPr>
          <w:sz w:val="22"/>
          <w:szCs w:val="22"/>
        </w:rPr>
        <w:t>к Договору возмездного оказания услуг</w:t>
      </w:r>
    </w:p>
    <w:p>
      <w:pPr>
        <w:pStyle w:val="Normal"/>
        <w:jc w:val="right"/>
        <w:rPr/>
      </w:pPr>
      <w:r>
        <w:rPr>
          <w:sz w:val="22"/>
          <w:szCs w:val="22"/>
        </w:rPr>
        <w:t xml:space="preserve">              </w:t>
      </w:r>
      <w:r>
        <w:rPr>
          <w:sz w:val="22"/>
          <w:szCs w:val="22"/>
        </w:rPr>
        <w:t>от «____» ________ 20 _ г. №_______</w:t>
      </w:r>
    </w:p>
    <w:p>
      <w:pPr>
        <w:pStyle w:val="Normal"/>
        <w:rPr>
          <w:sz w:val="23"/>
          <w:szCs w:val="23"/>
          <w:lang w:val="ru-RU"/>
        </w:rPr>
      </w:pPr>
      <w:r>
        <w:rPr>
          <w:sz w:val="23"/>
          <w:szCs w:val="23"/>
          <w:lang w:val="ru-RU"/>
        </w:rPr>
      </w:r>
    </w:p>
    <w:p>
      <w:pPr>
        <w:pStyle w:val="Normal"/>
        <w:jc w:val="center"/>
        <w:rPr>
          <w:sz w:val="24"/>
          <w:szCs w:val="24"/>
        </w:rPr>
      </w:pPr>
      <w:r>
        <w:rPr>
          <w:b/>
          <w:sz w:val="24"/>
          <w:szCs w:val="24"/>
          <w:lang w:val="ru-RU"/>
        </w:rPr>
        <w:t>Задание на оказание Услуг</w:t>
      </w:r>
    </w:p>
    <w:p>
      <w:pPr>
        <w:pStyle w:val="Normal"/>
        <w:jc w:val="center"/>
        <w:rPr>
          <w:sz w:val="24"/>
          <w:szCs w:val="24"/>
          <w:lang w:val="ru-RU"/>
        </w:rPr>
      </w:pPr>
      <w:r>
        <w:rPr>
          <w:sz w:val="24"/>
          <w:szCs w:val="24"/>
          <w:lang w:val="ru-RU"/>
        </w:rPr>
      </w:r>
    </w:p>
    <w:p>
      <w:pPr>
        <w:pStyle w:val="Normal"/>
        <w:jc w:val="center"/>
        <w:rPr>
          <w:sz w:val="24"/>
          <w:szCs w:val="24"/>
        </w:rPr>
      </w:pPr>
      <w:r>
        <w:rPr>
          <w:b/>
          <w:sz w:val="24"/>
          <w:szCs w:val="24"/>
          <w:lang w:val="ru-RU"/>
        </w:rPr>
        <w:t>«Определение химического состава проб природных и сточных вод  золошлакоотвала на территории размещения золошлакоотвала Читинской ТЭЦ-1 и прилегающей территории»</w:t>
      </w:r>
    </w:p>
    <w:p>
      <w:pPr>
        <w:pStyle w:val="Normal"/>
        <w:jc w:val="center"/>
        <w:rPr>
          <w:sz w:val="24"/>
          <w:szCs w:val="24"/>
          <w:lang w:val="ru-RU"/>
        </w:rPr>
      </w:pPr>
      <w:r>
        <w:rPr>
          <w:sz w:val="24"/>
          <w:szCs w:val="24"/>
          <w:lang w:val="ru-RU"/>
        </w:rPr>
      </w:r>
    </w:p>
    <w:p>
      <w:pPr>
        <w:pStyle w:val="Heading1"/>
        <w:pageBreakBefore w:val="false"/>
        <w:numPr>
          <w:ilvl w:val="0"/>
          <w:numId w:val="0"/>
        </w:numPr>
        <w:spacing w:before="120" w:after="60"/>
        <w:ind w:left="357" w:hanging="0"/>
        <w:rPr>
          <w:sz w:val="24"/>
          <w:szCs w:val="24"/>
        </w:rPr>
      </w:pPr>
      <w:r>
        <w:rPr>
          <w:rFonts w:eastAsia="" w:cs="Times New Roman" w:ascii="Times New Roman" w:hAnsi="Times New Roman" w:eastAsiaTheme="majorEastAsia"/>
          <w:i/>
          <w:iCs/>
          <w:caps w:val="false"/>
          <w:smallCaps w:val="false"/>
          <w:color w:val="000000" w:themeColor="text1"/>
          <w:sz w:val="24"/>
          <w:szCs w:val="24"/>
        </w:rPr>
        <w:t xml:space="preserve">1. </w:t>
      </w:r>
      <w:bookmarkStart w:id="37" w:name="_Toc159834205"/>
      <w:bookmarkEnd w:id="37"/>
      <w:r>
        <w:rPr>
          <w:rFonts w:eastAsia="" w:cs="Times New Roman" w:ascii="Times New Roman" w:hAnsi="Times New Roman" w:eastAsiaTheme="majorEastAsia"/>
          <w:i/>
          <w:iCs/>
          <w:caps w:val="false"/>
          <w:smallCaps w:val="false"/>
          <w:color w:val="000000" w:themeColor="text1"/>
          <w:sz w:val="24"/>
          <w:szCs w:val="24"/>
        </w:rPr>
        <w:t>Общие сведения</w:t>
      </w:r>
    </w:p>
    <w:p>
      <w:pPr>
        <w:pStyle w:val="Heading4"/>
        <w:keepLines w:val="false"/>
        <w:numPr>
          <w:ilvl w:val="0"/>
          <w:numId w:val="0"/>
        </w:numPr>
        <w:spacing w:before="120" w:after="60"/>
        <w:ind w:left="574" w:hanging="0"/>
        <w:rPr/>
      </w:pPr>
      <w:r>
        <w:rPr>
          <w:rFonts w:cs="Times New Roman" w:ascii="Times New Roman" w:hAnsi="Times New Roman"/>
          <w:color w:val="000000" w:themeColor="text1"/>
          <w:sz w:val="24"/>
          <w:szCs w:val="24"/>
          <w:lang w:val="ru-RU"/>
        </w:rPr>
        <w:t xml:space="preserve">1.1. </w:t>
      </w:r>
      <w:bookmarkStart w:id="38" w:name="_Toc46743506"/>
      <w:bookmarkStart w:id="39" w:name="_Toc159834206"/>
      <w:bookmarkStart w:id="40" w:name="_Toc148965729"/>
      <w:bookmarkEnd w:id="38"/>
      <w:bookmarkEnd w:id="39"/>
      <w:bookmarkEnd w:id="40"/>
      <w:r>
        <w:rPr>
          <w:rFonts w:cs="Times New Roman" w:ascii="Times New Roman" w:hAnsi="Times New Roman"/>
          <w:color w:val="000000" w:themeColor="text1"/>
          <w:sz w:val="24"/>
          <w:szCs w:val="24"/>
          <w:lang w:val="ru-RU"/>
        </w:rPr>
        <w:t>Наименование закупаемой продукции</w:t>
      </w:r>
    </w:p>
    <w:p>
      <w:pPr>
        <w:pStyle w:val="Normal"/>
        <w:widowControl w:val="false"/>
        <w:tabs>
          <w:tab w:val="clear" w:pos="709"/>
          <w:tab w:val="left" w:pos="426" w:leader="none"/>
        </w:tabs>
        <w:spacing w:lineRule="auto" w:line="360"/>
        <w:ind w:firstLine="425"/>
        <w:jc w:val="both"/>
        <w:rPr>
          <w:sz w:val="24"/>
          <w:szCs w:val="24"/>
        </w:rPr>
      </w:pPr>
      <w:r>
        <w:rPr>
          <w:rFonts w:eastAsia="Calibri"/>
          <w:i/>
          <w:color w:val="000000" w:themeColor="text1"/>
          <w:sz w:val="24"/>
          <w:szCs w:val="24"/>
          <w:lang w:val="ru-RU" w:eastAsia="x-none"/>
        </w:rPr>
        <w:tab/>
      </w:r>
      <w:r>
        <w:rPr>
          <w:rFonts w:eastAsia="Calibri"/>
          <w:color w:val="000000" w:themeColor="text1"/>
          <w:sz w:val="24"/>
          <w:szCs w:val="24"/>
          <w:lang w:val="ru-RU" w:eastAsia="x-none"/>
        </w:rPr>
        <w:t>Оказание услуг по выполнению количественного химического анализа состава сточных и природных вод на территории Забайкальского края,  Черновского района г. Читы</w:t>
      </w:r>
      <w:r>
        <w:rPr>
          <w:sz w:val="24"/>
          <w:szCs w:val="24"/>
          <w:lang w:val="ru-RU"/>
        </w:rPr>
        <w:t xml:space="preserve"> </w:t>
      </w:r>
      <w:r>
        <w:rPr>
          <w:rFonts w:eastAsia="Calibri"/>
          <w:color w:val="000000" w:themeColor="text1"/>
          <w:sz w:val="24"/>
          <w:szCs w:val="24"/>
          <w:lang w:val="ru-RU" w:eastAsia="x-none"/>
        </w:rPr>
        <w:t>на территории размещения золошлакоотвала Читинской ТЭЦ-1 и прилегающей территории.</w:t>
      </w:r>
    </w:p>
    <w:p>
      <w:pPr>
        <w:pStyle w:val="Heading4"/>
        <w:keepLines w:val="false"/>
        <w:numPr>
          <w:ilvl w:val="0"/>
          <w:numId w:val="0"/>
        </w:numPr>
        <w:spacing w:lineRule="auto" w:line="360" w:before="0" w:after="0"/>
        <w:ind w:left="0" w:hanging="0"/>
        <w:rPr>
          <w:sz w:val="24"/>
          <w:szCs w:val="24"/>
        </w:rPr>
      </w:pPr>
      <w:r>
        <w:rPr>
          <w:rFonts w:cs="Times New Roman" w:ascii="Times New Roman" w:hAnsi="Times New Roman"/>
          <w:color w:val="000000" w:themeColor="text1"/>
          <w:sz w:val="24"/>
          <w:szCs w:val="24"/>
        </w:rPr>
        <w:t xml:space="preserve">1.2. </w:t>
      </w:r>
      <w:bookmarkStart w:id="41" w:name="_Toc148965730"/>
      <w:bookmarkStart w:id="42" w:name="_Toc159834207"/>
      <w:bookmarkStart w:id="43" w:name="_Toc46743507"/>
      <w:r>
        <w:rPr>
          <w:rFonts w:cs="Times New Roman" w:ascii="Times New Roman" w:hAnsi="Times New Roman"/>
          <w:color w:val="000000" w:themeColor="text1"/>
          <w:sz w:val="24"/>
          <w:szCs w:val="24"/>
        </w:rPr>
        <w:t xml:space="preserve">Цель </w:t>
      </w:r>
      <w:bookmarkEnd w:id="41"/>
      <w:bookmarkEnd w:id="42"/>
      <w:bookmarkEnd w:id="43"/>
      <w:r>
        <w:rPr>
          <w:rFonts w:cs="Times New Roman" w:ascii="Times New Roman" w:hAnsi="Times New Roman"/>
          <w:color w:val="000000" w:themeColor="text1"/>
          <w:sz w:val="24"/>
          <w:szCs w:val="24"/>
        </w:rPr>
        <w:t>оказания услуг</w:t>
      </w:r>
    </w:p>
    <w:p>
      <w:pPr>
        <w:pStyle w:val="Normal"/>
        <w:spacing w:lineRule="auto" w:line="360"/>
        <w:ind w:firstLine="425"/>
        <w:jc w:val="both"/>
        <w:rPr>
          <w:sz w:val="24"/>
          <w:szCs w:val="24"/>
        </w:rPr>
      </w:pPr>
      <w:bookmarkStart w:id="44" w:name="_Toc46743510"/>
      <w:bookmarkStart w:id="45" w:name="_Toc50125126"/>
      <w:bookmarkEnd w:id="44"/>
      <w:bookmarkEnd w:id="45"/>
      <w:r>
        <w:rPr>
          <w:color w:val="000000" w:themeColor="text1"/>
          <w:sz w:val="24"/>
          <w:szCs w:val="24"/>
          <w:lang w:val="ru-RU"/>
        </w:rPr>
        <w:t>Лабораторные исследования сточных и природных вод для выявления причин загрязнения и фильтрации в водные объекты.</w:t>
      </w:r>
    </w:p>
    <w:p>
      <w:pPr>
        <w:pStyle w:val="Heading1"/>
        <w:pageBreakBefore w:val="false"/>
        <w:numPr>
          <w:ilvl w:val="0"/>
          <w:numId w:val="0"/>
        </w:numPr>
        <w:spacing w:before="120" w:after="60"/>
        <w:ind w:left="357" w:hanging="0"/>
        <w:rPr>
          <w:sz w:val="24"/>
          <w:szCs w:val="24"/>
        </w:rPr>
      </w:pPr>
      <w:r>
        <w:rPr>
          <w:rFonts w:eastAsia="" w:cs="Times New Roman" w:ascii="Times New Roman" w:hAnsi="Times New Roman" w:eastAsiaTheme="majorEastAsia"/>
          <w:i/>
          <w:iCs/>
          <w:caps w:val="false"/>
          <w:smallCaps w:val="false"/>
          <w:color w:val="000000" w:themeColor="text1"/>
          <w:sz w:val="24"/>
          <w:szCs w:val="24"/>
        </w:rPr>
        <w:t>2. Требования</w:t>
      </w:r>
    </w:p>
    <w:p>
      <w:pPr>
        <w:pStyle w:val="Heading4"/>
        <w:keepNext w:val="true"/>
        <w:keepLines w:val="false"/>
        <w:widowControl/>
        <w:numPr>
          <w:ilvl w:val="0"/>
          <w:numId w:val="0"/>
        </w:numPr>
        <w:suppressAutoHyphens w:val="true"/>
        <w:bidi w:val="0"/>
        <w:spacing w:before="120" w:after="60"/>
        <w:ind w:left="510" w:right="0" w:hanging="0"/>
        <w:jc w:val="left"/>
        <w:rPr>
          <w:sz w:val="24"/>
          <w:szCs w:val="24"/>
        </w:rPr>
      </w:pPr>
      <w:r>
        <w:rPr>
          <w:rFonts w:cs="Times New Roman" w:ascii="Times New Roman" w:hAnsi="Times New Roman"/>
          <w:color w:val="000000" w:themeColor="text1"/>
          <w:sz w:val="24"/>
          <w:szCs w:val="24"/>
          <w:lang w:val="ru-RU"/>
        </w:rPr>
        <w:t xml:space="preserve">2.1. </w:t>
      </w:r>
      <w:bookmarkStart w:id="46" w:name="_Toc159834211"/>
      <w:bookmarkEnd w:id="46"/>
      <w:r>
        <w:rPr>
          <w:rFonts w:cs="Times New Roman" w:ascii="Times New Roman" w:hAnsi="Times New Roman"/>
          <w:color w:val="000000" w:themeColor="text1"/>
          <w:sz w:val="24"/>
          <w:szCs w:val="24"/>
          <w:lang w:val="ru-RU"/>
        </w:rPr>
        <w:t>Требования к объемам и срокам оказания услуг</w:t>
      </w:r>
    </w:p>
    <w:p>
      <w:pPr>
        <w:pStyle w:val="Heading4"/>
        <w:keepLines w:val="false"/>
        <w:numPr>
          <w:ilvl w:val="0"/>
          <w:numId w:val="0"/>
        </w:numPr>
        <w:spacing w:before="120" w:after="60"/>
        <w:ind w:left="574" w:hanging="0"/>
        <w:rPr>
          <w:sz w:val="24"/>
          <w:szCs w:val="24"/>
        </w:rPr>
      </w:pPr>
      <w:r>
        <w:rPr>
          <w:rFonts w:cs="Times New Roman" w:ascii="Times New Roman" w:hAnsi="Times New Roman"/>
          <w:color w:val="000000" w:themeColor="text1"/>
          <w:sz w:val="24"/>
          <w:szCs w:val="24"/>
          <w:lang w:val="ru-RU"/>
        </w:rPr>
        <w:t xml:space="preserve">2.2. </w:t>
      </w:r>
      <w:bookmarkStart w:id="47" w:name="_Toc159834212"/>
      <w:bookmarkEnd w:id="47"/>
      <w:r>
        <w:rPr>
          <w:rFonts w:cs="Times New Roman" w:ascii="Times New Roman" w:hAnsi="Times New Roman"/>
          <w:color w:val="000000" w:themeColor="text1"/>
          <w:sz w:val="24"/>
          <w:szCs w:val="24"/>
          <w:lang w:val="ru-RU"/>
        </w:rPr>
        <w:t>Требования к перечню и объему услуг</w:t>
      </w:r>
    </w:p>
    <w:p>
      <w:pPr>
        <w:pStyle w:val="Normal"/>
        <w:rPr>
          <w:sz w:val="24"/>
          <w:szCs w:val="24"/>
        </w:rPr>
      </w:pPr>
      <w:r>
        <w:rPr>
          <w:sz w:val="24"/>
          <w:szCs w:val="24"/>
          <w:lang w:val="ru-RU"/>
        </w:rPr>
        <w:t xml:space="preserve">Количество проб  воды – не более 35 комплексных проб. </w:t>
      </w:r>
    </w:p>
    <w:p>
      <w:pPr>
        <w:pStyle w:val="Normal"/>
        <w:rPr>
          <w:sz w:val="24"/>
          <w:szCs w:val="24"/>
        </w:rPr>
      </w:pPr>
      <w:r>
        <w:rPr>
          <w:sz w:val="24"/>
          <w:szCs w:val="24"/>
          <w:lang w:val="ru-RU"/>
        </w:rPr>
        <w:t>Перечень показателей общих свойств природных и сточных вод, которые необходимо определить на территории размещения золошлакоотвала Читинской ТЭЦ-1 и прилегающей территории:</w:t>
      </w:r>
    </w:p>
    <w:p>
      <w:pPr>
        <w:pStyle w:val="Normal"/>
        <w:rPr>
          <w:sz w:val="24"/>
          <w:szCs w:val="24"/>
          <w:lang w:val="ru-RU"/>
        </w:rPr>
      </w:pPr>
      <w:r>
        <w:rPr>
          <w:sz w:val="24"/>
          <w:szCs w:val="24"/>
          <w:lang w:val="ru-RU"/>
        </w:rPr>
      </w:r>
    </w:p>
    <w:p>
      <w:pPr>
        <w:pStyle w:val="Normal"/>
        <w:rPr>
          <w:sz w:val="24"/>
          <w:szCs w:val="24"/>
        </w:rPr>
      </w:pPr>
      <w:bookmarkStart w:id="48" w:name="_Toc51339695"/>
      <w:bookmarkStart w:id="49" w:name="_Toc159834213"/>
      <w:r>
        <w:rPr>
          <w:sz w:val="24"/>
          <w:szCs w:val="24"/>
          <w:lang w:val="ru-RU"/>
        </w:rPr>
        <w:t xml:space="preserve">Таблица 2.1. </w:t>
      </w:r>
      <w:bookmarkEnd w:id="48"/>
      <w:bookmarkEnd w:id="49"/>
      <w:r>
        <w:rPr>
          <w:sz w:val="24"/>
          <w:szCs w:val="24"/>
          <w:lang w:val="ru-RU"/>
        </w:rPr>
        <w:t>Перечень и объем оказываемых услуг</w:t>
      </w:r>
    </w:p>
    <w:p>
      <w:pPr>
        <w:pStyle w:val="Normal"/>
        <w:rPr>
          <w:sz w:val="24"/>
          <w:szCs w:val="24"/>
          <w:lang w:val="ru-RU"/>
        </w:rPr>
      </w:pPr>
      <w:r>
        <w:rPr>
          <w:sz w:val="24"/>
          <w:szCs w:val="24"/>
          <w:lang w:val="ru-RU"/>
        </w:rPr>
      </w:r>
    </w:p>
    <w:tbl>
      <w:tblPr>
        <w:tblpPr w:bottomFromText="0" w:horzAnchor="margin" w:leftFromText="180" w:rightFromText="180" w:tblpX="0" w:tblpY="35" w:topFromText="0" w:vertAnchor="text"/>
        <w:tblW w:w="9356" w:type="dxa"/>
        <w:jc w:val="left"/>
        <w:tblInd w:w="103" w:type="dxa"/>
        <w:tblLayout w:type="fixed"/>
        <w:tblCellMar>
          <w:top w:w="0" w:type="dxa"/>
          <w:left w:w="103" w:type="dxa"/>
          <w:bottom w:w="0" w:type="dxa"/>
          <w:right w:w="108" w:type="dxa"/>
        </w:tblCellMar>
        <w:tblLook w:val="0000" w:noHBand="0" w:noVBand="0" w:firstColumn="0" w:lastRow="0" w:lastColumn="0" w:firstRow="0"/>
      </w:tblPr>
      <w:tblGrid>
        <w:gridCol w:w="851"/>
        <w:gridCol w:w="4875"/>
        <w:gridCol w:w="1997"/>
        <w:gridCol w:w="1632"/>
      </w:tblGrid>
      <w:tr>
        <w:trPr>
          <w:trHeight w:val="716" w:hRule="atLeast"/>
        </w:trPr>
        <w:tc>
          <w:tcPr>
            <w:tcW w:w="851" w:type="dxa"/>
            <w:tcBorders>
              <w:top w:val="single" w:sz="4" w:space="0" w:color="000001"/>
              <w:left w:val="single" w:sz="4" w:space="0" w:color="000001"/>
              <w:bottom w:val="single" w:sz="4" w:space="0" w:color="000001"/>
              <w:right w:val="single" w:sz="4" w:space="0" w:color="000001"/>
            </w:tcBorders>
            <w:shd w:fill="auto" w:val="clear"/>
            <w:vAlign w:val="center"/>
          </w:tcPr>
          <w:p>
            <w:pPr>
              <w:pStyle w:val="Normal"/>
              <w:keepNext w:val="true"/>
              <w:widowControl w:val="false"/>
              <w:jc w:val="center"/>
              <w:rPr>
                <w:sz w:val="24"/>
                <w:szCs w:val="24"/>
              </w:rPr>
            </w:pPr>
            <w:r>
              <w:rPr>
                <w:sz w:val="24"/>
                <w:szCs w:val="24"/>
              </w:rPr>
              <w:t>№</w:t>
            </w:r>
          </w:p>
          <w:p>
            <w:pPr>
              <w:pStyle w:val="Normal"/>
              <w:keepNext w:val="true"/>
              <w:widowControl w:val="false"/>
              <w:jc w:val="center"/>
              <w:rPr>
                <w:sz w:val="24"/>
                <w:szCs w:val="24"/>
              </w:rPr>
            </w:pPr>
            <w:r>
              <w:rPr>
                <w:sz w:val="24"/>
                <w:szCs w:val="24"/>
              </w:rPr>
              <w:t>п/п</w:t>
            </w:r>
          </w:p>
        </w:tc>
        <w:tc>
          <w:tcPr>
            <w:tcW w:w="4875" w:type="dxa"/>
            <w:tcBorders>
              <w:top w:val="single" w:sz="4" w:space="0" w:color="000001"/>
              <w:left w:val="single" w:sz="4" w:space="0" w:color="000001"/>
              <w:bottom w:val="single" w:sz="4" w:space="0" w:color="000001"/>
              <w:right w:val="single" w:sz="4" w:space="0" w:color="000001"/>
            </w:tcBorders>
            <w:shd w:fill="auto" w:val="clear"/>
            <w:vAlign w:val="center"/>
          </w:tcPr>
          <w:p>
            <w:pPr>
              <w:pStyle w:val="Normal"/>
              <w:keepNext w:val="true"/>
              <w:widowControl w:val="false"/>
              <w:jc w:val="center"/>
              <w:rPr>
                <w:sz w:val="24"/>
                <w:szCs w:val="24"/>
              </w:rPr>
            </w:pPr>
            <w:r>
              <w:rPr>
                <w:sz w:val="24"/>
                <w:szCs w:val="24"/>
              </w:rPr>
              <w:t>Наименование услуг</w:t>
            </w:r>
          </w:p>
        </w:tc>
        <w:tc>
          <w:tcPr>
            <w:tcW w:w="1997" w:type="dxa"/>
            <w:tcBorders>
              <w:top w:val="single" w:sz="4" w:space="0" w:color="000001"/>
              <w:left w:val="single" w:sz="4" w:space="0" w:color="000001"/>
              <w:bottom w:val="single" w:sz="4" w:space="0" w:color="000001"/>
              <w:right w:val="single" w:sz="4" w:space="0" w:color="000001"/>
            </w:tcBorders>
            <w:shd w:fill="auto" w:val="clear"/>
            <w:vAlign w:val="center"/>
          </w:tcPr>
          <w:p>
            <w:pPr>
              <w:pStyle w:val="Normal"/>
              <w:keepNext w:val="true"/>
              <w:widowControl w:val="false"/>
              <w:jc w:val="center"/>
              <w:rPr>
                <w:sz w:val="24"/>
                <w:szCs w:val="24"/>
              </w:rPr>
            </w:pPr>
            <w:r>
              <w:rPr>
                <w:sz w:val="24"/>
                <w:szCs w:val="24"/>
              </w:rPr>
              <w:t>Единица</w:t>
            </w:r>
          </w:p>
          <w:p>
            <w:pPr>
              <w:pStyle w:val="Normal"/>
              <w:keepNext w:val="true"/>
              <w:widowControl w:val="false"/>
              <w:jc w:val="center"/>
              <w:rPr>
                <w:sz w:val="24"/>
                <w:szCs w:val="24"/>
              </w:rPr>
            </w:pPr>
            <w:r>
              <w:rPr>
                <w:sz w:val="24"/>
                <w:szCs w:val="24"/>
                <w:lang w:val="ru-RU"/>
              </w:rPr>
              <w:t>проба</w:t>
            </w:r>
          </w:p>
        </w:tc>
        <w:tc>
          <w:tcPr>
            <w:tcW w:w="1632" w:type="dxa"/>
            <w:tcBorders>
              <w:top w:val="single" w:sz="4" w:space="0" w:color="000001"/>
              <w:left w:val="single" w:sz="4" w:space="0" w:color="000001"/>
              <w:bottom w:val="single" w:sz="4" w:space="0" w:color="000001"/>
              <w:right w:val="single" w:sz="4" w:space="0" w:color="000001"/>
            </w:tcBorders>
            <w:shd w:fill="auto" w:val="clear"/>
            <w:vAlign w:val="center"/>
          </w:tcPr>
          <w:p>
            <w:pPr>
              <w:pStyle w:val="Normal"/>
              <w:keepNext w:val="true"/>
              <w:widowControl w:val="false"/>
              <w:jc w:val="center"/>
              <w:rPr>
                <w:sz w:val="24"/>
                <w:szCs w:val="24"/>
              </w:rPr>
            </w:pPr>
            <w:r>
              <w:rPr>
                <w:sz w:val="24"/>
                <w:szCs w:val="24"/>
              </w:rPr>
              <w:t>Количество</w:t>
            </w:r>
          </w:p>
        </w:tc>
      </w:tr>
      <w:tr>
        <w:trPr>
          <w:trHeight w:val="352" w:hRule="atLeast"/>
        </w:trPr>
        <w:tc>
          <w:tcPr>
            <w:tcW w:w="851" w:type="dxa"/>
            <w:tcBorders>
              <w:top w:val="single" w:sz="4" w:space="0" w:color="000001"/>
              <w:left w:val="single" w:sz="4" w:space="0" w:color="000001"/>
              <w:bottom w:val="single" w:sz="4" w:space="0" w:color="000001"/>
              <w:right w:val="single" w:sz="4" w:space="0" w:color="000001"/>
            </w:tcBorders>
            <w:shd w:fill="auto" w:val="clear"/>
            <w:vAlign w:val="center"/>
          </w:tcPr>
          <w:p>
            <w:pPr>
              <w:pStyle w:val="ListParagraph"/>
              <w:widowControl w:val="false"/>
              <w:ind w:left="0" w:hanging="0"/>
              <w:jc w:val="center"/>
              <w:rPr>
                <w:sz w:val="24"/>
                <w:szCs w:val="24"/>
              </w:rPr>
            </w:pPr>
            <w:r>
              <w:rPr>
                <w:sz w:val="24"/>
                <w:szCs w:val="24"/>
              </w:rPr>
              <w:t>1</w:t>
            </w:r>
          </w:p>
        </w:tc>
        <w:tc>
          <w:tcPr>
            <w:tcW w:w="4875" w:type="dxa"/>
            <w:tcBorders>
              <w:top w:val="single" w:sz="4" w:space="0" w:color="000001"/>
              <w:left w:val="single" w:sz="4" w:space="0" w:color="000001"/>
              <w:bottom w:val="single" w:sz="4" w:space="0" w:color="000001"/>
              <w:right w:val="single" w:sz="4" w:space="0" w:color="000001"/>
            </w:tcBorders>
            <w:shd w:fill="auto" w:val="clear"/>
            <w:vAlign w:val="center"/>
          </w:tcPr>
          <w:p>
            <w:pPr>
              <w:pStyle w:val="Normal"/>
              <w:widowControl w:val="false"/>
              <w:rPr>
                <w:sz w:val="24"/>
                <w:szCs w:val="24"/>
              </w:rPr>
            </w:pPr>
            <w:r>
              <w:rPr>
                <w:rFonts w:eastAsia="Calibri"/>
                <w:sz w:val="24"/>
                <w:szCs w:val="24"/>
                <w:lang w:val="ru-RU" w:eastAsia="x-none"/>
              </w:rPr>
              <w:t xml:space="preserve">Сточные </w:t>
            </w:r>
            <w:r>
              <w:rPr>
                <w:sz w:val="24"/>
                <w:szCs w:val="24"/>
                <w:lang w:val="ru-RU"/>
              </w:rPr>
              <w:t xml:space="preserve">  и поверхностные </w:t>
            </w:r>
            <w:r>
              <w:rPr>
                <w:rFonts w:eastAsia="Calibri"/>
                <w:sz w:val="24"/>
                <w:szCs w:val="24"/>
                <w:lang w:val="ru-RU" w:eastAsia="x-none"/>
              </w:rPr>
              <w:t>воды</w:t>
            </w:r>
          </w:p>
        </w:tc>
        <w:tc>
          <w:tcPr>
            <w:tcW w:w="1997" w:type="dxa"/>
            <w:tcBorders>
              <w:top w:val="single" w:sz="4" w:space="0" w:color="000001"/>
              <w:left w:val="single" w:sz="4" w:space="0" w:color="000001"/>
              <w:bottom w:val="single" w:sz="4" w:space="0" w:color="000001"/>
              <w:right w:val="single" w:sz="4" w:space="0" w:color="000001"/>
            </w:tcBorders>
            <w:shd w:fill="auto" w:val="clear"/>
            <w:vAlign w:val="center"/>
          </w:tcPr>
          <w:p>
            <w:pPr>
              <w:pStyle w:val="Normal"/>
              <w:widowControl w:val="false"/>
              <w:jc w:val="center"/>
              <w:rPr>
                <w:sz w:val="24"/>
                <w:szCs w:val="24"/>
              </w:rPr>
            </w:pPr>
            <w:r>
              <w:rPr>
                <w:iCs/>
                <w:sz w:val="24"/>
                <w:szCs w:val="24"/>
                <w:lang w:val="ru-RU"/>
              </w:rPr>
              <w:t>ш</w:t>
            </w:r>
            <w:r>
              <w:rPr>
                <w:iCs/>
                <w:sz w:val="24"/>
                <w:szCs w:val="24"/>
              </w:rPr>
              <w:t>т</w:t>
            </w:r>
            <w:r>
              <w:rPr>
                <w:i/>
                <w:sz w:val="24"/>
                <w:szCs w:val="24"/>
              </w:rPr>
              <w:t>.</w:t>
            </w:r>
          </w:p>
        </w:tc>
        <w:tc>
          <w:tcPr>
            <w:tcW w:w="1632" w:type="dxa"/>
            <w:tcBorders>
              <w:top w:val="single" w:sz="4" w:space="0" w:color="000001"/>
              <w:left w:val="single" w:sz="4" w:space="0" w:color="000001"/>
              <w:bottom w:val="single" w:sz="4" w:space="0" w:color="000001"/>
              <w:right w:val="single" w:sz="4" w:space="0" w:color="000001"/>
            </w:tcBorders>
            <w:shd w:fill="auto" w:val="clear"/>
            <w:vAlign w:val="center"/>
          </w:tcPr>
          <w:p>
            <w:pPr>
              <w:pStyle w:val="Normal"/>
              <w:widowControl w:val="false"/>
              <w:jc w:val="center"/>
              <w:rPr>
                <w:sz w:val="24"/>
                <w:szCs w:val="24"/>
              </w:rPr>
            </w:pPr>
            <w:r>
              <w:rPr>
                <w:iCs/>
                <w:sz w:val="24"/>
                <w:szCs w:val="24"/>
                <w:lang w:val="ru-RU"/>
              </w:rPr>
              <w:t>25</w:t>
            </w:r>
          </w:p>
        </w:tc>
      </w:tr>
      <w:tr>
        <w:trPr>
          <w:trHeight w:val="352" w:hRule="atLeast"/>
        </w:trPr>
        <w:tc>
          <w:tcPr>
            <w:tcW w:w="851" w:type="dxa"/>
            <w:tcBorders>
              <w:top w:val="single" w:sz="4" w:space="0" w:color="000001"/>
              <w:left w:val="single" w:sz="4" w:space="0" w:color="000001"/>
              <w:bottom w:val="single" w:sz="4" w:space="0" w:color="000001"/>
              <w:right w:val="single" w:sz="4" w:space="0" w:color="000001"/>
            </w:tcBorders>
            <w:shd w:fill="auto" w:val="clear"/>
            <w:vAlign w:val="center"/>
          </w:tcPr>
          <w:p>
            <w:pPr>
              <w:pStyle w:val="ListParagraph"/>
              <w:widowControl w:val="false"/>
              <w:ind w:left="0" w:hanging="0"/>
              <w:jc w:val="center"/>
              <w:rPr>
                <w:sz w:val="24"/>
                <w:szCs w:val="24"/>
              </w:rPr>
            </w:pPr>
            <w:r>
              <w:rPr>
                <w:sz w:val="24"/>
                <w:szCs w:val="24"/>
              </w:rPr>
              <w:t>2</w:t>
            </w:r>
          </w:p>
        </w:tc>
        <w:tc>
          <w:tcPr>
            <w:tcW w:w="4875" w:type="dxa"/>
            <w:tcBorders>
              <w:top w:val="single" w:sz="4" w:space="0" w:color="000001"/>
              <w:left w:val="single" w:sz="4" w:space="0" w:color="000001"/>
              <w:bottom w:val="single" w:sz="4" w:space="0" w:color="000001"/>
              <w:right w:val="single" w:sz="4" w:space="0" w:color="000001"/>
            </w:tcBorders>
            <w:shd w:fill="auto" w:val="clear"/>
            <w:vAlign w:val="center"/>
          </w:tcPr>
          <w:p>
            <w:pPr>
              <w:pStyle w:val="Normal"/>
              <w:widowControl w:val="false"/>
              <w:rPr>
                <w:sz w:val="24"/>
                <w:szCs w:val="24"/>
              </w:rPr>
            </w:pPr>
            <w:r>
              <w:rPr>
                <w:sz w:val="24"/>
                <w:szCs w:val="24"/>
                <w:lang w:val="ru-RU"/>
              </w:rPr>
              <w:t>Подземные</w:t>
            </w:r>
            <w:r>
              <w:rPr>
                <w:rFonts w:eastAsia="Calibri"/>
                <w:sz w:val="24"/>
                <w:szCs w:val="24"/>
                <w:lang w:val="ru-RU" w:eastAsia="x-none"/>
              </w:rPr>
              <w:t xml:space="preserve"> воды</w:t>
            </w:r>
          </w:p>
        </w:tc>
        <w:tc>
          <w:tcPr>
            <w:tcW w:w="1997" w:type="dxa"/>
            <w:tcBorders>
              <w:top w:val="single" w:sz="4" w:space="0" w:color="000001"/>
              <w:left w:val="single" w:sz="4" w:space="0" w:color="000001"/>
              <w:bottom w:val="single" w:sz="4" w:space="0" w:color="000001"/>
              <w:right w:val="single" w:sz="4" w:space="0" w:color="000001"/>
            </w:tcBorders>
            <w:shd w:fill="auto" w:val="clear"/>
            <w:vAlign w:val="center"/>
          </w:tcPr>
          <w:p>
            <w:pPr>
              <w:pStyle w:val="Normal"/>
              <w:widowControl w:val="false"/>
              <w:jc w:val="center"/>
              <w:rPr>
                <w:sz w:val="24"/>
                <w:szCs w:val="24"/>
              </w:rPr>
            </w:pPr>
            <w:r>
              <w:rPr>
                <w:iCs/>
                <w:sz w:val="24"/>
                <w:szCs w:val="24"/>
                <w:lang w:val="ru-RU"/>
              </w:rPr>
              <w:t>шт.</w:t>
            </w:r>
          </w:p>
        </w:tc>
        <w:tc>
          <w:tcPr>
            <w:tcW w:w="1632" w:type="dxa"/>
            <w:tcBorders>
              <w:top w:val="single" w:sz="4" w:space="0" w:color="000001"/>
              <w:left w:val="single" w:sz="4" w:space="0" w:color="000001"/>
              <w:bottom w:val="single" w:sz="4" w:space="0" w:color="000001"/>
              <w:right w:val="single" w:sz="4" w:space="0" w:color="000001"/>
            </w:tcBorders>
            <w:shd w:fill="auto" w:val="clear"/>
            <w:vAlign w:val="center"/>
          </w:tcPr>
          <w:p>
            <w:pPr>
              <w:pStyle w:val="Normal"/>
              <w:widowControl w:val="false"/>
              <w:jc w:val="center"/>
              <w:rPr>
                <w:sz w:val="24"/>
                <w:szCs w:val="24"/>
              </w:rPr>
            </w:pPr>
            <w:r>
              <w:rPr>
                <w:iCs/>
                <w:sz w:val="24"/>
                <w:szCs w:val="24"/>
                <w:lang w:val="ru-RU"/>
              </w:rPr>
              <w:t>10</w:t>
            </w:r>
          </w:p>
        </w:tc>
      </w:tr>
    </w:tbl>
    <w:p>
      <w:pPr>
        <w:pStyle w:val="Normal"/>
        <w:rPr>
          <w:sz w:val="24"/>
          <w:szCs w:val="24"/>
          <w:lang w:val="ru-RU"/>
        </w:rPr>
      </w:pPr>
      <w:r>
        <w:rPr>
          <w:sz w:val="24"/>
          <w:szCs w:val="24"/>
          <w:lang w:val="ru-RU"/>
        </w:rPr>
      </w:r>
    </w:p>
    <w:p>
      <w:pPr>
        <w:pStyle w:val="Heading4"/>
        <w:keepLines w:val="false"/>
        <w:numPr>
          <w:ilvl w:val="0"/>
          <w:numId w:val="0"/>
        </w:numPr>
        <w:spacing w:before="120" w:after="60"/>
        <w:ind w:left="574" w:hanging="0"/>
        <w:rPr>
          <w:sz w:val="24"/>
          <w:szCs w:val="24"/>
        </w:rPr>
      </w:pPr>
      <w:r>
        <w:rPr>
          <w:rFonts w:cs="Times New Roman" w:ascii="Times New Roman" w:hAnsi="Times New Roman"/>
          <w:color w:val="000000" w:themeColor="text1"/>
          <w:sz w:val="24"/>
          <w:szCs w:val="24"/>
          <w:lang w:val="ru-RU"/>
        </w:rPr>
        <w:t xml:space="preserve">2.3. </w:t>
      </w:r>
      <w:bookmarkStart w:id="50" w:name="_Toc159834214"/>
      <w:bookmarkStart w:id="51" w:name="_Toc51339696"/>
      <w:r>
        <w:rPr>
          <w:rFonts w:cs="Times New Roman" w:ascii="Times New Roman" w:hAnsi="Times New Roman"/>
          <w:color w:val="000000" w:themeColor="text1"/>
          <w:sz w:val="24"/>
          <w:szCs w:val="24"/>
          <w:lang w:val="ru-RU"/>
        </w:rPr>
        <w:t xml:space="preserve">Требования </w:t>
      </w:r>
      <w:bookmarkEnd w:id="50"/>
      <w:bookmarkEnd w:id="51"/>
      <w:r>
        <w:rPr>
          <w:rFonts w:cs="Times New Roman" w:ascii="Times New Roman" w:hAnsi="Times New Roman"/>
          <w:color w:val="000000" w:themeColor="text1"/>
          <w:sz w:val="24"/>
          <w:szCs w:val="24"/>
          <w:lang w:val="ru-RU"/>
        </w:rPr>
        <w:t>к срокам оказания услуг</w:t>
      </w:r>
    </w:p>
    <w:p>
      <w:pPr>
        <w:pStyle w:val="Normal"/>
        <w:rPr>
          <w:sz w:val="24"/>
          <w:szCs w:val="24"/>
          <w:lang w:val="ru-RU"/>
        </w:rPr>
      </w:pPr>
      <w:r>
        <w:rPr>
          <w:sz w:val="24"/>
          <w:szCs w:val="24"/>
          <w:lang w:val="ru-RU"/>
        </w:rPr>
      </w:r>
    </w:p>
    <w:p>
      <w:pPr>
        <w:pStyle w:val="Normal"/>
        <w:rPr>
          <w:sz w:val="24"/>
          <w:szCs w:val="24"/>
        </w:rPr>
      </w:pPr>
      <w:bookmarkStart w:id="52" w:name="_Toc159834215"/>
      <w:bookmarkStart w:id="53" w:name="_Toc51339697"/>
      <w:bookmarkStart w:id="54" w:name="_Toc50125127"/>
      <w:bookmarkStart w:id="55" w:name="_Toc50125126_Копия_1"/>
      <w:bookmarkEnd w:id="55"/>
      <w:r>
        <w:rPr>
          <w:sz w:val="24"/>
          <w:szCs w:val="24"/>
          <w:lang w:val="ru-RU"/>
        </w:rPr>
        <w:t xml:space="preserve">Таблица 2.3.1 </w:t>
      </w:r>
      <w:bookmarkStart w:id="56" w:name="_Hlk50465284"/>
      <w:r>
        <w:rPr>
          <w:sz w:val="24"/>
          <w:szCs w:val="24"/>
          <w:lang w:val="ru-RU"/>
        </w:rPr>
        <w:t xml:space="preserve">Требования к срокам </w:t>
      </w:r>
      <w:bookmarkEnd w:id="52"/>
      <w:bookmarkEnd w:id="53"/>
      <w:bookmarkEnd w:id="54"/>
      <w:bookmarkEnd w:id="56"/>
      <w:r>
        <w:rPr>
          <w:sz w:val="24"/>
          <w:szCs w:val="24"/>
          <w:lang w:val="ru-RU"/>
        </w:rPr>
        <w:t>оказания услуг</w:t>
      </w:r>
    </w:p>
    <w:p>
      <w:pPr>
        <w:pStyle w:val="Normal"/>
        <w:rPr>
          <w:sz w:val="24"/>
          <w:szCs w:val="24"/>
          <w:lang w:val="ru-RU"/>
        </w:rPr>
      </w:pPr>
      <w:r>
        <w:rPr>
          <w:sz w:val="24"/>
          <w:szCs w:val="24"/>
          <w:lang w:val="ru-RU"/>
        </w:rPr>
      </w:r>
    </w:p>
    <w:tbl>
      <w:tblPr>
        <w:tblW w:w="9782" w:type="dxa"/>
        <w:jc w:val="left"/>
        <w:tblInd w:w="-175" w:type="dxa"/>
        <w:tblLayout w:type="fixed"/>
        <w:tblCellMar>
          <w:top w:w="0" w:type="dxa"/>
          <w:left w:w="103" w:type="dxa"/>
          <w:bottom w:w="0" w:type="dxa"/>
          <w:right w:w="108" w:type="dxa"/>
        </w:tblCellMar>
        <w:tblLook w:val="0000" w:noHBand="0" w:noVBand="0" w:firstColumn="0" w:lastRow="0" w:lastColumn="0" w:firstRow="0"/>
      </w:tblPr>
      <w:tblGrid>
        <w:gridCol w:w="710"/>
        <w:gridCol w:w="4960"/>
        <w:gridCol w:w="2272"/>
        <w:gridCol w:w="1839"/>
      </w:tblGrid>
      <w:tr>
        <w:trPr/>
        <w:tc>
          <w:tcPr>
            <w:tcW w:w="710" w:type="dxa"/>
            <w:tcBorders>
              <w:top w:val="single" w:sz="4" w:space="0" w:color="000001"/>
              <w:left w:val="single" w:sz="4" w:space="0" w:color="000001"/>
              <w:bottom w:val="single" w:sz="4" w:space="0" w:color="000001"/>
              <w:right w:val="single" w:sz="4" w:space="0" w:color="000001"/>
            </w:tcBorders>
            <w:shd w:fill="auto" w:val="clear"/>
            <w:vAlign w:val="center"/>
          </w:tcPr>
          <w:p>
            <w:pPr>
              <w:pStyle w:val="Normal"/>
              <w:widowControl w:val="false"/>
              <w:jc w:val="center"/>
              <w:rPr>
                <w:sz w:val="24"/>
                <w:szCs w:val="24"/>
              </w:rPr>
            </w:pPr>
            <w:r>
              <w:rPr>
                <w:sz w:val="24"/>
                <w:szCs w:val="24"/>
                <w:lang w:val="ru-RU"/>
              </w:rPr>
              <w:t>№</w:t>
            </w:r>
          </w:p>
          <w:p>
            <w:pPr>
              <w:pStyle w:val="Normal"/>
              <w:widowControl w:val="false"/>
              <w:jc w:val="center"/>
              <w:rPr>
                <w:sz w:val="24"/>
                <w:szCs w:val="24"/>
              </w:rPr>
            </w:pPr>
            <w:r>
              <w:rPr>
                <w:sz w:val="24"/>
                <w:szCs w:val="24"/>
                <w:lang w:val="ru-RU"/>
              </w:rPr>
              <w:t xml:space="preserve"> </w:t>
            </w:r>
            <w:r>
              <w:rPr>
                <w:sz w:val="24"/>
                <w:szCs w:val="24"/>
                <w:lang w:val="ru-RU"/>
              </w:rPr>
              <w:t>п/п</w:t>
            </w:r>
          </w:p>
        </w:tc>
        <w:tc>
          <w:tcPr>
            <w:tcW w:w="4960" w:type="dxa"/>
            <w:tcBorders>
              <w:top w:val="single" w:sz="4" w:space="0" w:color="000001"/>
              <w:left w:val="single" w:sz="4" w:space="0" w:color="000001"/>
              <w:bottom w:val="single" w:sz="4" w:space="0" w:color="000001"/>
              <w:right w:val="single" w:sz="4" w:space="0" w:color="000001"/>
            </w:tcBorders>
            <w:shd w:fill="auto" w:val="clear"/>
            <w:vAlign w:val="center"/>
          </w:tcPr>
          <w:p>
            <w:pPr>
              <w:pStyle w:val="Normal"/>
              <w:widowControl w:val="false"/>
              <w:jc w:val="center"/>
              <w:rPr>
                <w:sz w:val="24"/>
                <w:szCs w:val="24"/>
              </w:rPr>
            </w:pPr>
            <w:r>
              <w:rPr>
                <w:sz w:val="24"/>
                <w:szCs w:val="24"/>
                <w:lang w:val="ru-RU"/>
              </w:rPr>
              <w:t>Наименование услуг/ этапа услуг</w:t>
            </w:r>
          </w:p>
        </w:tc>
        <w:tc>
          <w:tcPr>
            <w:tcW w:w="2272"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jc w:val="center"/>
              <w:rPr>
                <w:sz w:val="24"/>
                <w:szCs w:val="24"/>
              </w:rPr>
            </w:pPr>
            <w:r>
              <w:rPr>
                <w:sz w:val="24"/>
                <w:szCs w:val="24"/>
                <w:lang w:val="ru-RU"/>
              </w:rPr>
              <w:t>Требования к началу срока оказания услуг/ этапа услуг</w:t>
            </w:r>
          </w:p>
        </w:tc>
        <w:tc>
          <w:tcPr>
            <w:tcW w:w="1839" w:type="dxa"/>
            <w:tcBorders>
              <w:top w:val="single" w:sz="4" w:space="0" w:color="000001"/>
              <w:left w:val="single" w:sz="4" w:space="0" w:color="000001"/>
              <w:bottom w:val="single" w:sz="4" w:space="0" w:color="000001"/>
              <w:right w:val="single" w:sz="4" w:space="0" w:color="000001"/>
            </w:tcBorders>
            <w:shd w:fill="auto" w:val="clear"/>
            <w:vAlign w:val="center"/>
          </w:tcPr>
          <w:p>
            <w:pPr>
              <w:pStyle w:val="Normal"/>
              <w:widowControl w:val="false"/>
              <w:jc w:val="center"/>
              <w:rPr>
                <w:sz w:val="24"/>
                <w:szCs w:val="24"/>
              </w:rPr>
            </w:pPr>
            <w:r>
              <w:rPr>
                <w:sz w:val="24"/>
                <w:szCs w:val="24"/>
                <w:lang w:val="ru-RU"/>
              </w:rPr>
              <w:t>Требования к окончанию оказания услуг/ этапа услуг</w:t>
            </w:r>
          </w:p>
        </w:tc>
      </w:tr>
      <w:tr>
        <w:trPr/>
        <w:tc>
          <w:tcPr>
            <w:tcW w:w="710"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jc w:val="center"/>
              <w:rPr>
                <w:sz w:val="24"/>
                <w:szCs w:val="24"/>
              </w:rPr>
            </w:pPr>
            <w:r>
              <w:rPr>
                <w:sz w:val="24"/>
                <w:szCs w:val="24"/>
              </w:rPr>
              <w:t>1</w:t>
            </w:r>
          </w:p>
        </w:tc>
        <w:tc>
          <w:tcPr>
            <w:tcW w:w="4960"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jc w:val="center"/>
              <w:rPr>
                <w:sz w:val="24"/>
                <w:szCs w:val="24"/>
              </w:rPr>
            </w:pPr>
            <w:r>
              <w:rPr>
                <w:sz w:val="24"/>
                <w:szCs w:val="24"/>
              </w:rPr>
              <w:t>2</w:t>
            </w:r>
          </w:p>
        </w:tc>
        <w:tc>
          <w:tcPr>
            <w:tcW w:w="2272" w:type="dxa"/>
            <w:tcBorders>
              <w:top w:val="single" w:sz="4" w:space="0" w:color="000001"/>
              <w:left w:val="single" w:sz="4" w:space="0" w:color="000001"/>
              <w:bottom w:val="single" w:sz="4" w:space="0" w:color="000001"/>
              <w:right w:val="single" w:sz="4" w:space="0" w:color="000001"/>
            </w:tcBorders>
            <w:shd w:fill="auto" w:val="clear"/>
          </w:tcPr>
          <w:p>
            <w:pPr>
              <w:pStyle w:val="Style31"/>
              <w:keepNext w:val="false"/>
              <w:widowControl w:val="false"/>
              <w:spacing w:before="0" w:after="0"/>
              <w:ind w:left="0" w:right="0" w:hanging="0"/>
              <w:jc w:val="center"/>
              <w:rPr>
                <w:sz w:val="24"/>
                <w:szCs w:val="24"/>
              </w:rPr>
            </w:pPr>
            <w:r>
              <w:rPr>
                <w:sz w:val="24"/>
                <w:szCs w:val="24"/>
              </w:rPr>
              <w:t>3</w:t>
            </w:r>
          </w:p>
        </w:tc>
        <w:tc>
          <w:tcPr>
            <w:tcW w:w="1839" w:type="dxa"/>
            <w:tcBorders>
              <w:top w:val="single" w:sz="4" w:space="0" w:color="000001"/>
              <w:left w:val="single" w:sz="4" w:space="0" w:color="000001"/>
              <w:bottom w:val="single" w:sz="4" w:space="0" w:color="000001"/>
              <w:right w:val="single" w:sz="4" w:space="0" w:color="000001"/>
            </w:tcBorders>
            <w:shd w:fill="auto" w:val="clear"/>
          </w:tcPr>
          <w:p>
            <w:pPr>
              <w:pStyle w:val="Style31"/>
              <w:keepNext w:val="false"/>
              <w:widowControl w:val="false"/>
              <w:spacing w:before="0" w:after="0"/>
              <w:ind w:left="0" w:right="0" w:hanging="0"/>
              <w:jc w:val="center"/>
              <w:rPr>
                <w:sz w:val="24"/>
                <w:szCs w:val="24"/>
              </w:rPr>
            </w:pPr>
            <w:r>
              <w:rPr>
                <w:sz w:val="24"/>
                <w:szCs w:val="24"/>
              </w:rPr>
              <w:t>4</w:t>
            </w:r>
          </w:p>
        </w:tc>
      </w:tr>
      <w:tr>
        <w:trPr/>
        <w:tc>
          <w:tcPr>
            <w:tcW w:w="710" w:type="dxa"/>
            <w:tcBorders>
              <w:top w:val="single" w:sz="4" w:space="0" w:color="000001"/>
              <w:left w:val="single" w:sz="4" w:space="0" w:color="000001"/>
              <w:bottom w:val="single" w:sz="4" w:space="0" w:color="000001"/>
              <w:right w:val="single" w:sz="4" w:space="0" w:color="000001"/>
            </w:tcBorders>
            <w:shd w:fill="auto" w:val="clear"/>
          </w:tcPr>
          <w:p>
            <w:pPr>
              <w:pStyle w:val="ListParagraph"/>
              <w:widowControl w:val="false"/>
              <w:ind w:left="0" w:hanging="0"/>
              <w:jc w:val="center"/>
              <w:rPr>
                <w:sz w:val="24"/>
                <w:szCs w:val="24"/>
              </w:rPr>
            </w:pPr>
            <w:r>
              <w:rPr>
                <w:sz w:val="24"/>
                <w:szCs w:val="24"/>
              </w:rPr>
              <w:t>1</w:t>
            </w:r>
          </w:p>
        </w:tc>
        <w:tc>
          <w:tcPr>
            <w:tcW w:w="4960"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jc w:val="both"/>
              <w:rPr>
                <w:sz w:val="24"/>
                <w:szCs w:val="24"/>
              </w:rPr>
            </w:pPr>
            <w:r>
              <w:rPr>
                <w:sz w:val="24"/>
                <w:szCs w:val="24"/>
                <w:lang w:val="ru-RU"/>
              </w:rPr>
              <w:t>Лабораторные исследования</w:t>
            </w:r>
          </w:p>
        </w:tc>
        <w:tc>
          <w:tcPr>
            <w:tcW w:w="2272" w:type="dxa"/>
            <w:tcBorders>
              <w:top w:val="single" w:sz="4" w:space="0" w:color="000001"/>
              <w:left w:val="single" w:sz="4" w:space="0" w:color="000001"/>
              <w:bottom w:val="single" w:sz="4" w:space="0" w:color="000001"/>
              <w:right w:val="single" w:sz="4" w:space="0" w:color="000001"/>
            </w:tcBorders>
            <w:shd w:fill="auto" w:val="clear"/>
            <w:vAlign w:val="center"/>
          </w:tcPr>
          <w:p>
            <w:pPr>
              <w:pStyle w:val="ListParagraph"/>
              <w:widowControl w:val="false"/>
              <w:tabs>
                <w:tab w:val="clear" w:pos="709"/>
                <w:tab w:val="left" w:pos="1276" w:leader="none"/>
              </w:tabs>
              <w:ind w:left="0" w:hanging="0"/>
              <w:jc w:val="both"/>
              <w:rPr/>
            </w:pPr>
            <w:r>
              <w:rPr>
                <w:bCs/>
                <w:color w:val="000000"/>
                <w:sz w:val="24"/>
                <w:szCs w:val="24"/>
                <w:lang w:val="ru-RU"/>
              </w:rPr>
              <w:t>дата заключения договора</w:t>
            </w:r>
          </w:p>
        </w:tc>
        <w:tc>
          <w:tcPr>
            <w:tcW w:w="1839" w:type="dxa"/>
            <w:tcBorders>
              <w:top w:val="single" w:sz="4" w:space="0" w:color="000001"/>
              <w:left w:val="single" w:sz="4" w:space="0" w:color="000001"/>
              <w:bottom w:val="single" w:sz="4" w:space="0" w:color="000001"/>
              <w:right w:val="single" w:sz="4" w:space="0" w:color="000001"/>
            </w:tcBorders>
            <w:shd w:fill="auto" w:val="clear"/>
            <w:vAlign w:val="center"/>
          </w:tcPr>
          <w:p>
            <w:pPr>
              <w:pStyle w:val="Normal"/>
              <w:widowControl w:val="false"/>
              <w:jc w:val="center"/>
              <w:rPr>
                <w:sz w:val="24"/>
                <w:szCs w:val="24"/>
              </w:rPr>
            </w:pPr>
            <w:r>
              <w:rPr>
                <w:color w:val="000000"/>
                <w:sz w:val="24"/>
                <w:szCs w:val="24"/>
                <w:lang w:val="ru-RU"/>
              </w:rPr>
              <w:t>15.11.2026</w:t>
            </w:r>
          </w:p>
        </w:tc>
      </w:tr>
    </w:tbl>
    <w:p>
      <w:pPr>
        <w:pStyle w:val="Heading4"/>
        <w:keepLines w:val="false"/>
        <w:spacing w:before="0" w:after="0"/>
        <w:ind w:left="431" w:hanging="0"/>
        <w:rPr>
          <w:rFonts w:ascii="Times New Roman" w:hAnsi="Times New Roman" w:cs="Times New Roman"/>
          <w:color w:val="000000" w:themeColor="text1"/>
          <w:sz w:val="24"/>
          <w:szCs w:val="24"/>
        </w:rPr>
      </w:pPr>
      <w:r>
        <w:rPr>
          <w:rFonts w:cs="Times New Roman" w:ascii="Times New Roman" w:hAnsi="Times New Roman"/>
          <w:color w:val="000000" w:themeColor="text1"/>
          <w:sz w:val="24"/>
          <w:szCs w:val="24"/>
        </w:rPr>
      </w:r>
      <w:bookmarkStart w:id="57" w:name="_Toc46743510_Копия_1"/>
      <w:bookmarkStart w:id="58" w:name="_Toc46743510_Копия_1"/>
      <w:bookmarkEnd w:id="58"/>
    </w:p>
    <w:p>
      <w:pPr>
        <w:pStyle w:val="Heading4"/>
        <w:keepNext w:val="true"/>
        <w:keepLines w:val="false"/>
        <w:widowControl/>
        <w:numPr>
          <w:ilvl w:val="0"/>
          <w:numId w:val="0"/>
        </w:numPr>
        <w:suppressAutoHyphens w:val="true"/>
        <w:bidi w:val="0"/>
        <w:spacing w:lineRule="auto" w:line="360" w:before="0" w:after="0"/>
        <w:ind w:left="624" w:right="0" w:hanging="0"/>
        <w:jc w:val="left"/>
        <w:rPr>
          <w:sz w:val="24"/>
          <w:szCs w:val="24"/>
        </w:rPr>
      </w:pPr>
      <w:r>
        <w:rPr>
          <w:rFonts w:cs="Times New Roman" w:ascii="Times New Roman" w:hAnsi="Times New Roman"/>
          <w:color w:val="000000" w:themeColor="text1"/>
          <w:sz w:val="24"/>
          <w:szCs w:val="24"/>
        </w:rPr>
        <w:t xml:space="preserve">      </w:t>
      </w:r>
      <w:r>
        <w:rPr>
          <w:rFonts w:cs="Times New Roman" w:ascii="Times New Roman" w:hAnsi="Times New Roman"/>
          <w:color w:val="000000" w:themeColor="text1"/>
          <w:sz w:val="24"/>
          <w:szCs w:val="24"/>
        </w:rPr>
        <w:t xml:space="preserve">2.4. </w:t>
      </w:r>
      <w:r>
        <w:rPr>
          <w:rFonts w:cs="Times New Roman" w:ascii="Times New Roman" w:hAnsi="Times New Roman"/>
          <w:color w:val="000000" w:themeColor="text1"/>
          <w:sz w:val="24"/>
          <w:szCs w:val="24"/>
          <w:lang w:val="ru-RU"/>
        </w:rPr>
        <w:t xml:space="preserve">Требования </w:t>
      </w:r>
      <w:r>
        <w:rPr>
          <w:rFonts w:cs="Times New Roman" w:ascii="Times New Roman" w:hAnsi="Times New Roman"/>
          <w:color w:val="000000" w:themeColor="text1"/>
          <w:sz w:val="24"/>
          <w:szCs w:val="24"/>
        </w:rPr>
        <w:t>к качеству услуг</w:t>
      </w:r>
    </w:p>
    <w:p>
      <w:pPr>
        <w:pStyle w:val="Normal"/>
        <w:spacing w:lineRule="auto" w:line="312"/>
        <w:ind w:firstLine="709"/>
        <w:jc w:val="both"/>
        <w:rPr>
          <w:sz w:val="24"/>
          <w:szCs w:val="24"/>
        </w:rPr>
      </w:pPr>
      <w:r>
        <w:rPr>
          <w:sz w:val="24"/>
          <w:szCs w:val="24"/>
          <w:lang w:val="ru-RU"/>
        </w:rPr>
        <w:t>Наличие аттестата Росаккредитации и оказание соответствующих услуг только при наличии действующего аттестата аккредитации (с предоставлением копий подтверждающих документов).</w:t>
      </w:r>
    </w:p>
    <w:p>
      <w:pPr>
        <w:pStyle w:val="Normal"/>
        <w:spacing w:lineRule="auto" w:line="312"/>
        <w:ind w:firstLine="709"/>
        <w:jc w:val="both"/>
        <w:rPr>
          <w:sz w:val="24"/>
          <w:szCs w:val="24"/>
        </w:rPr>
      </w:pPr>
      <w:r>
        <w:rPr>
          <w:color w:val="333333"/>
          <w:sz w:val="24"/>
          <w:szCs w:val="24"/>
          <w:shd w:fill="FFFFFF" w:val="clear"/>
          <w:lang w:val="ru-RU"/>
        </w:rPr>
        <w:t>Наличие соответствующей области аккредитации в сфере природных и сточных вод.</w:t>
      </w:r>
    </w:p>
    <w:p>
      <w:pPr>
        <w:pStyle w:val="Normal"/>
        <w:spacing w:lineRule="auto" w:line="312"/>
        <w:ind w:firstLine="709"/>
        <w:jc w:val="both"/>
        <w:rPr>
          <w:sz w:val="24"/>
          <w:szCs w:val="24"/>
        </w:rPr>
      </w:pPr>
      <w:r>
        <w:rPr>
          <w:sz w:val="24"/>
          <w:szCs w:val="24"/>
          <w:lang w:val="ru-RU"/>
        </w:rPr>
        <w:t xml:space="preserve">Лаборатория  принимает  пробы не позднее 24 часов после отбора, согласно требованиям к срокам хранения установленными ГОСТ Р 59024-2020 </w:t>
      </w:r>
      <w:r>
        <w:rPr>
          <w:sz w:val="24"/>
          <w:szCs w:val="24"/>
          <w:u w:val="single"/>
          <w:lang w:val="ru-RU"/>
        </w:rPr>
        <w:t>согласно утвержденному графику между заказчиком и исполнителем.</w:t>
      </w:r>
    </w:p>
    <w:p>
      <w:pPr>
        <w:pStyle w:val="Normal"/>
        <w:spacing w:lineRule="auto" w:line="336"/>
        <w:ind w:firstLine="709"/>
        <w:jc w:val="both"/>
        <w:rPr>
          <w:sz w:val="24"/>
          <w:szCs w:val="24"/>
        </w:rPr>
      </w:pPr>
      <w:r>
        <w:rPr>
          <w:sz w:val="24"/>
          <w:szCs w:val="24"/>
          <w:lang w:val="ru-RU"/>
        </w:rPr>
        <w:t xml:space="preserve">Лаборатория передает в течение срока оказания услуг протоколы выполнения исследований по выполнению количественного химического анализа состава природных и сточных вод </w:t>
      </w:r>
      <w:r>
        <w:rPr>
          <w:color w:val="333333"/>
          <w:sz w:val="24"/>
          <w:szCs w:val="24"/>
          <w:shd w:fill="FFFFFF" w:val="clear"/>
          <w:lang w:val="ru-RU"/>
        </w:rPr>
        <w:t xml:space="preserve">с указанием методики, условий проведения и полученных значений с допустимой погрешностью </w:t>
      </w:r>
      <w:r>
        <w:rPr>
          <w:sz w:val="24"/>
          <w:szCs w:val="24"/>
          <w:lang w:val="ru-RU"/>
        </w:rPr>
        <w:t>оформленные на бумажных носителях в 2 (двух) экземплярах.</w:t>
      </w:r>
    </w:p>
    <w:p>
      <w:pPr>
        <w:pStyle w:val="Normal"/>
        <w:spacing w:lineRule="auto" w:line="336"/>
        <w:ind w:firstLine="709"/>
        <w:jc w:val="both"/>
        <w:rPr>
          <w:sz w:val="24"/>
          <w:szCs w:val="24"/>
        </w:rPr>
      </w:pPr>
      <w:r>
        <w:rPr>
          <w:sz w:val="24"/>
          <w:szCs w:val="24"/>
          <w:lang w:val="ru-RU"/>
        </w:rPr>
        <w:t xml:space="preserve">Качество оказанных услуг должно соответствовать условиям договора,  правилам и нормам, утвержденным для оказания  данного вида услуг. </w:t>
      </w:r>
    </w:p>
    <w:p>
      <w:pPr>
        <w:pStyle w:val="Normal"/>
        <w:spacing w:lineRule="auto" w:line="336"/>
        <w:ind w:firstLine="709"/>
        <w:jc w:val="both"/>
        <w:rPr>
          <w:sz w:val="24"/>
          <w:szCs w:val="24"/>
        </w:rPr>
      </w:pPr>
      <w:r>
        <w:rPr>
          <w:sz w:val="24"/>
          <w:szCs w:val="24"/>
          <w:lang w:val="ru-RU"/>
        </w:rPr>
        <w:t>Химический анализ природных и сточных вод выполняется в соответствии с данными Таблицы 2.4.1.</w:t>
      </w:r>
    </w:p>
    <w:p>
      <w:pPr>
        <w:pStyle w:val="Normal"/>
        <w:spacing w:lineRule="auto" w:line="360"/>
        <w:ind w:firstLine="709"/>
        <w:jc w:val="both"/>
        <w:rPr>
          <w:sz w:val="24"/>
          <w:szCs w:val="24"/>
        </w:rPr>
      </w:pPr>
      <w:r>
        <w:rPr>
          <w:sz w:val="24"/>
          <w:szCs w:val="24"/>
          <w:lang w:val="ru-RU"/>
        </w:rPr>
        <w:t>Таблица 2.4.1 перечень определяемых показателей</w:t>
      </w:r>
    </w:p>
    <w:tbl>
      <w:tblPr>
        <w:tblStyle w:val="afff"/>
        <w:tblW w:w="9570"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534"/>
        <w:gridCol w:w="4251"/>
        <w:gridCol w:w="4785"/>
      </w:tblGrid>
      <w:tr>
        <w:trPr>
          <w:trHeight w:val="550" w:hRule="exact"/>
        </w:trPr>
        <w:tc>
          <w:tcPr>
            <w:tcW w:w="534" w:type="dxa"/>
            <w:tcBorders/>
            <w:shd w:fill="auto" w:val="clear"/>
            <w:vAlign w:val="center"/>
          </w:tcPr>
          <w:p>
            <w:pPr>
              <w:pStyle w:val="Normal"/>
              <w:widowControl w:val="false"/>
              <w:suppressAutoHyphens w:val="true"/>
              <w:spacing w:before="0" w:after="0"/>
              <w:jc w:val="center"/>
              <w:rPr>
                <w:rFonts w:ascii="Times New Roman" w:hAnsi="Times New Roman" w:eastAsia="Times New Roman" w:cs="Times New Roman"/>
                <w:sz w:val="24"/>
                <w:szCs w:val="24"/>
                <w:lang w:eastAsia="ru-RU" w:bidi="ar-SA"/>
              </w:rPr>
            </w:pPr>
            <w:r>
              <w:rPr>
                <w:rFonts w:eastAsia="Times New Roman" w:cs="Times New Roman"/>
                <w:kern w:val="0"/>
                <w:sz w:val="24"/>
                <w:szCs w:val="24"/>
                <w:lang w:eastAsia="ru-RU" w:bidi="ar-SA"/>
              </w:rPr>
              <w:t>№</w:t>
            </w:r>
          </w:p>
        </w:tc>
        <w:tc>
          <w:tcPr>
            <w:tcW w:w="4251" w:type="dxa"/>
            <w:tcBorders/>
            <w:shd w:fill="auto" w:val="clear"/>
            <w:vAlign w:val="center"/>
          </w:tcPr>
          <w:p>
            <w:pPr>
              <w:pStyle w:val="Normal"/>
              <w:widowControl w:val="false"/>
              <w:suppressAutoHyphens w:val="true"/>
              <w:spacing w:before="0" w:after="0"/>
              <w:jc w:val="center"/>
              <w:rPr>
                <w:rFonts w:ascii="Times New Roman" w:hAnsi="Times New Roman" w:eastAsia="Times New Roman" w:cs="Times New Roman"/>
                <w:sz w:val="24"/>
                <w:szCs w:val="24"/>
                <w:lang w:eastAsia="ru-RU" w:bidi="ar-SA"/>
              </w:rPr>
            </w:pPr>
            <w:r>
              <w:rPr>
                <w:rFonts w:eastAsia="Times New Roman" w:cs="Times New Roman"/>
                <w:kern w:val="0"/>
                <w:sz w:val="24"/>
                <w:szCs w:val="24"/>
                <w:lang w:val="ru-RU" w:eastAsia="ru-RU" w:bidi="ar-SA"/>
              </w:rPr>
              <w:t>Наименование показателей в соответствии</w:t>
            </w:r>
          </w:p>
          <w:p>
            <w:pPr>
              <w:pStyle w:val="Normal"/>
              <w:widowControl w:val="false"/>
              <w:suppressAutoHyphens w:val="true"/>
              <w:spacing w:before="0" w:after="0"/>
              <w:jc w:val="center"/>
              <w:rPr>
                <w:rFonts w:ascii="Times New Roman" w:hAnsi="Times New Roman" w:eastAsia="Times New Roman" w:cs="Times New Roman"/>
                <w:sz w:val="24"/>
                <w:szCs w:val="24"/>
                <w:lang w:eastAsia="ru-RU" w:bidi="ar-SA"/>
              </w:rPr>
            </w:pPr>
            <w:r>
              <w:rPr>
                <w:rFonts w:eastAsia="Times New Roman" w:cs="Times New Roman"/>
                <w:kern w:val="0"/>
                <w:sz w:val="24"/>
                <w:szCs w:val="24"/>
                <w:lang w:val="ru-RU" w:eastAsia="ru-RU" w:bidi="ar-SA"/>
              </w:rPr>
              <w:t>с Техническими требованиями</w:t>
            </w:r>
          </w:p>
        </w:tc>
        <w:tc>
          <w:tcPr>
            <w:tcW w:w="4785" w:type="dxa"/>
            <w:tcBorders/>
            <w:shd w:fill="auto" w:val="clear"/>
            <w:vAlign w:val="center"/>
          </w:tcPr>
          <w:p>
            <w:pPr>
              <w:pStyle w:val="Normal"/>
              <w:widowControl w:val="false"/>
              <w:suppressAutoHyphens w:val="true"/>
              <w:spacing w:before="0" w:after="0"/>
              <w:jc w:val="center"/>
              <w:rPr>
                <w:rFonts w:ascii="Times New Roman" w:hAnsi="Times New Roman" w:eastAsia="Times New Roman" w:cs="Times New Roman"/>
                <w:sz w:val="24"/>
                <w:szCs w:val="24"/>
                <w:lang w:eastAsia="ru-RU" w:bidi="ar-SA"/>
              </w:rPr>
            </w:pPr>
            <w:r>
              <w:rPr>
                <w:rFonts w:eastAsia="Times New Roman" w:cs="Times New Roman"/>
                <w:kern w:val="0"/>
                <w:sz w:val="24"/>
                <w:szCs w:val="24"/>
                <w:lang w:val="ru-RU" w:eastAsia="ru-RU" w:bidi="ar-SA"/>
              </w:rPr>
              <w:t>М</w:t>
            </w:r>
            <w:r>
              <w:rPr>
                <w:rFonts w:eastAsia="Times New Roman" w:cs="Times New Roman"/>
                <w:kern w:val="0"/>
                <w:sz w:val="24"/>
                <w:szCs w:val="24"/>
                <w:lang w:eastAsia="ru-RU" w:bidi="ar-SA"/>
              </w:rPr>
              <w:t>етод</w:t>
            </w:r>
            <w:r>
              <w:rPr>
                <w:rFonts w:eastAsia="Times New Roman" w:cs="Times New Roman"/>
                <w:kern w:val="0"/>
                <w:sz w:val="24"/>
                <w:szCs w:val="24"/>
                <w:lang w:val="ru-RU" w:eastAsia="ru-RU" w:bidi="ar-SA"/>
              </w:rPr>
              <w:t>ы</w:t>
            </w:r>
            <w:r>
              <w:rPr>
                <w:rFonts w:eastAsia="Times New Roman" w:cs="Times New Roman"/>
                <w:kern w:val="0"/>
                <w:sz w:val="24"/>
                <w:szCs w:val="24"/>
                <w:lang w:eastAsia="ru-RU" w:bidi="ar-SA"/>
              </w:rPr>
              <w:t xml:space="preserve"> испытаний</w:t>
            </w:r>
          </w:p>
        </w:tc>
      </w:tr>
      <w:tr>
        <w:trPr>
          <w:trHeight w:val="113" w:hRule="atLeast"/>
        </w:trPr>
        <w:tc>
          <w:tcPr>
            <w:tcW w:w="534" w:type="dxa"/>
            <w:tcBorders/>
            <w:shd w:fill="auto" w:val="clear"/>
            <w:vAlign w:val="center"/>
          </w:tcPr>
          <w:p>
            <w:pPr>
              <w:pStyle w:val="Normal"/>
              <w:widowControl w:val="false"/>
              <w:suppressAutoHyphens w:val="true"/>
              <w:spacing w:before="0" w:after="0"/>
              <w:jc w:val="center"/>
              <w:rPr>
                <w:rFonts w:ascii="Times New Roman" w:hAnsi="Times New Roman" w:eastAsia="Times New Roman" w:cs="Times New Roman"/>
                <w:sz w:val="24"/>
                <w:szCs w:val="24"/>
                <w:lang w:eastAsia="ru-RU" w:bidi="ar-SA"/>
              </w:rPr>
            </w:pPr>
            <w:r>
              <w:rPr>
                <w:rFonts w:eastAsia="Times New Roman" w:cs="Times New Roman"/>
                <w:kern w:val="0"/>
                <w:sz w:val="24"/>
                <w:szCs w:val="24"/>
                <w:lang w:val="en-US" w:eastAsia="ru-RU" w:bidi="ar-SA"/>
              </w:rPr>
              <w:t>1</w:t>
            </w:r>
          </w:p>
        </w:tc>
        <w:tc>
          <w:tcPr>
            <w:tcW w:w="4251" w:type="dxa"/>
            <w:tcBorders/>
            <w:shd w:fill="auto" w:val="clear"/>
            <w:vAlign w:val="center"/>
          </w:tcPr>
          <w:p>
            <w:pPr>
              <w:pStyle w:val="Formattext"/>
              <w:widowControl w:val="false"/>
              <w:suppressAutoHyphens w:val="true"/>
              <w:spacing w:beforeAutospacing="0" w:before="0" w:afterAutospacing="0" w:after="0"/>
              <w:jc w:val="left"/>
              <w:rPr>
                <w:rFonts w:ascii="Times New Roman" w:hAnsi="Times New Roman" w:eastAsia="Times New Roman" w:cs="Times New Roman"/>
                <w:sz w:val="24"/>
                <w:szCs w:val="24"/>
                <w:lang w:eastAsia="ru-RU" w:bidi="ar-SA"/>
              </w:rPr>
            </w:pPr>
            <w:r>
              <w:rPr>
                <w:rFonts w:eastAsia="Times New Roman" w:cs="Times New Roman"/>
                <w:kern w:val="0"/>
                <w:sz w:val="24"/>
                <w:szCs w:val="24"/>
                <w:lang w:eastAsia="ru-RU" w:bidi="ar-SA"/>
              </w:rPr>
              <w:t>Водородный показатель pH</w:t>
            </w:r>
          </w:p>
        </w:tc>
        <w:tc>
          <w:tcPr>
            <w:tcW w:w="4785" w:type="dxa"/>
            <w:vMerge w:val="restart"/>
            <w:tcBorders/>
            <w:shd w:fill="auto" w:val="clear"/>
            <w:vAlign w:val="center"/>
          </w:tcPr>
          <w:p>
            <w:pPr>
              <w:pStyle w:val="Normal"/>
              <w:widowControl w:val="false"/>
              <w:suppressAutoHyphens w:val="true"/>
              <w:spacing w:before="0" w:after="0"/>
              <w:jc w:val="center"/>
              <w:rPr>
                <w:rFonts w:ascii="Times New Roman" w:hAnsi="Times New Roman" w:eastAsia="Times New Roman" w:cs="Times New Roman"/>
                <w:sz w:val="24"/>
                <w:szCs w:val="24"/>
                <w:lang w:eastAsia="ru-RU" w:bidi="ar-SA"/>
              </w:rPr>
            </w:pPr>
            <w:r>
              <w:rPr>
                <w:rFonts w:eastAsia="Times New Roman" w:cs="Times New Roman"/>
                <w:kern w:val="0"/>
                <w:sz w:val="24"/>
                <w:szCs w:val="24"/>
                <w:lang w:val="ru-RU" w:eastAsia="ru-RU" w:bidi="ar-SA"/>
              </w:rPr>
              <w:t>ГОСТ, ПН</w:t>
            </w:r>
            <w:bookmarkStart w:id="59" w:name="_GoBack"/>
            <w:bookmarkEnd w:id="59"/>
            <w:r>
              <w:rPr>
                <w:rFonts w:eastAsia="Times New Roman" w:cs="Times New Roman"/>
                <w:kern w:val="0"/>
                <w:sz w:val="24"/>
                <w:szCs w:val="24"/>
                <w:lang w:val="ru-RU" w:eastAsia="ru-RU" w:bidi="ar-SA"/>
              </w:rPr>
              <w:t>Д Ф</w:t>
            </w:r>
          </w:p>
        </w:tc>
      </w:tr>
      <w:tr>
        <w:trPr>
          <w:trHeight w:val="113" w:hRule="atLeast"/>
        </w:trPr>
        <w:tc>
          <w:tcPr>
            <w:tcW w:w="534" w:type="dxa"/>
            <w:tcBorders/>
            <w:shd w:fill="auto" w:val="clear"/>
            <w:vAlign w:val="center"/>
          </w:tcPr>
          <w:p>
            <w:pPr>
              <w:pStyle w:val="Normal"/>
              <w:widowControl w:val="false"/>
              <w:suppressAutoHyphens w:val="true"/>
              <w:spacing w:before="0" w:after="0"/>
              <w:jc w:val="center"/>
              <w:rPr>
                <w:rFonts w:ascii="Times New Roman" w:hAnsi="Times New Roman" w:eastAsia="Times New Roman" w:cs="Times New Roman"/>
                <w:sz w:val="24"/>
                <w:szCs w:val="24"/>
                <w:lang w:eastAsia="ru-RU" w:bidi="ar-SA"/>
              </w:rPr>
            </w:pPr>
            <w:r>
              <w:rPr>
                <w:rFonts w:eastAsia="Times New Roman" w:cs="Times New Roman"/>
                <w:kern w:val="0"/>
                <w:sz w:val="24"/>
                <w:szCs w:val="24"/>
                <w:lang w:val="en-US" w:eastAsia="ru-RU" w:bidi="ar-SA"/>
              </w:rPr>
              <w:t>2</w:t>
            </w:r>
          </w:p>
        </w:tc>
        <w:tc>
          <w:tcPr>
            <w:tcW w:w="4251" w:type="dxa"/>
            <w:tcBorders/>
            <w:shd w:fill="auto" w:val="clear"/>
            <w:vAlign w:val="center"/>
          </w:tcPr>
          <w:p>
            <w:pPr>
              <w:pStyle w:val="Formattext"/>
              <w:widowControl w:val="false"/>
              <w:suppressAutoHyphens w:val="true"/>
              <w:spacing w:beforeAutospacing="0" w:before="0" w:afterAutospacing="0" w:after="0"/>
              <w:jc w:val="left"/>
              <w:rPr>
                <w:rFonts w:ascii="Times New Roman" w:hAnsi="Times New Roman" w:eastAsia="Times New Roman" w:cs="Times New Roman"/>
                <w:sz w:val="24"/>
                <w:szCs w:val="24"/>
                <w:lang w:eastAsia="ru-RU" w:bidi="ar-SA"/>
              </w:rPr>
            </w:pPr>
            <w:r>
              <w:rPr>
                <w:rFonts w:eastAsia="Times New Roman" w:cs="Times New Roman"/>
                <w:kern w:val="0"/>
                <w:sz w:val="24"/>
                <w:szCs w:val="24"/>
                <w:lang w:eastAsia="ru-RU" w:bidi="ar-SA"/>
              </w:rPr>
              <w:t>Массовая концентрация сухого остатка</w:t>
            </w:r>
          </w:p>
        </w:tc>
        <w:tc>
          <w:tcPr>
            <w:tcW w:w="4785" w:type="dxa"/>
            <w:vMerge w:val="continue"/>
            <w:tcBorders/>
            <w:shd w:fill="auto" w:val="clear"/>
            <w:vAlign w:val="center"/>
          </w:tcPr>
          <w:p>
            <w:pPr>
              <w:pStyle w:val="Normal"/>
              <w:widowControl w:val="false"/>
              <w:suppressAutoHyphens w:val="true"/>
              <w:spacing w:before="0" w:after="0"/>
              <w:jc w:val="left"/>
              <w:rPr>
                <w:rFonts w:ascii="Times New Roman" w:hAnsi="Times New Roman" w:eastAsia="Times New Roman" w:cs="Times New Roman"/>
                <w:sz w:val="24"/>
                <w:szCs w:val="24"/>
                <w:lang w:val="ru-RU" w:eastAsia="ru-RU" w:bidi="ar-SA"/>
              </w:rPr>
            </w:pPr>
            <w:r>
              <w:rPr>
                <w:rFonts w:eastAsia="Times New Roman" w:cs="Times New Roman"/>
                <w:kern w:val="0"/>
                <w:sz w:val="24"/>
                <w:szCs w:val="24"/>
                <w:lang w:val="ru-RU" w:eastAsia="ru-RU" w:bidi="ar-SA"/>
              </w:rPr>
            </w:r>
          </w:p>
        </w:tc>
      </w:tr>
      <w:tr>
        <w:trPr>
          <w:trHeight w:val="277" w:hRule="atLeast"/>
        </w:trPr>
        <w:tc>
          <w:tcPr>
            <w:tcW w:w="534" w:type="dxa"/>
            <w:tcBorders/>
            <w:shd w:fill="auto" w:val="clear"/>
            <w:vAlign w:val="center"/>
          </w:tcPr>
          <w:p>
            <w:pPr>
              <w:pStyle w:val="Normal"/>
              <w:widowControl w:val="false"/>
              <w:suppressAutoHyphens w:val="true"/>
              <w:spacing w:before="0" w:after="0"/>
              <w:jc w:val="center"/>
              <w:rPr>
                <w:rFonts w:ascii="Times New Roman" w:hAnsi="Times New Roman" w:eastAsia="Times New Roman" w:cs="Times New Roman"/>
                <w:sz w:val="24"/>
                <w:szCs w:val="24"/>
                <w:lang w:eastAsia="ru-RU" w:bidi="ar-SA"/>
              </w:rPr>
            </w:pPr>
            <w:r>
              <w:rPr>
                <w:rFonts w:eastAsia="Times New Roman" w:cs="Times New Roman"/>
                <w:kern w:val="0"/>
                <w:sz w:val="24"/>
                <w:szCs w:val="24"/>
                <w:lang w:val="ru-RU" w:eastAsia="ru-RU" w:bidi="ar-SA"/>
              </w:rPr>
              <w:t>3</w:t>
            </w:r>
          </w:p>
        </w:tc>
        <w:tc>
          <w:tcPr>
            <w:tcW w:w="4251" w:type="dxa"/>
            <w:tcBorders/>
            <w:shd w:fill="auto" w:val="clear"/>
            <w:vAlign w:val="center"/>
          </w:tcPr>
          <w:p>
            <w:pPr>
              <w:pStyle w:val="Formattext"/>
              <w:widowControl w:val="false"/>
              <w:suppressAutoHyphens w:val="true"/>
              <w:spacing w:beforeAutospacing="0" w:before="0" w:afterAutospacing="0" w:after="0"/>
              <w:jc w:val="left"/>
              <w:rPr>
                <w:rFonts w:ascii="Times New Roman" w:hAnsi="Times New Roman" w:eastAsia="Times New Roman" w:cs="Times New Roman"/>
                <w:sz w:val="24"/>
                <w:szCs w:val="24"/>
                <w:lang w:eastAsia="ru-RU" w:bidi="ar-SA"/>
              </w:rPr>
            </w:pPr>
            <w:r>
              <w:rPr>
                <w:rFonts w:eastAsia="Times New Roman" w:cs="Times New Roman"/>
                <w:kern w:val="0"/>
                <w:sz w:val="24"/>
                <w:szCs w:val="24"/>
                <w:lang w:eastAsia="ru-RU" w:bidi="ar-SA"/>
              </w:rPr>
              <w:t>Жесткость общая</w:t>
            </w:r>
          </w:p>
        </w:tc>
        <w:tc>
          <w:tcPr>
            <w:tcW w:w="4785" w:type="dxa"/>
            <w:vMerge w:val="continue"/>
            <w:tcBorders/>
            <w:shd w:fill="auto" w:val="clear"/>
            <w:vAlign w:val="center"/>
          </w:tcPr>
          <w:p>
            <w:pPr>
              <w:pStyle w:val="Normal"/>
              <w:widowControl w:val="false"/>
              <w:suppressAutoHyphens w:val="true"/>
              <w:spacing w:before="0" w:after="0"/>
              <w:jc w:val="left"/>
              <w:rPr>
                <w:rFonts w:ascii="Times New Roman" w:hAnsi="Times New Roman" w:eastAsia="Times New Roman" w:cs="Times New Roman"/>
                <w:sz w:val="24"/>
                <w:szCs w:val="24"/>
                <w:lang w:val="ru-RU" w:eastAsia="ru-RU" w:bidi="ar-SA"/>
              </w:rPr>
            </w:pPr>
            <w:r>
              <w:rPr>
                <w:rFonts w:eastAsia="Times New Roman" w:cs="Times New Roman"/>
                <w:kern w:val="0"/>
                <w:sz w:val="24"/>
                <w:szCs w:val="24"/>
                <w:lang w:val="ru-RU" w:eastAsia="ru-RU" w:bidi="ar-SA"/>
              </w:rPr>
            </w:r>
          </w:p>
        </w:tc>
      </w:tr>
      <w:tr>
        <w:trPr>
          <w:trHeight w:val="113" w:hRule="atLeast"/>
        </w:trPr>
        <w:tc>
          <w:tcPr>
            <w:tcW w:w="534" w:type="dxa"/>
            <w:tcBorders/>
            <w:shd w:fill="auto" w:val="clear"/>
            <w:vAlign w:val="center"/>
          </w:tcPr>
          <w:p>
            <w:pPr>
              <w:pStyle w:val="Normal"/>
              <w:widowControl w:val="false"/>
              <w:suppressAutoHyphens w:val="true"/>
              <w:spacing w:before="0" w:after="0"/>
              <w:jc w:val="center"/>
              <w:rPr>
                <w:rFonts w:ascii="Times New Roman" w:hAnsi="Times New Roman" w:eastAsia="Times New Roman" w:cs="Times New Roman"/>
                <w:sz w:val="24"/>
                <w:szCs w:val="24"/>
                <w:lang w:eastAsia="ru-RU" w:bidi="ar-SA"/>
              </w:rPr>
            </w:pPr>
            <w:r>
              <w:rPr>
                <w:rFonts w:eastAsia="Times New Roman" w:cs="Times New Roman"/>
                <w:kern w:val="0"/>
                <w:sz w:val="24"/>
                <w:szCs w:val="24"/>
                <w:lang w:val="ru-RU" w:eastAsia="ru-RU" w:bidi="ar-SA"/>
              </w:rPr>
              <w:t>4</w:t>
            </w:r>
          </w:p>
        </w:tc>
        <w:tc>
          <w:tcPr>
            <w:tcW w:w="4251" w:type="dxa"/>
            <w:tcBorders/>
            <w:shd w:fill="auto" w:val="clear"/>
            <w:vAlign w:val="center"/>
          </w:tcPr>
          <w:p>
            <w:pPr>
              <w:pStyle w:val="Formattext"/>
              <w:widowControl w:val="false"/>
              <w:suppressAutoHyphens w:val="true"/>
              <w:spacing w:beforeAutospacing="0" w:before="0" w:afterAutospacing="0" w:after="0"/>
              <w:jc w:val="left"/>
              <w:rPr>
                <w:rFonts w:ascii="Times New Roman" w:hAnsi="Times New Roman" w:eastAsia="Times New Roman" w:cs="Times New Roman"/>
                <w:sz w:val="24"/>
                <w:szCs w:val="24"/>
                <w:lang w:eastAsia="ru-RU" w:bidi="ar-SA"/>
              </w:rPr>
            </w:pPr>
            <w:r>
              <w:rPr>
                <w:rFonts w:eastAsia="Times New Roman" w:cs="Times New Roman"/>
                <w:kern w:val="0"/>
                <w:sz w:val="24"/>
                <w:szCs w:val="24"/>
                <w:lang w:eastAsia="ru-RU" w:bidi="ar-SA"/>
              </w:rPr>
              <w:t>Гидрокарбонат-ион</w:t>
            </w:r>
          </w:p>
        </w:tc>
        <w:tc>
          <w:tcPr>
            <w:tcW w:w="4785" w:type="dxa"/>
            <w:vMerge w:val="continue"/>
            <w:tcBorders/>
            <w:shd w:fill="auto" w:val="clear"/>
            <w:vAlign w:val="center"/>
          </w:tcPr>
          <w:p>
            <w:pPr>
              <w:pStyle w:val="Normal"/>
              <w:widowControl w:val="false"/>
              <w:suppressAutoHyphens w:val="true"/>
              <w:spacing w:before="0" w:after="0"/>
              <w:jc w:val="left"/>
              <w:rPr>
                <w:rFonts w:ascii="Times New Roman" w:hAnsi="Times New Roman" w:eastAsia="Times New Roman" w:cs="Times New Roman"/>
                <w:sz w:val="24"/>
                <w:szCs w:val="24"/>
                <w:lang w:val="ru-RU" w:eastAsia="ru-RU" w:bidi="ar-SA"/>
              </w:rPr>
            </w:pPr>
            <w:r>
              <w:rPr>
                <w:rFonts w:eastAsia="Times New Roman" w:cs="Times New Roman"/>
                <w:kern w:val="0"/>
                <w:sz w:val="24"/>
                <w:szCs w:val="24"/>
                <w:lang w:val="ru-RU" w:eastAsia="ru-RU" w:bidi="ar-SA"/>
              </w:rPr>
            </w:r>
          </w:p>
        </w:tc>
      </w:tr>
      <w:tr>
        <w:trPr>
          <w:trHeight w:val="113" w:hRule="atLeast"/>
        </w:trPr>
        <w:tc>
          <w:tcPr>
            <w:tcW w:w="534" w:type="dxa"/>
            <w:tcBorders/>
            <w:shd w:fill="auto" w:val="clear"/>
            <w:vAlign w:val="center"/>
          </w:tcPr>
          <w:p>
            <w:pPr>
              <w:pStyle w:val="Normal"/>
              <w:widowControl w:val="false"/>
              <w:suppressAutoHyphens w:val="true"/>
              <w:spacing w:before="0" w:after="0"/>
              <w:jc w:val="center"/>
              <w:rPr>
                <w:rFonts w:ascii="Times New Roman" w:hAnsi="Times New Roman" w:eastAsia="Times New Roman" w:cs="Times New Roman"/>
                <w:sz w:val="24"/>
                <w:szCs w:val="24"/>
                <w:lang w:eastAsia="ru-RU" w:bidi="ar-SA"/>
              </w:rPr>
            </w:pPr>
            <w:r>
              <w:rPr>
                <w:rFonts w:eastAsia="Times New Roman" w:cs="Times New Roman"/>
                <w:kern w:val="0"/>
                <w:sz w:val="24"/>
                <w:szCs w:val="24"/>
                <w:lang w:val="ru-RU" w:eastAsia="ru-RU" w:bidi="ar-SA"/>
              </w:rPr>
              <w:t>5</w:t>
            </w:r>
          </w:p>
        </w:tc>
        <w:tc>
          <w:tcPr>
            <w:tcW w:w="4251" w:type="dxa"/>
            <w:tcBorders/>
            <w:shd w:fill="auto" w:val="clear"/>
            <w:vAlign w:val="center"/>
          </w:tcPr>
          <w:p>
            <w:pPr>
              <w:pStyle w:val="Formattext"/>
              <w:widowControl w:val="false"/>
              <w:suppressAutoHyphens w:val="true"/>
              <w:spacing w:beforeAutospacing="0" w:before="0" w:afterAutospacing="0" w:after="0"/>
              <w:jc w:val="left"/>
              <w:rPr>
                <w:rFonts w:ascii="Times New Roman" w:hAnsi="Times New Roman" w:eastAsia="Times New Roman" w:cs="Times New Roman"/>
                <w:sz w:val="24"/>
                <w:szCs w:val="24"/>
                <w:lang w:eastAsia="ru-RU" w:bidi="ar-SA"/>
              </w:rPr>
            </w:pPr>
            <w:r>
              <w:rPr>
                <w:rFonts w:eastAsia="Times New Roman" w:cs="Times New Roman"/>
                <w:kern w:val="0"/>
                <w:sz w:val="24"/>
                <w:szCs w:val="24"/>
                <w:lang w:eastAsia="ru-RU" w:bidi="ar-SA"/>
              </w:rPr>
              <w:t>Массовая концентрация сульфат-ионов</w:t>
            </w:r>
          </w:p>
        </w:tc>
        <w:tc>
          <w:tcPr>
            <w:tcW w:w="4785" w:type="dxa"/>
            <w:vMerge w:val="continue"/>
            <w:tcBorders/>
            <w:shd w:fill="auto" w:val="clear"/>
            <w:vAlign w:val="center"/>
          </w:tcPr>
          <w:p>
            <w:pPr>
              <w:pStyle w:val="Normal"/>
              <w:widowControl w:val="false"/>
              <w:suppressAutoHyphens w:val="true"/>
              <w:spacing w:before="0" w:after="0"/>
              <w:jc w:val="left"/>
              <w:rPr>
                <w:rFonts w:ascii="Times New Roman" w:hAnsi="Times New Roman" w:eastAsia="Times New Roman" w:cs="Times New Roman"/>
                <w:sz w:val="24"/>
                <w:szCs w:val="24"/>
                <w:lang w:val="ru-RU" w:eastAsia="ru-RU" w:bidi="ar-SA"/>
              </w:rPr>
            </w:pPr>
            <w:r>
              <w:rPr>
                <w:rFonts w:eastAsia="Times New Roman" w:cs="Times New Roman"/>
                <w:kern w:val="0"/>
                <w:sz w:val="24"/>
                <w:szCs w:val="24"/>
                <w:lang w:val="ru-RU" w:eastAsia="ru-RU" w:bidi="ar-SA"/>
              </w:rPr>
            </w:r>
          </w:p>
        </w:tc>
      </w:tr>
      <w:tr>
        <w:trPr>
          <w:trHeight w:val="113" w:hRule="atLeast"/>
        </w:trPr>
        <w:tc>
          <w:tcPr>
            <w:tcW w:w="534" w:type="dxa"/>
            <w:tcBorders/>
            <w:shd w:fill="auto" w:val="clear"/>
            <w:vAlign w:val="center"/>
          </w:tcPr>
          <w:p>
            <w:pPr>
              <w:pStyle w:val="Normal"/>
              <w:widowControl w:val="false"/>
              <w:suppressAutoHyphens w:val="true"/>
              <w:spacing w:before="0" w:after="0"/>
              <w:jc w:val="center"/>
              <w:rPr>
                <w:rFonts w:ascii="Times New Roman" w:hAnsi="Times New Roman" w:eastAsia="Times New Roman" w:cs="Times New Roman"/>
                <w:sz w:val="24"/>
                <w:szCs w:val="24"/>
                <w:lang w:eastAsia="ru-RU" w:bidi="ar-SA"/>
              </w:rPr>
            </w:pPr>
            <w:r>
              <w:rPr>
                <w:rFonts w:eastAsia="Times New Roman" w:cs="Times New Roman"/>
                <w:kern w:val="0"/>
                <w:sz w:val="24"/>
                <w:szCs w:val="24"/>
                <w:lang w:val="ru-RU" w:eastAsia="ru-RU" w:bidi="ar-SA"/>
              </w:rPr>
              <w:t>6</w:t>
            </w:r>
          </w:p>
        </w:tc>
        <w:tc>
          <w:tcPr>
            <w:tcW w:w="4251" w:type="dxa"/>
            <w:tcBorders/>
            <w:shd w:fill="auto" w:val="clear"/>
            <w:vAlign w:val="center"/>
          </w:tcPr>
          <w:p>
            <w:pPr>
              <w:pStyle w:val="Formattext"/>
              <w:widowControl w:val="false"/>
              <w:suppressAutoHyphens w:val="true"/>
              <w:spacing w:beforeAutospacing="0" w:before="0" w:afterAutospacing="0" w:after="0"/>
              <w:jc w:val="left"/>
              <w:rPr>
                <w:rFonts w:ascii="Times New Roman" w:hAnsi="Times New Roman" w:eastAsia="Times New Roman" w:cs="Times New Roman"/>
                <w:sz w:val="24"/>
                <w:szCs w:val="24"/>
                <w:lang w:eastAsia="ru-RU" w:bidi="ar-SA"/>
              </w:rPr>
            </w:pPr>
            <w:r>
              <w:rPr>
                <w:rFonts w:eastAsia="Times New Roman" w:cs="Times New Roman"/>
                <w:kern w:val="0"/>
                <w:sz w:val="24"/>
                <w:szCs w:val="24"/>
                <w:lang w:eastAsia="ru-RU" w:bidi="ar-SA"/>
              </w:rPr>
              <w:t>Массовая концентрация хлорид-ионов</w:t>
            </w:r>
          </w:p>
        </w:tc>
        <w:tc>
          <w:tcPr>
            <w:tcW w:w="4785" w:type="dxa"/>
            <w:vMerge w:val="continue"/>
            <w:tcBorders/>
            <w:shd w:fill="auto" w:val="clear"/>
            <w:vAlign w:val="center"/>
          </w:tcPr>
          <w:p>
            <w:pPr>
              <w:pStyle w:val="Normal"/>
              <w:widowControl w:val="false"/>
              <w:suppressAutoHyphens w:val="true"/>
              <w:spacing w:before="0" w:after="0"/>
              <w:jc w:val="left"/>
              <w:rPr>
                <w:rFonts w:ascii="Times New Roman" w:hAnsi="Times New Roman" w:eastAsia="Times New Roman" w:cs="Times New Roman"/>
                <w:sz w:val="24"/>
                <w:szCs w:val="24"/>
                <w:lang w:val="ru-RU" w:eastAsia="ru-RU" w:bidi="ar-SA"/>
              </w:rPr>
            </w:pPr>
            <w:r>
              <w:rPr>
                <w:rFonts w:eastAsia="Times New Roman" w:cs="Times New Roman"/>
                <w:kern w:val="0"/>
                <w:sz w:val="24"/>
                <w:szCs w:val="24"/>
                <w:lang w:val="ru-RU" w:eastAsia="ru-RU" w:bidi="ar-SA"/>
              </w:rPr>
            </w:r>
          </w:p>
        </w:tc>
      </w:tr>
      <w:tr>
        <w:trPr>
          <w:trHeight w:val="449" w:hRule="atLeast"/>
        </w:trPr>
        <w:tc>
          <w:tcPr>
            <w:tcW w:w="534" w:type="dxa"/>
            <w:tcBorders/>
            <w:shd w:fill="auto" w:val="clear"/>
            <w:vAlign w:val="center"/>
          </w:tcPr>
          <w:p>
            <w:pPr>
              <w:pStyle w:val="Normal"/>
              <w:widowControl w:val="false"/>
              <w:suppressAutoHyphens w:val="true"/>
              <w:spacing w:before="0" w:after="0"/>
              <w:jc w:val="center"/>
              <w:rPr>
                <w:rFonts w:ascii="Times New Roman" w:hAnsi="Times New Roman" w:eastAsia="Times New Roman" w:cs="Times New Roman"/>
                <w:sz w:val="24"/>
                <w:szCs w:val="24"/>
                <w:lang w:eastAsia="ru-RU" w:bidi="ar-SA"/>
              </w:rPr>
            </w:pPr>
            <w:r>
              <w:rPr>
                <w:rFonts w:eastAsia="Times New Roman" w:cs="Times New Roman"/>
                <w:kern w:val="0"/>
                <w:sz w:val="24"/>
                <w:szCs w:val="24"/>
                <w:lang w:val="ru-RU" w:eastAsia="ru-RU" w:bidi="ar-SA"/>
              </w:rPr>
              <w:t>7</w:t>
            </w:r>
          </w:p>
        </w:tc>
        <w:tc>
          <w:tcPr>
            <w:tcW w:w="4251" w:type="dxa"/>
            <w:tcBorders/>
            <w:shd w:fill="auto" w:val="clear"/>
            <w:vAlign w:val="center"/>
          </w:tcPr>
          <w:p>
            <w:pPr>
              <w:pStyle w:val="Formattext"/>
              <w:widowControl w:val="false"/>
              <w:suppressAutoHyphens w:val="true"/>
              <w:spacing w:beforeAutospacing="0" w:before="0" w:afterAutospacing="0" w:after="0"/>
              <w:jc w:val="left"/>
              <w:rPr>
                <w:rFonts w:ascii="Times New Roman" w:hAnsi="Times New Roman" w:eastAsia="Times New Roman" w:cs="Times New Roman"/>
                <w:sz w:val="24"/>
                <w:szCs w:val="24"/>
                <w:lang w:eastAsia="ru-RU" w:bidi="ar-SA"/>
              </w:rPr>
            </w:pPr>
            <w:r>
              <w:rPr>
                <w:rFonts w:eastAsia="Times New Roman" w:cs="Times New Roman"/>
                <w:kern w:val="0"/>
                <w:sz w:val="24"/>
                <w:szCs w:val="24"/>
                <w:lang w:eastAsia="ru-RU" w:bidi="ar-SA"/>
              </w:rPr>
              <w:t>Массовая концентрация фторид-ионов</w:t>
            </w:r>
          </w:p>
        </w:tc>
        <w:tc>
          <w:tcPr>
            <w:tcW w:w="4785" w:type="dxa"/>
            <w:vMerge w:val="continue"/>
            <w:tcBorders/>
            <w:shd w:fill="auto" w:val="clear"/>
            <w:vAlign w:val="center"/>
          </w:tcPr>
          <w:p>
            <w:pPr>
              <w:pStyle w:val="Normal"/>
              <w:widowControl w:val="false"/>
              <w:suppressAutoHyphens w:val="true"/>
              <w:spacing w:before="0" w:after="0"/>
              <w:jc w:val="left"/>
              <w:rPr>
                <w:rFonts w:ascii="Times New Roman" w:hAnsi="Times New Roman" w:eastAsia="Times New Roman" w:cs="Times New Roman"/>
                <w:sz w:val="24"/>
                <w:szCs w:val="24"/>
                <w:lang w:val="ru-RU" w:eastAsia="ru-RU" w:bidi="ar-SA"/>
              </w:rPr>
            </w:pPr>
            <w:r>
              <w:rPr>
                <w:rFonts w:eastAsia="Times New Roman" w:cs="Times New Roman"/>
                <w:kern w:val="0"/>
                <w:sz w:val="24"/>
                <w:szCs w:val="24"/>
                <w:lang w:val="ru-RU" w:eastAsia="ru-RU" w:bidi="ar-SA"/>
              </w:rPr>
            </w:r>
          </w:p>
        </w:tc>
      </w:tr>
      <w:tr>
        <w:trPr>
          <w:trHeight w:val="113" w:hRule="atLeast"/>
        </w:trPr>
        <w:tc>
          <w:tcPr>
            <w:tcW w:w="534" w:type="dxa"/>
            <w:tcBorders/>
            <w:shd w:fill="auto" w:val="clear"/>
            <w:vAlign w:val="center"/>
          </w:tcPr>
          <w:p>
            <w:pPr>
              <w:pStyle w:val="Normal"/>
              <w:widowControl w:val="false"/>
              <w:suppressAutoHyphens w:val="true"/>
              <w:spacing w:before="0" w:after="0"/>
              <w:jc w:val="center"/>
              <w:rPr>
                <w:rFonts w:ascii="Times New Roman" w:hAnsi="Times New Roman" w:eastAsia="Times New Roman" w:cs="Times New Roman"/>
                <w:sz w:val="24"/>
                <w:szCs w:val="24"/>
                <w:lang w:eastAsia="ru-RU" w:bidi="ar-SA"/>
              </w:rPr>
            </w:pPr>
            <w:r>
              <w:rPr>
                <w:rFonts w:eastAsia="Times New Roman" w:cs="Times New Roman"/>
                <w:kern w:val="0"/>
                <w:sz w:val="24"/>
                <w:szCs w:val="24"/>
                <w:lang w:val="en-US" w:eastAsia="ru-RU" w:bidi="ar-SA"/>
              </w:rPr>
              <w:t>8</w:t>
            </w:r>
          </w:p>
        </w:tc>
        <w:tc>
          <w:tcPr>
            <w:tcW w:w="4251" w:type="dxa"/>
            <w:tcBorders/>
            <w:shd w:fill="auto" w:val="clear"/>
            <w:vAlign w:val="center"/>
          </w:tcPr>
          <w:p>
            <w:pPr>
              <w:pStyle w:val="Formattext"/>
              <w:widowControl w:val="false"/>
              <w:suppressAutoHyphens w:val="true"/>
              <w:spacing w:beforeAutospacing="0" w:before="0" w:afterAutospacing="0" w:after="0"/>
              <w:jc w:val="left"/>
              <w:rPr>
                <w:rFonts w:ascii="Times New Roman" w:hAnsi="Times New Roman" w:eastAsia="Times New Roman" w:cs="Times New Roman"/>
                <w:sz w:val="24"/>
                <w:szCs w:val="24"/>
                <w:lang w:eastAsia="ru-RU" w:bidi="ar-SA"/>
              </w:rPr>
            </w:pPr>
            <w:r>
              <w:rPr>
                <w:rFonts w:eastAsia="Times New Roman" w:cs="Times New Roman"/>
                <w:kern w:val="0"/>
                <w:sz w:val="24"/>
                <w:szCs w:val="24"/>
                <w:lang w:eastAsia="ru-RU" w:bidi="ar-SA"/>
              </w:rPr>
              <w:t>Массовая концентрация  катионов кальция</w:t>
            </w:r>
          </w:p>
        </w:tc>
        <w:tc>
          <w:tcPr>
            <w:tcW w:w="4785" w:type="dxa"/>
            <w:vMerge w:val="continue"/>
            <w:tcBorders/>
            <w:shd w:fill="auto" w:val="clear"/>
            <w:vAlign w:val="center"/>
          </w:tcPr>
          <w:p>
            <w:pPr>
              <w:pStyle w:val="Normal"/>
              <w:widowControl w:val="false"/>
              <w:suppressAutoHyphens w:val="true"/>
              <w:spacing w:before="0" w:after="0"/>
              <w:jc w:val="left"/>
              <w:rPr>
                <w:rFonts w:ascii="Times New Roman" w:hAnsi="Times New Roman" w:eastAsia="Times New Roman" w:cs="Times New Roman"/>
                <w:sz w:val="24"/>
                <w:szCs w:val="24"/>
                <w:lang w:val="ru-RU" w:eastAsia="ru-RU" w:bidi="ar-SA"/>
              </w:rPr>
            </w:pPr>
            <w:r>
              <w:rPr>
                <w:rFonts w:eastAsia="Times New Roman" w:cs="Times New Roman"/>
                <w:kern w:val="0"/>
                <w:sz w:val="24"/>
                <w:szCs w:val="24"/>
                <w:lang w:val="ru-RU" w:eastAsia="ru-RU" w:bidi="ar-SA"/>
              </w:rPr>
            </w:r>
          </w:p>
        </w:tc>
      </w:tr>
      <w:tr>
        <w:trPr>
          <w:trHeight w:val="113" w:hRule="atLeast"/>
        </w:trPr>
        <w:tc>
          <w:tcPr>
            <w:tcW w:w="534" w:type="dxa"/>
            <w:tcBorders/>
            <w:shd w:fill="auto" w:val="clear"/>
            <w:vAlign w:val="center"/>
          </w:tcPr>
          <w:p>
            <w:pPr>
              <w:pStyle w:val="Normal"/>
              <w:widowControl w:val="false"/>
              <w:suppressAutoHyphens w:val="true"/>
              <w:spacing w:before="0" w:after="0"/>
              <w:jc w:val="center"/>
              <w:rPr>
                <w:rFonts w:ascii="Times New Roman" w:hAnsi="Times New Roman" w:eastAsia="Times New Roman" w:cs="Times New Roman"/>
                <w:sz w:val="24"/>
                <w:szCs w:val="24"/>
                <w:lang w:eastAsia="ru-RU" w:bidi="ar-SA"/>
              </w:rPr>
            </w:pPr>
            <w:r>
              <w:rPr>
                <w:rFonts w:eastAsia="Times New Roman" w:cs="Times New Roman"/>
                <w:kern w:val="0"/>
                <w:sz w:val="24"/>
                <w:szCs w:val="24"/>
                <w:lang w:val="en-US" w:eastAsia="ru-RU" w:bidi="ar-SA"/>
              </w:rPr>
              <w:t>9</w:t>
            </w:r>
          </w:p>
        </w:tc>
        <w:tc>
          <w:tcPr>
            <w:tcW w:w="4251" w:type="dxa"/>
            <w:tcBorders/>
            <w:shd w:fill="auto" w:val="clear"/>
            <w:vAlign w:val="center"/>
          </w:tcPr>
          <w:p>
            <w:pPr>
              <w:pStyle w:val="Formattext"/>
              <w:widowControl w:val="false"/>
              <w:suppressAutoHyphens w:val="true"/>
              <w:spacing w:beforeAutospacing="0" w:before="0" w:afterAutospacing="0" w:after="0"/>
              <w:jc w:val="left"/>
              <w:rPr>
                <w:rFonts w:ascii="Times New Roman" w:hAnsi="Times New Roman" w:eastAsia="Times New Roman" w:cs="Times New Roman"/>
                <w:sz w:val="24"/>
                <w:szCs w:val="24"/>
                <w:lang w:eastAsia="ru-RU" w:bidi="ar-SA"/>
              </w:rPr>
            </w:pPr>
            <w:r>
              <w:rPr>
                <w:rFonts w:eastAsia="Times New Roman" w:cs="Times New Roman"/>
                <w:kern w:val="0"/>
                <w:sz w:val="24"/>
                <w:szCs w:val="24"/>
                <w:lang w:eastAsia="ru-RU" w:bidi="ar-SA"/>
              </w:rPr>
              <w:t>Массовая концентрация  катионов натрия</w:t>
            </w:r>
          </w:p>
        </w:tc>
        <w:tc>
          <w:tcPr>
            <w:tcW w:w="4785" w:type="dxa"/>
            <w:vMerge w:val="continue"/>
            <w:tcBorders/>
            <w:shd w:fill="auto" w:val="clear"/>
            <w:vAlign w:val="center"/>
          </w:tcPr>
          <w:p>
            <w:pPr>
              <w:pStyle w:val="Normal"/>
              <w:widowControl w:val="false"/>
              <w:suppressAutoHyphens w:val="true"/>
              <w:spacing w:before="0" w:after="0"/>
              <w:jc w:val="left"/>
              <w:rPr>
                <w:rFonts w:ascii="Times New Roman" w:hAnsi="Times New Roman" w:eastAsia="Times New Roman" w:cs="Times New Roman"/>
                <w:sz w:val="24"/>
                <w:szCs w:val="24"/>
                <w:lang w:val="ru-RU" w:eastAsia="ru-RU" w:bidi="ar-SA"/>
              </w:rPr>
            </w:pPr>
            <w:r>
              <w:rPr>
                <w:rFonts w:eastAsia="Times New Roman" w:cs="Times New Roman"/>
                <w:kern w:val="0"/>
                <w:sz w:val="24"/>
                <w:szCs w:val="24"/>
                <w:lang w:val="ru-RU" w:eastAsia="ru-RU" w:bidi="ar-SA"/>
              </w:rPr>
            </w:r>
          </w:p>
        </w:tc>
      </w:tr>
      <w:tr>
        <w:trPr>
          <w:trHeight w:val="113" w:hRule="atLeast"/>
        </w:trPr>
        <w:tc>
          <w:tcPr>
            <w:tcW w:w="534" w:type="dxa"/>
            <w:tcBorders/>
            <w:shd w:fill="auto" w:val="clear"/>
            <w:vAlign w:val="center"/>
          </w:tcPr>
          <w:p>
            <w:pPr>
              <w:pStyle w:val="Normal"/>
              <w:widowControl w:val="false"/>
              <w:suppressAutoHyphens w:val="true"/>
              <w:spacing w:before="0" w:after="0"/>
              <w:jc w:val="center"/>
              <w:rPr>
                <w:rFonts w:ascii="Times New Roman" w:hAnsi="Times New Roman" w:eastAsia="Times New Roman" w:cs="Times New Roman"/>
                <w:sz w:val="24"/>
                <w:szCs w:val="24"/>
                <w:lang w:eastAsia="ru-RU" w:bidi="ar-SA"/>
              </w:rPr>
            </w:pPr>
            <w:r>
              <w:rPr>
                <w:rFonts w:eastAsia="Times New Roman" w:cs="Times New Roman"/>
                <w:kern w:val="0"/>
                <w:sz w:val="24"/>
                <w:szCs w:val="24"/>
                <w:lang w:val="en-US" w:eastAsia="ru-RU" w:bidi="ar-SA"/>
              </w:rPr>
              <w:t>10</w:t>
            </w:r>
          </w:p>
        </w:tc>
        <w:tc>
          <w:tcPr>
            <w:tcW w:w="4251" w:type="dxa"/>
            <w:tcBorders/>
            <w:shd w:fill="auto" w:val="clear"/>
            <w:vAlign w:val="center"/>
          </w:tcPr>
          <w:p>
            <w:pPr>
              <w:pStyle w:val="Formattext"/>
              <w:widowControl w:val="false"/>
              <w:suppressAutoHyphens w:val="true"/>
              <w:spacing w:beforeAutospacing="0" w:before="0" w:afterAutospacing="0" w:after="0"/>
              <w:jc w:val="left"/>
              <w:rPr>
                <w:rFonts w:ascii="Times New Roman" w:hAnsi="Times New Roman" w:eastAsia="Times New Roman" w:cs="Times New Roman"/>
                <w:sz w:val="24"/>
                <w:szCs w:val="24"/>
                <w:lang w:eastAsia="ru-RU" w:bidi="ar-SA"/>
              </w:rPr>
            </w:pPr>
            <w:r>
              <w:rPr>
                <w:rFonts w:eastAsia="Times New Roman" w:cs="Times New Roman"/>
                <w:kern w:val="0"/>
                <w:sz w:val="24"/>
                <w:szCs w:val="24"/>
                <w:lang w:eastAsia="ru-RU" w:bidi="ar-SA"/>
              </w:rPr>
              <w:t>Массовая концентрация  катионов калия</w:t>
            </w:r>
          </w:p>
        </w:tc>
        <w:tc>
          <w:tcPr>
            <w:tcW w:w="4785" w:type="dxa"/>
            <w:vMerge w:val="continue"/>
            <w:tcBorders/>
            <w:shd w:fill="auto" w:val="clear"/>
            <w:vAlign w:val="center"/>
          </w:tcPr>
          <w:p>
            <w:pPr>
              <w:pStyle w:val="Normal"/>
              <w:widowControl w:val="false"/>
              <w:suppressAutoHyphens w:val="true"/>
              <w:spacing w:before="0" w:after="0"/>
              <w:jc w:val="left"/>
              <w:rPr>
                <w:rFonts w:ascii="Times New Roman" w:hAnsi="Times New Roman" w:eastAsia="Times New Roman" w:cs="Times New Roman"/>
                <w:sz w:val="24"/>
                <w:szCs w:val="24"/>
                <w:lang w:val="ru-RU" w:eastAsia="ru-RU" w:bidi="ar-SA"/>
              </w:rPr>
            </w:pPr>
            <w:r>
              <w:rPr>
                <w:rFonts w:eastAsia="Times New Roman" w:cs="Times New Roman"/>
                <w:kern w:val="0"/>
                <w:sz w:val="24"/>
                <w:szCs w:val="24"/>
                <w:lang w:val="ru-RU" w:eastAsia="ru-RU" w:bidi="ar-SA"/>
              </w:rPr>
            </w:r>
          </w:p>
        </w:tc>
      </w:tr>
      <w:tr>
        <w:trPr>
          <w:trHeight w:val="113" w:hRule="atLeast"/>
        </w:trPr>
        <w:tc>
          <w:tcPr>
            <w:tcW w:w="534" w:type="dxa"/>
            <w:tcBorders/>
            <w:shd w:fill="auto" w:val="clear"/>
            <w:vAlign w:val="center"/>
          </w:tcPr>
          <w:p>
            <w:pPr>
              <w:pStyle w:val="Normal"/>
              <w:widowControl w:val="false"/>
              <w:suppressAutoHyphens w:val="true"/>
              <w:spacing w:before="0" w:after="0"/>
              <w:jc w:val="center"/>
              <w:rPr>
                <w:rFonts w:ascii="Times New Roman" w:hAnsi="Times New Roman" w:eastAsia="Times New Roman" w:cs="Times New Roman"/>
                <w:sz w:val="24"/>
                <w:szCs w:val="24"/>
                <w:lang w:eastAsia="ru-RU" w:bidi="ar-SA"/>
              </w:rPr>
            </w:pPr>
            <w:r>
              <w:rPr>
                <w:rFonts w:eastAsia="Times New Roman" w:cs="Times New Roman"/>
                <w:kern w:val="0"/>
                <w:sz w:val="24"/>
                <w:szCs w:val="24"/>
                <w:lang w:val="en-US" w:eastAsia="ru-RU" w:bidi="ar-SA"/>
              </w:rPr>
              <w:t>11</w:t>
            </w:r>
          </w:p>
        </w:tc>
        <w:tc>
          <w:tcPr>
            <w:tcW w:w="4251" w:type="dxa"/>
            <w:tcBorders/>
            <w:shd w:fill="auto" w:val="clear"/>
            <w:vAlign w:val="center"/>
          </w:tcPr>
          <w:p>
            <w:pPr>
              <w:pStyle w:val="Formattext"/>
              <w:widowControl w:val="false"/>
              <w:suppressAutoHyphens w:val="true"/>
              <w:spacing w:beforeAutospacing="0" w:before="0" w:afterAutospacing="0" w:after="0"/>
              <w:jc w:val="left"/>
              <w:rPr>
                <w:rFonts w:ascii="Times New Roman" w:hAnsi="Times New Roman" w:eastAsia="Times New Roman" w:cs="Times New Roman"/>
                <w:sz w:val="24"/>
                <w:szCs w:val="24"/>
                <w:lang w:eastAsia="ru-RU" w:bidi="ar-SA"/>
              </w:rPr>
            </w:pPr>
            <w:r>
              <w:rPr>
                <w:rFonts w:eastAsia="Times New Roman" w:cs="Times New Roman"/>
                <w:kern w:val="0"/>
                <w:sz w:val="24"/>
                <w:szCs w:val="24"/>
                <w:lang w:eastAsia="ru-RU" w:bidi="ar-SA"/>
              </w:rPr>
              <w:t>Массовая концентрация  катионов магния</w:t>
            </w:r>
          </w:p>
        </w:tc>
        <w:tc>
          <w:tcPr>
            <w:tcW w:w="4785" w:type="dxa"/>
            <w:vMerge w:val="continue"/>
            <w:tcBorders/>
            <w:shd w:fill="auto" w:val="clear"/>
            <w:vAlign w:val="center"/>
          </w:tcPr>
          <w:p>
            <w:pPr>
              <w:pStyle w:val="Normal"/>
              <w:widowControl w:val="false"/>
              <w:suppressAutoHyphens w:val="true"/>
              <w:spacing w:before="0" w:after="0"/>
              <w:jc w:val="left"/>
              <w:rPr>
                <w:rFonts w:ascii="Times New Roman" w:hAnsi="Times New Roman" w:eastAsia="Times New Roman" w:cs="Times New Roman"/>
                <w:sz w:val="24"/>
                <w:szCs w:val="24"/>
                <w:lang w:val="ru-RU" w:eastAsia="ru-RU" w:bidi="ar-SA"/>
              </w:rPr>
            </w:pPr>
            <w:r>
              <w:rPr>
                <w:rFonts w:eastAsia="Times New Roman" w:cs="Times New Roman"/>
                <w:kern w:val="0"/>
                <w:sz w:val="24"/>
                <w:szCs w:val="24"/>
                <w:lang w:val="ru-RU" w:eastAsia="ru-RU" w:bidi="ar-SA"/>
              </w:rPr>
            </w:r>
          </w:p>
        </w:tc>
      </w:tr>
      <w:tr>
        <w:trPr>
          <w:trHeight w:val="113" w:hRule="atLeast"/>
        </w:trPr>
        <w:tc>
          <w:tcPr>
            <w:tcW w:w="534" w:type="dxa"/>
            <w:tcBorders/>
            <w:shd w:fill="auto" w:val="clear"/>
            <w:vAlign w:val="center"/>
          </w:tcPr>
          <w:p>
            <w:pPr>
              <w:pStyle w:val="Normal"/>
              <w:widowControl w:val="false"/>
              <w:suppressAutoHyphens w:val="true"/>
              <w:spacing w:before="0" w:after="0"/>
              <w:jc w:val="center"/>
              <w:rPr>
                <w:rFonts w:ascii="Times New Roman" w:hAnsi="Times New Roman" w:eastAsia="Times New Roman" w:cs="Times New Roman"/>
                <w:sz w:val="24"/>
                <w:szCs w:val="24"/>
                <w:lang w:eastAsia="ru-RU" w:bidi="ar-SA"/>
              </w:rPr>
            </w:pPr>
            <w:r>
              <w:rPr>
                <w:rFonts w:eastAsia="Times New Roman" w:cs="Times New Roman"/>
                <w:kern w:val="0"/>
                <w:sz w:val="24"/>
                <w:szCs w:val="24"/>
                <w:lang w:val="en-US" w:eastAsia="ru-RU" w:bidi="ar-SA"/>
              </w:rPr>
              <w:t>12</w:t>
            </w:r>
          </w:p>
        </w:tc>
        <w:tc>
          <w:tcPr>
            <w:tcW w:w="4251" w:type="dxa"/>
            <w:tcBorders/>
            <w:shd w:fill="auto" w:val="clear"/>
            <w:vAlign w:val="center"/>
          </w:tcPr>
          <w:p>
            <w:pPr>
              <w:pStyle w:val="Formattext"/>
              <w:widowControl w:val="false"/>
              <w:suppressAutoHyphens w:val="true"/>
              <w:spacing w:beforeAutospacing="0" w:before="0" w:afterAutospacing="0" w:after="0"/>
              <w:jc w:val="left"/>
              <w:rPr>
                <w:rFonts w:ascii="Times New Roman" w:hAnsi="Times New Roman" w:eastAsia="Times New Roman" w:cs="Times New Roman"/>
                <w:sz w:val="24"/>
                <w:szCs w:val="24"/>
                <w:lang w:eastAsia="ru-RU" w:bidi="ar-SA"/>
              </w:rPr>
            </w:pPr>
            <w:r>
              <w:rPr>
                <w:rFonts w:eastAsia="Times New Roman" w:cs="Times New Roman"/>
                <w:kern w:val="0"/>
                <w:sz w:val="24"/>
                <w:szCs w:val="24"/>
                <w:lang w:eastAsia="ru-RU" w:bidi="ar-SA"/>
              </w:rPr>
              <w:t>Железо общее</w:t>
            </w:r>
          </w:p>
        </w:tc>
        <w:tc>
          <w:tcPr>
            <w:tcW w:w="4785" w:type="dxa"/>
            <w:vMerge w:val="continue"/>
            <w:tcBorders/>
            <w:shd w:fill="auto" w:val="clear"/>
            <w:vAlign w:val="center"/>
          </w:tcPr>
          <w:p>
            <w:pPr>
              <w:pStyle w:val="Normal"/>
              <w:widowControl w:val="false"/>
              <w:suppressAutoHyphens w:val="true"/>
              <w:spacing w:before="0" w:after="0"/>
              <w:jc w:val="left"/>
              <w:rPr>
                <w:rFonts w:ascii="Times New Roman" w:hAnsi="Times New Roman" w:eastAsia="Times New Roman" w:cs="Times New Roman"/>
                <w:sz w:val="24"/>
                <w:szCs w:val="24"/>
                <w:lang w:val="ru-RU" w:eastAsia="ru-RU" w:bidi="ar-SA"/>
              </w:rPr>
            </w:pPr>
            <w:r>
              <w:rPr>
                <w:rFonts w:eastAsia="Times New Roman" w:cs="Times New Roman"/>
                <w:kern w:val="0"/>
                <w:sz w:val="24"/>
                <w:szCs w:val="24"/>
                <w:lang w:val="ru-RU" w:eastAsia="ru-RU" w:bidi="ar-SA"/>
              </w:rPr>
            </w:r>
          </w:p>
        </w:tc>
      </w:tr>
      <w:tr>
        <w:trPr>
          <w:trHeight w:val="113" w:hRule="atLeast"/>
        </w:trPr>
        <w:tc>
          <w:tcPr>
            <w:tcW w:w="534" w:type="dxa"/>
            <w:tcBorders/>
            <w:shd w:fill="auto" w:val="clear"/>
            <w:vAlign w:val="center"/>
          </w:tcPr>
          <w:p>
            <w:pPr>
              <w:pStyle w:val="Normal"/>
              <w:widowControl w:val="false"/>
              <w:suppressAutoHyphens w:val="true"/>
              <w:spacing w:before="0" w:after="0"/>
              <w:jc w:val="center"/>
              <w:rPr>
                <w:rFonts w:ascii="Times New Roman" w:hAnsi="Times New Roman" w:eastAsia="Times New Roman" w:cs="Times New Roman"/>
                <w:sz w:val="24"/>
                <w:szCs w:val="24"/>
                <w:lang w:eastAsia="ru-RU" w:bidi="ar-SA"/>
              </w:rPr>
            </w:pPr>
            <w:r>
              <w:rPr>
                <w:rFonts w:eastAsia="Times New Roman" w:cs="Times New Roman"/>
                <w:kern w:val="0"/>
                <w:sz w:val="24"/>
                <w:szCs w:val="24"/>
                <w:lang w:val="en-US" w:eastAsia="ru-RU" w:bidi="ar-SA"/>
              </w:rPr>
              <w:t>13</w:t>
            </w:r>
          </w:p>
        </w:tc>
        <w:tc>
          <w:tcPr>
            <w:tcW w:w="4251" w:type="dxa"/>
            <w:tcBorders/>
            <w:shd w:fill="auto" w:val="clear"/>
            <w:vAlign w:val="center"/>
          </w:tcPr>
          <w:p>
            <w:pPr>
              <w:pStyle w:val="Formattext"/>
              <w:widowControl w:val="false"/>
              <w:suppressAutoHyphens w:val="true"/>
              <w:spacing w:beforeAutospacing="0" w:before="0" w:afterAutospacing="0" w:after="0"/>
              <w:jc w:val="left"/>
              <w:rPr>
                <w:rFonts w:ascii="Times New Roman" w:hAnsi="Times New Roman" w:eastAsia="Times New Roman" w:cs="Times New Roman"/>
                <w:sz w:val="24"/>
                <w:szCs w:val="24"/>
                <w:lang w:eastAsia="ru-RU" w:bidi="ar-SA"/>
              </w:rPr>
            </w:pPr>
            <w:r>
              <w:rPr>
                <w:rFonts w:eastAsia="Times New Roman" w:cs="Times New Roman"/>
                <w:kern w:val="0"/>
                <w:sz w:val="24"/>
                <w:szCs w:val="24"/>
                <w:lang w:eastAsia="ru-RU" w:bidi="ar-SA"/>
              </w:rPr>
              <w:t>Массовая концентрация марганца</w:t>
            </w:r>
          </w:p>
        </w:tc>
        <w:tc>
          <w:tcPr>
            <w:tcW w:w="4785" w:type="dxa"/>
            <w:vMerge w:val="continue"/>
            <w:tcBorders/>
            <w:shd w:fill="auto" w:val="clear"/>
            <w:vAlign w:val="center"/>
          </w:tcPr>
          <w:p>
            <w:pPr>
              <w:pStyle w:val="Normal"/>
              <w:widowControl w:val="false"/>
              <w:suppressAutoHyphens w:val="true"/>
              <w:spacing w:before="0" w:after="0"/>
              <w:jc w:val="left"/>
              <w:rPr>
                <w:rFonts w:ascii="Times New Roman" w:hAnsi="Times New Roman" w:eastAsia="Times New Roman" w:cs="Times New Roman"/>
                <w:sz w:val="24"/>
                <w:szCs w:val="24"/>
                <w:lang w:val="ru-RU" w:eastAsia="ru-RU" w:bidi="ar-SA"/>
              </w:rPr>
            </w:pPr>
            <w:r>
              <w:rPr>
                <w:rFonts w:eastAsia="Times New Roman" w:cs="Times New Roman"/>
                <w:kern w:val="0"/>
                <w:sz w:val="24"/>
                <w:szCs w:val="24"/>
                <w:lang w:val="ru-RU" w:eastAsia="ru-RU" w:bidi="ar-SA"/>
              </w:rPr>
            </w:r>
          </w:p>
        </w:tc>
      </w:tr>
      <w:tr>
        <w:trPr>
          <w:trHeight w:val="113" w:hRule="atLeast"/>
        </w:trPr>
        <w:tc>
          <w:tcPr>
            <w:tcW w:w="534" w:type="dxa"/>
            <w:tcBorders/>
            <w:shd w:fill="auto" w:val="clear"/>
            <w:vAlign w:val="center"/>
          </w:tcPr>
          <w:p>
            <w:pPr>
              <w:pStyle w:val="Normal"/>
              <w:widowControl w:val="false"/>
              <w:suppressAutoHyphens w:val="true"/>
              <w:spacing w:before="0" w:after="0"/>
              <w:jc w:val="center"/>
              <w:rPr>
                <w:rFonts w:ascii="Times New Roman" w:hAnsi="Times New Roman" w:eastAsia="Times New Roman" w:cs="Times New Roman"/>
                <w:sz w:val="24"/>
                <w:szCs w:val="24"/>
                <w:lang w:eastAsia="ru-RU" w:bidi="ar-SA"/>
              </w:rPr>
            </w:pPr>
            <w:r>
              <w:rPr>
                <w:rFonts w:eastAsia="Times New Roman" w:cs="Times New Roman"/>
                <w:kern w:val="0"/>
                <w:sz w:val="24"/>
                <w:szCs w:val="24"/>
                <w:lang w:val="en-US" w:eastAsia="ru-RU" w:bidi="ar-SA"/>
              </w:rPr>
              <w:t>14</w:t>
            </w:r>
          </w:p>
        </w:tc>
        <w:tc>
          <w:tcPr>
            <w:tcW w:w="4251" w:type="dxa"/>
            <w:tcBorders/>
            <w:shd w:fill="auto" w:val="clear"/>
            <w:vAlign w:val="center"/>
          </w:tcPr>
          <w:p>
            <w:pPr>
              <w:pStyle w:val="Formattext"/>
              <w:widowControl w:val="false"/>
              <w:suppressAutoHyphens w:val="true"/>
              <w:spacing w:beforeAutospacing="0" w:before="0" w:afterAutospacing="0" w:after="0"/>
              <w:jc w:val="left"/>
              <w:rPr>
                <w:rFonts w:ascii="Times New Roman" w:hAnsi="Times New Roman" w:eastAsia="Times New Roman" w:cs="Times New Roman"/>
                <w:sz w:val="24"/>
                <w:szCs w:val="24"/>
                <w:lang w:eastAsia="ru-RU" w:bidi="ar-SA"/>
              </w:rPr>
            </w:pPr>
            <w:r>
              <w:rPr>
                <w:rFonts w:eastAsia="Times New Roman" w:cs="Times New Roman"/>
                <w:kern w:val="0"/>
                <w:sz w:val="24"/>
                <w:szCs w:val="24"/>
                <w:lang w:eastAsia="ru-RU" w:bidi="ar-SA"/>
              </w:rPr>
              <w:t>Массовая концентрация меди</w:t>
            </w:r>
          </w:p>
        </w:tc>
        <w:tc>
          <w:tcPr>
            <w:tcW w:w="4785" w:type="dxa"/>
            <w:vMerge w:val="continue"/>
            <w:tcBorders/>
            <w:shd w:fill="auto" w:val="clear"/>
            <w:vAlign w:val="center"/>
          </w:tcPr>
          <w:p>
            <w:pPr>
              <w:pStyle w:val="Normal"/>
              <w:widowControl w:val="false"/>
              <w:suppressAutoHyphens w:val="true"/>
              <w:spacing w:before="0" w:after="0"/>
              <w:jc w:val="left"/>
              <w:rPr>
                <w:rFonts w:ascii="Times New Roman" w:hAnsi="Times New Roman" w:eastAsia="Times New Roman" w:cs="Times New Roman"/>
                <w:sz w:val="24"/>
                <w:szCs w:val="24"/>
                <w:lang w:val="ru-RU" w:eastAsia="ru-RU" w:bidi="ar-SA"/>
              </w:rPr>
            </w:pPr>
            <w:r>
              <w:rPr>
                <w:rFonts w:eastAsia="Times New Roman" w:cs="Times New Roman"/>
                <w:kern w:val="0"/>
                <w:sz w:val="24"/>
                <w:szCs w:val="24"/>
                <w:lang w:val="ru-RU" w:eastAsia="ru-RU" w:bidi="ar-SA"/>
              </w:rPr>
            </w:r>
          </w:p>
        </w:tc>
      </w:tr>
      <w:tr>
        <w:trPr>
          <w:trHeight w:val="113" w:hRule="atLeast"/>
        </w:trPr>
        <w:tc>
          <w:tcPr>
            <w:tcW w:w="534" w:type="dxa"/>
            <w:tcBorders/>
            <w:shd w:fill="auto" w:val="clear"/>
            <w:vAlign w:val="center"/>
          </w:tcPr>
          <w:p>
            <w:pPr>
              <w:pStyle w:val="Normal"/>
              <w:widowControl w:val="false"/>
              <w:suppressAutoHyphens w:val="true"/>
              <w:spacing w:before="0" w:after="0"/>
              <w:jc w:val="center"/>
              <w:rPr>
                <w:rFonts w:ascii="Times New Roman" w:hAnsi="Times New Roman" w:eastAsia="Times New Roman" w:cs="Times New Roman"/>
                <w:sz w:val="24"/>
                <w:szCs w:val="24"/>
                <w:lang w:eastAsia="ru-RU" w:bidi="ar-SA"/>
              </w:rPr>
            </w:pPr>
            <w:r>
              <w:rPr>
                <w:rFonts w:eastAsia="Times New Roman" w:cs="Times New Roman"/>
                <w:kern w:val="0"/>
                <w:sz w:val="24"/>
                <w:szCs w:val="24"/>
                <w:lang w:val="en-US" w:eastAsia="ru-RU" w:bidi="ar-SA"/>
              </w:rPr>
              <w:t>15</w:t>
            </w:r>
          </w:p>
        </w:tc>
        <w:tc>
          <w:tcPr>
            <w:tcW w:w="4251" w:type="dxa"/>
            <w:tcBorders/>
            <w:shd w:fill="auto" w:val="clear"/>
            <w:vAlign w:val="center"/>
          </w:tcPr>
          <w:p>
            <w:pPr>
              <w:pStyle w:val="Formattext"/>
              <w:widowControl w:val="false"/>
              <w:suppressAutoHyphens w:val="true"/>
              <w:spacing w:beforeAutospacing="0" w:before="0" w:afterAutospacing="0" w:after="0"/>
              <w:jc w:val="left"/>
              <w:rPr>
                <w:rFonts w:ascii="Times New Roman" w:hAnsi="Times New Roman" w:eastAsia="Times New Roman" w:cs="Times New Roman"/>
                <w:sz w:val="24"/>
                <w:szCs w:val="24"/>
                <w:lang w:eastAsia="ru-RU" w:bidi="ar-SA"/>
              </w:rPr>
            </w:pPr>
            <w:r>
              <w:rPr>
                <w:rFonts w:eastAsia="Times New Roman" w:cs="Times New Roman"/>
                <w:kern w:val="0"/>
                <w:sz w:val="24"/>
                <w:szCs w:val="24"/>
                <w:lang w:eastAsia="ru-RU" w:bidi="ar-SA"/>
              </w:rPr>
              <w:t>Массовая концентрация никеля</w:t>
            </w:r>
          </w:p>
        </w:tc>
        <w:tc>
          <w:tcPr>
            <w:tcW w:w="4785" w:type="dxa"/>
            <w:vMerge w:val="continue"/>
            <w:tcBorders/>
            <w:shd w:fill="auto" w:val="clear"/>
            <w:vAlign w:val="center"/>
          </w:tcPr>
          <w:p>
            <w:pPr>
              <w:pStyle w:val="Normal"/>
              <w:widowControl w:val="false"/>
              <w:suppressAutoHyphens w:val="true"/>
              <w:spacing w:before="0" w:after="0"/>
              <w:jc w:val="left"/>
              <w:rPr>
                <w:rFonts w:ascii="Times New Roman" w:hAnsi="Times New Roman" w:eastAsia="Times New Roman" w:cs="Times New Roman"/>
                <w:sz w:val="24"/>
                <w:szCs w:val="24"/>
                <w:lang w:val="ru-RU" w:eastAsia="ru-RU" w:bidi="ar-SA"/>
              </w:rPr>
            </w:pPr>
            <w:r>
              <w:rPr>
                <w:rFonts w:eastAsia="Times New Roman" w:cs="Times New Roman"/>
                <w:kern w:val="0"/>
                <w:sz w:val="24"/>
                <w:szCs w:val="24"/>
                <w:lang w:val="ru-RU" w:eastAsia="ru-RU" w:bidi="ar-SA"/>
              </w:rPr>
            </w:r>
          </w:p>
        </w:tc>
      </w:tr>
      <w:tr>
        <w:trPr>
          <w:trHeight w:val="113" w:hRule="atLeast"/>
        </w:trPr>
        <w:tc>
          <w:tcPr>
            <w:tcW w:w="534" w:type="dxa"/>
            <w:tcBorders/>
            <w:shd w:fill="auto" w:val="clear"/>
            <w:vAlign w:val="center"/>
          </w:tcPr>
          <w:p>
            <w:pPr>
              <w:pStyle w:val="Normal"/>
              <w:widowControl w:val="false"/>
              <w:suppressAutoHyphens w:val="true"/>
              <w:spacing w:before="0" w:after="0"/>
              <w:jc w:val="center"/>
              <w:rPr>
                <w:rFonts w:ascii="Times New Roman" w:hAnsi="Times New Roman" w:eastAsia="Times New Roman" w:cs="Times New Roman"/>
                <w:sz w:val="24"/>
                <w:szCs w:val="24"/>
                <w:lang w:eastAsia="ru-RU" w:bidi="ar-SA"/>
              </w:rPr>
            </w:pPr>
            <w:r>
              <w:rPr>
                <w:rFonts w:eastAsia="Times New Roman" w:cs="Times New Roman"/>
                <w:kern w:val="0"/>
                <w:sz w:val="24"/>
                <w:szCs w:val="24"/>
                <w:lang w:val="en-US" w:eastAsia="ru-RU" w:bidi="ar-SA"/>
              </w:rPr>
              <w:t>16</w:t>
            </w:r>
          </w:p>
        </w:tc>
        <w:tc>
          <w:tcPr>
            <w:tcW w:w="4251" w:type="dxa"/>
            <w:tcBorders/>
            <w:shd w:fill="auto" w:val="clear"/>
            <w:vAlign w:val="center"/>
          </w:tcPr>
          <w:p>
            <w:pPr>
              <w:pStyle w:val="Formattext"/>
              <w:widowControl w:val="false"/>
              <w:suppressAutoHyphens w:val="true"/>
              <w:spacing w:beforeAutospacing="0" w:before="0" w:afterAutospacing="0" w:after="0"/>
              <w:jc w:val="left"/>
              <w:rPr>
                <w:rFonts w:ascii="Times New Roman" w:hAnsi="Times New Roman" w:eastAsia="Times New Roman" w:cs="Times New Roman"/>
                <w:sz w:val="24"/>
                <w:szCs w:val="24"/>
                <w:lang w:eastAsia="ru-RU" w:bidi="ar-SA"/>
              </w:rPr>
            </w:pPr>
            <w:r>
              <w:rPr>
                <w:rFonts w:eastAsia="Times New Roman" w:cs="Times New Roman"/>
                <w:kern w:val="0"/>
                <w:sz w:val="24"/>
                <w:szCs w:val="24"/>
                <w:lang w:eastAsia="ru-RU" w:bidi="ar-SA"/>
              </w:rPr>
              <w:t>Массовая концентрация свинца</w:t>
            </w:r>
          </w:p>
        </w:tc>
        <w:tc>
          <w:tcPr>
            <w:tcW w:w="4785" w:type="dxa"/>
            <w:vMerge w:val="continue"/>
            <w:tcBorders/>
            <w:shd w:fill="auto" w:val="clear"/>
            <w:vAlign w:val="center"/>
          </w:tcPr>
          <w:p>
            <w:pPr>
              <w:pStyle w:val="Normal"/>
              <w:widowControl w:val="false"/>
              <w:suppressAutoHyphens w:val="true"/>
              <w:spacing w:before="0" w:after="0"/>
              <w:jc w:val="left"/>
              <w:rPr>
                <w:rFonts w:ascii="Times New Roman" w:hAnsi="Times New Roman" w:eastAsia="Times New Roman" w:cs="Times New Roman"/>
                <w:sz w:val="24"/>
                <w:szCs w:val="24"/>
                <w:lang w:val="ru-RU" w:eastAsia="ru-RU" w:bidi="ar-SA"/>
              </w:rPr>
            </w:pPr>
            <w:r>
              <w:rPr>
                <w:rFonts w:eastAsia="Times New Roman" w:cs="Times New Roman"/>
                <w:kern w:val="0"/>
                <w:sz w:val="24"/>
                <w:szCs w:val="24"/>
                <w:lang w:val="ru-RU" w:eastAsia="ru-RU" w:bidi="ar-SA"/>
              </w:rPr>
            </w:r>
          </w:p>
        </w:tc>
      </w:tr>
      <w:tr>
        <w:trPr>
          <w:trHeight w:val="113" w:hRule="atLeast"/>
        </w:trPr>
        <w:tc>
          <w:tcPr>
            <w:tcW w:w="534" w:type="dxa"/>
            <w:tcBorders/>
            <w:shd w:fill="auto" w:val="clear"/>
            <w:vAlign w:val="center"/>
          </w:tcPr>
          <w:p>
            <w:pPr>
              <w:pStyle w:val="Normal"/>
              <w:widowControl w:val="false"/>
              <w:suppressAutoHyphens w:val="true"/>
              <w:spacing w:before="0" w:after="0"/>
              <w:jc w:val="center"/>
              <w:rPr>
                <w:rFonts w:ascii="Times New Roman" w:hAnsi="Times New Roman" w:eastAsia="Times New Roman" w:cs="Times New Roman"/>
                <w:sz w:val="24"/>
                <w:szCs w:val="24"/>
                <w:lang w:eastAsia="ru-RU" w:bidi="ar-SA"/>
              </w:rPr>
            </w:pPr>
            <w:r>
              <w:rPr>
                <w:rFonts w:eastAsia="Times New Roman" w:cs="Times New Roman"/>
                <w:kern w:val="0"/>
                <w:sz w:val="24"/>
                <w:szCs w:val="24"/>
                <w:lang w:val="en-US" w:eastAsia="ru-RU" w:bidi="ar-SA"/>
              </w:rPr>
              <w:t>17</w:t>
            </w:r>
          </w:p>
        </w:tc>
        <w:tc>
          <w:tcPr>
            <w:tcW w:w="4251" w:type="dxa"/>
            <w:tcBorders/>
            <w:shd w:fill="auto" w:val="clear"/>
            <w:vAlign w:val="center"/>
          </w:tcPr>
          <w:p>
            <w:pPr>
              <w:pStyle w:val="Formattext"/>
              <w:widowControl w:val="false"/>
              <w:suppressAutoHyphens w:val="true"/>
              <w:spacing w:beforeAutospacing="0" w:before="0" w:afterAutospacing="0" w:after="0"/>
              <w:jc w:val="left"/>
              <w:rPr>
                <w:rFonts w:ascii="Times New Roman" w:hAnsi="Times New Roman" w:eastAsia="Times New Roman" w:cs="Times New Roman"/>
                <w:sz w:val="24"/>
                <w:szCs w:val="24"/>
                <w:lang w:eastAsia="ru-RU" w:bidi="ar-SA"/>
              </w:rPr>
            </w:pPr>
            <w:r>
              <w:rPr>
                <w:rFonts w:eastAsia="Times New Roman" w:cs="Times New Roman"/>
                <w:kern w:val="0"/>
                <w:sz w:val="24"/>
                <w:szCs w:val="24"/>
                <w:lang w:eastAsia="ru-RU" w:bidi="ar-SA"/>
              </w:rPr>
              <w:t>Массовая концентрация стронция</w:t>
            </w:r>
          </w:p>
        </w:tc>
        <w:tc>
          <w:tcPr>
            <w:tcW w:w="4785" w:type="dxa"/>
            <w:vMerge w:val="continue"/>
            <w:tcBorders/>
            <w:shd w:fill="auto" w:val="clear"/>
            <w:vAlign w:val="center"/>
          </w:tcPr>
          <w:p>
            <w:pPr>
              <w:pStyle w:val="Normal"/>
              <w:widowControl w:val="false"/>
              <w:suppressAutoHyphens w:val="true"/>
              <w:spacing w:before="0" w:after="0"/>
              <w:jc w:val="left"/>
              <w:rPr>
                <w:rFonts w:ascii="Times New Roman" w:hAnsi="Times New Roman" w:eastAsia="Times New Roman" w:cs="Times New Roman"/>
                <w:sz w:val="24"/>
                <w:szCs w:val="24"/>
                <w:lang w:val="ru-RU" w:eastAsia="ru-RU" w:bidi="ar-SA"/>
              </w:rPr>
            </w:pPr>
            <w:r>
              <w:rPr>
                <w:rFonts w:eastAsia="Times New Roman" w:cs="Times New Roman"/>
                <w:kern w:val="0"/>
                <w:sz w:val="24"/>
                <w:szCs w:val="24"/>
                <w:lang w:val="ru-RU" w:eastAsia="ru-RU" w:bidi="ar-SA"/>
              </w:rPr>
            </w:r>
          </w:p>
        </w:tc>
      </w:tr>
      <w:tr>
        <w:trPr>
          <w:trHeight w:val="113" w:hRule="atLeast"/>
        </w:trPr>
        <w:tc>
          <w:tcPr>
            <w:tcW w:w="534" w:type="dxa"/>
            <w:tcBorders/>
            <w:shd w:fill="auto" w:val="clear"/>
            <w:vAlign w:val="center"/>
          </w:tcPr>
          <w:p>
            <w:pPr>
              <w:pStyle w:val="Normal"/>
              <w:widowControl w:val="false"/>
              <w:suppressAutoHyphens w:val="true"/>
              <w:spacing w:before="0" w:after="0"/>
              <w:jc w:val="center"/>
              <w:rPr>
                <w:rFonts w:ascii="Times New Roman" w:hAnsi="Times New Roman" w:eastAsia="Times New Roman" w:cs="Times New Roman"/>
                <w:sz w:val="24"/>
                <w:szCs w:val="24"/>
                <w:lang w:eastAsia="ru-RU" w:bidi="ar-SA"/>
              </w:rPr>
            </w:pPr>
            <w:r>
              <w:rPr>
                <w:rFonts w:eastAsia="Times New Roman" w:cs="Times New Roman"/>
                <w:kern w:val="0"/>
                <w:sz w:val="24"/>
                <w:szCs w:val="24"/>
                <w:lang w:val="en-US" w:eastAsia="ru-RU" w:bidi="ar-SA"/>
              </w:rPr>
              <w:t>18</w:t>
            </w:r>
          </w:p>
        </w:tc>
        <w:tc>
          <w:tcPr>
            <w:tcW w:w="4251" w:type="dxa"/>
            <w:tcBorders/>
            <w:shd w:fill="auto" w:val="clear"/>
            <w:vAlign w:val="center"/>
          </w:tcPr>
          <w:p>
            <w:pPr>
              <w:pStyle w:val="Formattext"/>
              <w:widowControl w:val="false"/>
              <w:suppressAutoHyphens w:val="true"/>
              <w:spacing w:beforeAutospacing="0" w:before="0" w:afterAutospacing="0" w:after="0"/>
              <w:jc w:val="left"/>
              <w:rPr>
                <w:rFonts w:ascii="Times New Roman" w:hAnsi="Times New Roman" w:eastAsia="Times New Roman" w:cs="Times New Roman"/>
                <w:sz w:val="24"/>
                <w:szCs w:val="24"/>
                <w:lang w:eastAsia="ru-RU" w:bidi="ar-SA"/>
              </w:rPr>
            </w:pPr>
            <w:r>
              <w:rPr>
                <w:rFonts w:eastAsia="Times New Roman" w:cs="Times New Roman"/>
                <w:kern w:val="0"/>
                <w:sz w:val="24"/>
                <w:szCs w:val="24"/>
                <w:lang w:eastAsia="ru-RU" w:bidi="ar-SA"/>
              </w:rPr>
              <w:t>Массовая концентрация цинка</w:t>
            </w:r>
          </w:p>
        </w:tc>
        <w:tc>
          <w:tcPr>
            <w:tcW w:w="4785" w:type="dxa"/>
            <w:vMerge w:val="continue"/>
            <w:tcBorders/>
            <w:shd w:fill="auto" w:val="clear"/>
            <w:vAlign w:val="center"/>
          </w:tcPr>
          <w:p>
            <w:pPr>
              <w:pStyle w:val="Normal"/>
              <w:widowControl w:val="false"/>
              <w:suppressAutoHyphens w:val="true"/>
              <w:spacing w:before="0" w:after="0"/>
              <w:jc w:val="left"/>
              <w:rPr>
                <w:rFonts w:ascii="Times New Roman" w:hAnsi="Times New Roman" w:eastAsia="Times New Roman" w:cs="Times New Roman"/>
                <w:sz w:val="24"/>
                <w:szCs w:val="24"/>
                <w:lang w:val="ru-RU" w:eastAsia="ru-RU" w:bidi="ar-SA"/>
              </w:rPr>
            </w:pPr>
            <w:r>
              <w:rPr>
                <w:rFonts w:eastAsia="Times New Roman" w:cs="Times New Roman"/>
                <w:kern w:val="0"/>
                <w:sz w:val="24"/>
                <w:szCs w:val="24"/>
                <w:lang w:val="ru-RU" w:eastAsia="ru-RU" w:bidi="ar-SA"/>
              </w:rPr>
            </w:r>
          </w:p>
        </w:tc>
      </w:tr>
      <w:tr>
        <w:trPr>
          <w:trHeight w:val="113" w:hRule="atLeast"/>
        </w:trPr>
        <w:tc>
          <w:tcPr>
            <w:tcW w:w="534" w:type="dxa"/>
            <w:tcBorders/>
            <w:shd w:fill="auto" w:val="clear"/>
            <w:vAlign w:val="center"/>
          </w:tcPr>
          <w:p>
            <w:pPr>
              <w:pStyle w:val="Normal"/>
              <w:widowControl w:val="false"/>
              <w:suppressAutoHyphens w:val="true"/>
              <w:spacing w:before="0" w:after="0"/>
              <w:jc w:val="center"/>
              <w:rPr>
                <w:rFonts w:ascii="Times New Roman" w:hAnsi="Times New Roman" w:eastAsia="Times New Roman" w:cs="Times New Roman"/>
                <w:sz w:val="24"/>
                <w:szCs w:val="24"/>
                <w:lang w:eastAsia="ru-RU" w:bidi="ar-SA"/>
              </w:rPr>
            </w:pPr>
            <w:r>
              <w:rPr>
                <w:rFonts w:eastAsia="Times New Roman" w:cs="Times New Roman"/>
                <w:kern w:val="0"/>
                <w:sz w:val="24"/>
                <w:szCs w:val="24"/>
                <w:lang w:val="en-US" w:eastAsia="ru-RU" w:bidi="ar-SA"/>
              </w:rPr>
              <w:t>19</w:t>
            </w:r>
          </w:p>
        </w:tc>
        <w:tc>
          <w:tcPr>
            <w:tcW w:w="4251" w:type="dxa"/>
            <w:tcBorders/>
            <w:shd w:fill="auto" w:val="clear"/>
            <w:vAlign w:val="center"/>
          </w:tcPr>
          <w:p>
            <w:pPr>
              <w:pStyle w:val="Formattext"/>
              <w:widowControl w:val="false"/>
              <w:suppressAutoHyphens w:val="true"/>
              <w:spacing w:beforeAutospacing="0" w:before="0" w:afterAutospacing="0" w:after="0"/>
              <w:jc w:val="left"/>
              <w:rPr>
                <w:rFonts w:ascii="Times New Roman" w:hAnsi="Times New Roman" w:eastAsia="Times New Roman" w:cs="Times New Roman"/>
                <w:sz w:val="24"/>
                <w:szCs w:val="24"/>
                <w:lang w:eastAsia="ru-RU" w:bidi="ar-SA"/>
              </w:rPr>
            </w:pPr>
            <w:r>
              <w:rPr>
                <w:rFonts w:eastAsia="Times New Roman" w:cs="Times New Roman"/>
                <w:kern w:val="0"/>
                <w:sz w:val="24"/>
                <w:szCs w:val="24"/>
                <w:lang w:eastAsia="ru-RU" w:bidi="ar-SA"/>
              </w:rPr>
              <w:t>Массовая концентрация алюминия</w:t>
            </w:r>
          </w:p>
        </w:tc>
        <w:tc>
          <w:tcPr>
            <w:tcW w:w="4785" w:type="dxa"/>
            <w:vMerge w:val="continue"/>
            <w:tcBorders/>
            <w:shd w:fill="auto" w:val="clear"/>
            <w:vAlign w:val="center"/>
          </w:tcPr>
          <w:p>
            <w:pPr>
              <w:pStyle w:val="Normal"/>
              <w:widowControl w:val="false"/>
              <w:suppressAutoHyphens w:val="true"/>
              <w:spacing w:before="0" w:after="0"/>
              <w:jc w:val="left"/>
              <w:rPr>
                <w:rFonts w:ascii="Times New Roman" w:hAnsi="Times New Roman" w:eastAsia="Times New Roman" w:cs="Times New Roman"/>
                <w:sz w:val="24"/>
                <w:szCs w:val="24"/>
                <w:lang w:val="ru-RU" w:eastAsia="ru-RU" w:bidi="ar-SA"/>
              </w:rPr>
            </w:pPr>
            <w:r>
              <w:rPr>
                <w:rFonts w:eastAsia="Times New Roman" w:cs="Times New Roman"/>
                <w:kern w:val="0"/>
                <w:sz w:val="24"/>
                <w:szCs w:val="24"/>
                <w:lang w:val="ru-RU" w:eastAsia="ru-RU" w:bidi="ar-SA"/>
              </w:rPr>
            </w:r>
          </w:p>
        </w:tc>
      </w:tr>
      <w:tr>
        <w:trPr>
          <w:trHeight w:val="113" w:hRule="atLeast"/>
        </w:trPr>
        <w:tc>
          <w:tcPr>
            <w:tcW w:w="534" w:type="dxa"/>
            <w:tcBorders/>
            <w:shd w:fill="auto" w:val="clear"/>
            <w:vAlign w:val="center"/>
          </w:tcPr>
          <w:p>
            <w:pPr>
              <w:pStyle w:val="Normal"/>
              <w:widowControl w:val="false"/>
              <w:suppressAutoHyphens w:val="true"/>
              <w:spacing w:before="0" w:after="0"/>
              <w:jc w:val="center"/>
              <w:rPr>
                <w:rFonts w:ascii="Times New Roman" w:hAnsi="Times New Roman" w:eastAsia="Times New Roman" w:cs="Times New Roman"/>
                <w:sz w:val="24"/>
                <w:szCs w:val="24"/>
                <w:lang w:eastAsia="ru-RU" w:bidi="ar-SA"/>
              </w:rPr>
            </w:pPr>
            <w:r>
              <w:rPr>
                <w:rFonts w:eastAsia="Times New Roman" w:cs="Times New Roman"/>
                <w:kern w:val="0"/>
                <w:sz w:val="24"/>
                <w:szCs w:val="24"/>
                <w:lang w:val="en-US" w:eastAsia="ru-RU" w:bidi="ar-SA"/>
              </w:rPr>
              <w:t>20</w:t>
            </w:r>
          </w:p>
        </w:tc>
        <w:tc>
          <w:tcPr>
            <w:tcW w:w="4251" w:type="dxa"/>
            <w:tcBorders/>
            <w:shd w:fill="auto" w:val="clear"/>
            <w:vAlign w:val="center"/>
          </w:tcPr>
          <w:p>
            <w:pPr>
              <w:pStyle w:val="Formattext"/>
              <w:widowControl w:val="false"/>
              <w:suppressAutoHyphens w:val="true"/>
              <w:spacing w:beforeAutospacing="0" w:before="0" w:afterAutospacing="0" w:after="0"/>
              <w:jc w:val="left"/>
              <w:rPr>
                <w:rFonts w:ascii="Times New Roman" w:hAnsi="Times New Roman" w:eastAsia="Times New Roman" w:cs="Times New Roman"/>
                <w:sz w:val="24"/>
                <w:szCs w:val="24"/>
                <w:lang w:eastAsia="ru-RU" w:bidi="ar-SA"/>
              </w:rPr>
            </w:pPr>
            <w:r>
              <w:rPr>
                <w:rFonts w:eastAsia="Times New Roman" w:cs="Times New Roman"/>
                <w:kern w:val="0"/>
                <w:sz w:val="24"/>
                <w:szCs w:val="24"/>
                <w:lang w:eastAsia="ru-RU" w:bidi="ar-SA"/>
              </w:rPr>
              <w:t>Массовая концентрация нитрит-ионы</w:t>
            </w:r>
          </w:p>
        </w:tc>
        <w:tc>
          <w:tcPr>
            <w:tcW w:w="4785" w:type="dxa"/>
            <w:vMerge w:val="continue"/>
            <w:tcBorders/>
            <w:shd w:fill="auto" w:val="clear"/>
            <w:vAlign w:val="center"/>
          </w:tcPr>
          <w:p>
            <w:pPr>
              <w:pStyle w:val="Normal"/>
              <w:widowControl w:val="false"/>
              <w:suppressAutoHyphens w:val="true"/>
              <w:spacing w:before="0" w:after="0"/>
              <w:jc w:val="left"/>
              <w:rPr>
                <w:rFonts w:ascii="Times New Roman" w:hAnsi="Times New Roman" w:eastAsia="Times New Roman" w:cs="Times New Roman"/>
                <w:sz w:val="24"/>
                <w:szCs w:val="24"/>
                <w:lang w:val="ru-RU" w:eastAsia="ru-RU" w:bidi="ar-SA"/>
              </w:rPr>
            </w:pPr>
            <w:r>
              <w:rPr>
                <w:rFonts w:eastAsia="Times New Roman" w:cs="Times New Roman"/>
                <w:kern w:val="0"/>
                <w:sz w:val="24"/>
                <w:szCs w:val="24"/>
                <w:lang w:val="ru-RU" w:eastAsia="ru-RU" w:bidi="ar-SA"/>
              </w:rPr>
            </w:r>
          </w:p>
        </w:tc>
      </w:tr>
      <w:tr>
        <w:trPr>
          <w:trHeight w:val="113" w:hRule="atLeast"/>
        </w:trPr>
        <w:tc>
          <w:tcPr>
            <w:tcW w:w="534" w:type="dxa"/>
            <w:tcBorders/>
            <w:shd w:fill="auto" w:val="clear"/>
            <w:vAlign w:val="center"/>
          </w:tcPr>
          <w:p>
            <w:pPr>
              <w:pStyle w:val="Normal"/>
              <w:widowControl w:val="false"/>
              <w:suppressAutoHyphens w:val="true"/>
              <w:spacing w:before="0" w:after="0"/>
              <w:jc w:val="center"/>
              <w:rPr>
                <w:rFonts w:ascii="Times New Roman" w:hAnsi="Times New Roman" w:eastAsia="Times New Roman" w:cs="Times New Roman"/>
                <w:sz w:val="24"/>
                <w:szCs w:val="24"/>
                <w:lang w:eastAsia="ru-RU" w:bidi="ar-SA"/>
              </w:rPr>
            </w:pPr>
            <w:r>
              <w:rPr>
                <w:rFonts w:eastAsia="Times New Roman" w:cs="Times New Roman"/>
                <w:kern w:val="0"/>
                <w:sz w:val="24"/>
                <w:szCs w:val="24"/>
                <w:lang w:val="ru-RU" w:eastAsia="ru-RU" w:bidi="ar-SA"/>
              </w:rPr>
              <w:t>21</w:t>
            </w:r>
          </w:p>
        </w:tc>
        <w:tc>
          <w:tcPr>
            <w:tcW w:w="4251" w:type="dxa"/>
            <w:tcBorders/>
            <w:shd w:fill="auto" w:val="clear"/>
            <w:vAlign w:val="center"/>
          </w:tcPr>
          <w:p>
            <w:pPr>
              <w:pStyle w:val="Formattext"/>
              <w:widowControl w:val="false"/>
              <w:suppressAutoHyphens w:val="true"/>
              <w:spacing w:beforeAutospacing="0" w:before="0" w:afterAutospacing="0" w:after="0"/>
              <w:jc w:val="left"/>
              <w:rPr>
                <w:rFonts w:ascii="Times New Roman" w:hAnsi="Times New Roman" w:eastAsia="Times New Roman" w:cs="Times New Roman"/>
                <w:sz w:val="24"/>
                <w:szCs w:val="24"/>
                <w:lang w:eastAsia="ru-RU" w:bidi="ar-SA"/>
              </w:rPr>
            </w:pPr>
            <w:r>
              <w:rPr>
                <w:rFonts w:eastAsia="Times New Roman" w:cs="Times New Roman"/>
                <w:kern w:val="0"/>
                <w:sz w:val="24"/>
                <w:szCs w:val="24"/>
                <w:lang w:eastAsia="ru-RU" w:bidi="ar-SA"/>
              </w:rPr>
              <w:t>Массовая концентрация нитрат-ионы*</w:t>
            </w:r>
          </w:p>
        </w:tc>
        <w:tc>
          <w:tcPr>
            <w:tcW w:w="4785" w:type="dxa"/>
            <w:vMerge w:val="continue"/>
            <w:tcBorders/>
            <w:shd w:fill="auto" w:val="clear"/>
            <w:vAlign w:val="center"/>
          </w:tcPr>
          <w:p>
            <w:pPr>
              <w:pStyle w:val="Normal"/>
              <w:widowControl w:val="false"/>
              <w:suppressAutoHyphens w:val="true"/>
              <w:spacing w:before="0" w:after="0"/>
              <w:jc w:val="left"/>
              <w:rPr>
                <w:rFonts w:ascii="Times New Roman" w:hAnsi="Times New Roman" w:eastAsia="Times New Roman" w:cs="Times New Roman"/>
                <w:sz w:val="24"/>
                <w:szCs w:val="24"/>
                <w:lang w:val="ru-RU" w:eastAsia="ru-RU" w:bidi="ar-SA"/>
              </w:rPr>
            </w:pPr>
            <w:r>
              <w:rPr>
                <w:rFonts w:eastAsia="Times New Roman" w:cs="Times New Roman"/>
                <w:kern w:val="0"/>
                <w:sz w:val="24"/>
                <w:szCs w:val="24"/>
                <w:lang w:val="ru-RU" w:eastAsia="ru-RU" w:bidi="ar-SA"/>
              </w:rPr>
            </w:r>
          </w:p>
        </w:tc>
      </w:tr>
      <w:tr>
        <w:trPr>
          <w:trHeight w:val="113" w:hRule="atLeast"/>
        </w:trPr>
        <w:tc>
          <w:tcPr>
            <w:tcW w:w="534" w:type="dxa"/>
            <w:tcBorders/>
            <w:shd w:fill="auto" w:val="clear"/>
            <w:vAlign w:val="center"/>
          </w:tcPr>
          <w:p>
            <w:pPr>
              <w:pStyle w:val="Normal"/>
              <w:widowControl w:val="false"/>
              <w:suppressAutoHyphens w:val="true"/>
              <w:spacing w:before="0" w:after="0"/>
              <w:jc w:val="center"/>
              <w:rPr>
                <w:rFonts w:ascii="Times New Roman" w:hAnsi="Times New Roman" w:eastAsia="Times New Roman" w:cs="Times New Roman"/>
                <w:sz w:val="24"/>
                <w:szCs w:val="24"/>
                <w:lang w:eastAsia="ru-RU" w:bidi="ar-SA"/>
              </w:rPr>
            </w:pPr>
            <w:r>
              <w:rPr>
                <w:rFonts w:eastAsia="Times New Roman" w:cs="Times New Roman"/>
                <w:kern w:val="0"/>
                <w:sz w:val="24"/>
                <w:szCs w:val="24"/>
                <w:lang w:val="ru-RU" w:eastAsia="ru-RU" w:bidi="ar-SA"/>
              </w:rPr>
              <w:t>22</w:t>
            </w:r>
          </w:p>
        </w:tc>
        <w:tc>
          <w:tcPr>
            <w:tcW w:w="4251" w:type="dxa"/>
            <w:tcBorders/>
            <w:shd w:fill="auto" w:val="clear"/>
            <w:vAlign w:val="center"/>
          </w:tcPr>
          <w:p>
            <w:pPr>
              <w:pStyle w:val="Formattext"/>
              <w:widowControl w:val="false"/>
              <w:suppressAutoHyphens w:val="true"/>
              <w:spacing w:beforeAutospacing="0" w:before="0" w:afterAutospacing="0" w:after="0"/>
              <w:jc w:val="left"/>
              <w:rPr>
                <w:rFonts w:ascii="Times New Roman" w:hAnsi="Times New Roman" w:eastAsia="Times New Roman" w:cs="Times New Roman"/>
                <w:sz w:val="24"/>
                <w:szCs w:val="24"/>
                <w:lang w:eastAsia="ru-RU" w:bidi="ar-SA"/>
              </w:rPr>
            </w:pPr>
            <w:r>
              <w:rPr>
                <w:rFonts w:eastAsia="Times New Roman" w:cs="Times New Roman"/>
                <w:kern w:val="0"/>
                <w:sz w:val="24"/>
                <w:szCs w:val="24"/>
                <w:lang w:eastAsia="ru-RU" w:bidi="ar-SA"/>
              </w:rPr>
              <w:t>Массовая концентрация аммиака и ионов-аммония</w:t>
            </w:r>
          </w:p>
        </w:tc>
        <w:tc>
          <w:tcPr>
            <w:tcW w:w="4785" w:type="dxa"/>
            <w:vMerge w:val="continue"/>
            <w:tcBorders/>
            <w:shd w:fill="auto" w:val="clear"/>
            <w:vAlign w:val="center"/>
          </w:tcPr>
          <w:p>
            <w:pPr>
              <w:pStyle w:val="Normal"/>
              <w:widowControl w:val="false"/>
              <w:suppressAutoHyphens w:val="true"/>
              <w:spacing w:before="0" w:after="0"/>
              <w:jc w:val="left"/>
              <w:rPr>
                <w:rFonts w:ascii="Times New Roman" w:hAnsi="Times New Roman" w:eastAsia="Times New Roman" w:cs="Times New Roman"/>
                <w:sz w:val="24"/>
                <w:szCs w:val="24"/>
                <w:lang w:val="ru-RU" w:eastAsia="ru-RU" w:bidi="ar-SA"/>
              </w:rPr>
            </w:pPr>
            <w:r>
              <w:rPr>
                <w:rFonts w:eastAsia="Times New Roman" w:cs="Times New Roman"/>
                <w:kern w:val="0"/>
                <w:sz w:val="24"/>
                <w:szCs w:val="24"/>
                <w:lang w:val="ru-RU" w:eastAsia="ru-RU" w:bidi="ar-SA"/>
              </w:rPr>
            </w:r>
          </w:p>
        </w:tc>
      </w:tr>
      <w:tr>
        <w:trPr>
          <w:trHeight w:val="113" w:hRule="atLeast"/>
        </w:trPr>
        <w:tc>
          <w:tcPr>
            <w:tcW w:w="534" w:type="dxa"/>
            <w:tcBorders/>
            <w:shd w:fill="auto" w:val="clear"/>
            <w:vAlign w:val="center"/>
          </w:tcPr>
          <w:p>
            <w:pPr>
              <w:pStyle w:val="Normal"/>
              <w:widowControl w:val="false"/>
              <w:suppressAutoHyphens w:val="true"/>
              <w:spacing w:before="0" w:after="0"/>
              <w:jc w:val="center"/>
              <w:rPr>
                <w:rFonts w:ascii="Times New Roman" w:hAnsi="Times New Roman" w:eastAsia="Times New Roman" w:cs="Times New Roman"/>
                <w:sz w:val="24"/>
                <w:szCs w:val="24"/>
                <w:lang w:eastAsia="ru-RU" w:bidi="ar-SA"/>
              </w:rPr>
            </w:pPr>
            <w:r>
              <w:rPr>
                <w:rFonts w:eastAsia="Times New Roman" w:cs="Times New Roman"/>
                <w:kern w:val="0"/>
                <w:sz w:val="24"/>
                <w:szCs w:val="24"/>
                <w:lang w:val="ru-RU" w:eastAsia="ru-RU" w:bidi="ar-SA"/>
              </w:rPr>
              <w:t>23</w:t>
            </w:r>
          </w:p>
        </w:tc>
        <w:tc>
          <w:tcPr>
            <w:tcW w:w="4251" w:type="dxa"/>
            <w:tcBorders/>
            <w:shd w:fill="auto" w:val="clear"/>
            <w:vAlign w:val="center"/>
          </w:tcPr>
          <w:p>
            <w:pPr>
              <w:pStyle w:val="Normal"/>
              <w:widowControl w:val="false"/>
              <w:suppressAutoHyphens w:val="true"/>
              <w:spacing w:before="0" w:after="0"/>
              <w:jc w:val="left"/>
              <w:rPr>
                <w:rFonts w:ascii="Times New Roman" w:hAnsi="Times New Roman" w:eastAsia="Times New Roman" w:cs="Times New Roman"/>
                <w:sz w:val="24"/>
                <w:szCs w:val="24"/>
                <w:lang w:eastAsia="ru-RU" w:bidi="ar-SA"/>
              </w:rPr>
            </w:pPr>
            <w:r>
              <w:rPr>
                <w:rFonts w:eastAsia="Times New Roman" w:cs="Times New Roman"/>
                <w:kern w:val="0"/>
                <w:sz w:val="24"/>
                <w:szCs w:val="24"/>
                <w:lang w:val="ru-RU" w:eastAsia="ru-RU" w:bidi="ar-SA"/>
              </w:rPr>
              <w:t>АПАВ*</w:t>
            </w:r>
          </w:p>
        </w:tc>
        <w:tc>
          <w:tcPr>
            <w:tcW w:w="4785" w:type="dxa"/>
            <w:vMerge w:val="continue"/>
            <w:tcBorders/>
            <w:shd w:fill="auto" w:val="clear"/>
            <w:vAlign w:val="center"/>
          </w:tcPr>
          <w:p>
            <w:pPr>
              <w:pStyle w:val="Normal"/>
              <w:widowControl w:val="false"/>
              <w:suppressAutoHyphens w:val="true"/>
              <w:spacing w:before="0" w:after="0"/>
              <w:jc w:val="left"/>
              <w:rPr>
                <w:rFonts w:ascii="Times New Roman" w:hAnsi="Times New Roman" w:eastAsia="Times New Roman" w:cs="Times New Roman"/>
                <w:sz w:val="24"/>
                <w:szCs w:val="24"/>
                <w:lang w:val="ru-RU" w:eastAsia="ru-RU" w:bidi="ar-SA"/>
              </w:rPr>
            </w:pPr>
            <w:r>
              <w:rPr>
                <w:rFonts w:eastAsia="Times New Roman" w:cs="Times New Roman"/>
                <w:kern w:val="0"/>
                <w:sz w:val="24"/>
                <w:szCs w:val="24"/>
                <w:lang w:val="ru-RU" w:eastAsia="ru-RU" w:bidi="ar-SA"/>
              </w:rPr>
            </w:r>
          </w:p>
        </w:tc>
      </w:tr>
      <w:tr>
        <w:trPr>
          <w:trHeight w:val="247" w:hRule="atLeast"/>
        </w:trPr>
        <w:tc>
          <w:tcPr>
            <w:tcW w:w="534" w:type="dxa"/>
            <w:tcBorders/>
            <w:shd w:fill="auto" w:val="clear"/>
            <w:vAlign w:val="center"/>
          </w:tcPr>
          <w:p>
            <w:pPr>
              <w:pStyle w:val="Normal"/>
              <w:widowControl w:val="false"/>
              <w:suppressAutoHyphens w:val="true"/>
              <w:spacing w:before="0" w:after="0"/>
              <w:jc w:val="center"/>
              <w:rPr>
                <w:rFonts w:ascii="Times New Roman" w:hAnsi="Times New Roman" w:eastAsia="Times New Roman" w:cs="Times New Roman"/>
                <w:sz w:val="24"/>
                <w:szCs w:val="24"/>
                <w:lang w:eastAsia="ru-RU" w:bidi="ar-SA"/>
              </w:rPr>
            </w:pPr>
            <w:r>
              <w:rPr>
                <w:rFonts w:eastAsia="Times New Roman" w:cs="Times New Roman"/>
                <w:kern w:val="0"/>
                <w:sz w:val="24"/>
                <w:szCs w:val="24"/>
                <w:lang w:val="ru-RU" w:eastAsia="ru-RU" w:bidi="ar-SA"/>
              </w:rPr>
              <w:t>24</w:t>
            </w:r>
          </w:p>
        </w:tc>
        <w:tc>
          <w:tcPr>
            <w:tcW w:w="4251" w:type="dxa"/>
            <w:tcBorders/>
            <w:shd w:fill="auto" w:val="clear"/>
            <w:vAlign w:val="center"/>
          </w:tcPr>
          <w:p>
            <w:pPr>
              <w:pStyle w:val="Formattext"/>
              <w:widowControl w:val="false"/>
              <w:suppressAutoHyphens w:val="true"/>
              <w:spacing w:beforeAutospacing="0" w:before="0" w:afterAutospacing="0" w:after="0"/>
              <w:jc w:val="left"/>
              <w:rPr>
                <w:rFonts w:ascii="Times New Roman" w:hAnsi="Times New Roman" w:eastAsia="Times New Roman" w:cs="Times New Roman"/>
                <w:sz w:val="24"/>
                <w:szCs w:val="24"/>
                <w:lang w:eastAsia="ru-RU" w:bidi="ar-SA"/>
              </w:rPr>
            </w:pPr>
            <w:r>
              <w:rPr>
                <w:rFonts w:eastAsia="Times New Roman" w:cs="Times New Roman"/>
                <w:kern w:val="0"/>
                <w:sz w:val="24"/>
                <w:szCs w:val="24"/>
                <w:lang w:eastAsia="ru-RU" w:bidi="ar-SA"/>
              </w:rPr>
              <w:t>БПК5*</w:t>
            </w:r>
          </w:p>
        </w:tc>
        <w:tc>
          <w:tcPr>
            <w:tcW w:w="4785" w:type="dxa"/>
            <w:vMerge w:val="continue"/>
            <w:tcBorders/>
            <w:shd w:fill="auto" w:val="clear"/>
            <w:vAlign w:val="center"/>
          </w:tcPr>
          <w:p>
            <w:pPr>
              <w:pStyle w:val="Normal"/>
              <w:widowControl w:val="false"/>
              <w:suppressAutoHyphens w:val="true"/>
              <w:spacing w:before="0" w:after="0"/>
              <w:jc w:val="left"/>
              <w:rPr>
                <w:rFonts w:ascii="Times New Roman" w:hAnsi="Times New Roman" w:eastAsia="Times New Roman" w:cs="Times New Roman"/>
                <w:sz w:val="24"/>
                <w:szCs w:val="24"/>
                <w:lang w:val="ru-RU" w:eastAsia="ru-RU" w:bidi="ar-SA"/>
              </w:rPr>
            </w:pPr>
            <w:r>
              <w:rPr>
                <w:rFonts w:eastAsia="Times New Roman" w:cs="Times New Roman"/>
                <w:kern w:val="0"/>
                <w:sz w:val="24"/>
                <w:szCs w:val="24"/>
                <w:lang w:val="ru-RU" w:eastAsia="ru-RU" w:bidi="ar-SA"/>
              </w:rPr>
            </w:r>
          </w:p>
        </w:tc>
      </w:tr>
    </w:tbl>
    <w:p>
      <w:pPr>
        <w:pStyle w:val="Normal"/>
        <w:rPr>
          <w:sz w:val="24"/>
          <w:szCs w:val="24"/>
        </w:rPr>
      </w:pPr>
      <w:r>
        <w:rPr>
          <w:b/>
          <w:sz w:val="24"/>
          <w:szCs w:val="24"/>
          <w:lang w:val="ru-RU"/>
        </w:rPr>
        <w:t>Примечание:  *в подземных водах не определяются</w:t>
      </w:r>
    </w:p>
    <w:p>
      <w:pPr>
        <w:pStyle w:val="Normal"/>
        <w:rPr>
          <w:sz w:val="24"/>
          <w:szCs w:val="24"/>
        </w:rPr>
      </w:pPr>
      <w:r>
        <w:rPr>
          <w:sz w:val="24"/>
          <w:szCs w:val="24"/>
        </w:rPr>
      </w:r>
    </w:p>
    <w:p>
      <w:pPr>
        <w:pStyle w:val="Normal"/>
        <w:rPr>
          <w:sz w:val="24"/>
          <w:szCs w:val="24"/>
        </w:rPr>
      </w:pPr>
      <w:r>
        <w:rPr>
          <w:sz w:val="24"/>
          <w:szCs w:val="24"/>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tbl>
      <w:tblPr>
        <w:tblW w:w="9571"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4785"/>
        <w:gridCol w:w="4785"/>
      </w:tblGrid>
      <w:tr>
        <w:trPr/>
        <w:tc>
          <w:tcPr>
            <w:tcW w:w="4785" w:type="dxa"/>
            <w:tcBorders/>
            <w:shd w:fill="auto" w:val="clear"/>
          </w:tcPr>
          <w:p>
            <w:pPr>
              <w:pStyle w:val="Normal"/>
              <w:widowControl w:val="false"/>
              <w:rPr>
                <w:b/>
              </w:rPr>
            </w:pPr>
            <w:r>
              <w:rPr>
                <w:b/>
              </w:rPr>
              <w:t>Заказчик:</w:t>
            </w:r>
          </w:p>
        </w:tc>
        <w:tc>
          <w:tcPr>
            <w:tcW w:w="4785" w:type="dxa"/>
            <w:tcBorders/>
            <w:shd w:fill="auto" w:val="clear"/>
          </w:tcPr>
          <w:p>
            <w:pPr>
              <w:pStyle w:val="Normal"/>
              <w:widowControl w:val="false"/>
              <w:rPr>
                <w:b/>
              </w:rPr>
            </w:pPr>
            <w:r>
              <w:rPr>
                <w:b/>
              </w:rPr>
              <w:t>Исполнитель:</w:t>
            </w:r>
          </w:p>
        </w:tc>
      </w:tr>
      <w:tr>
        <w:trPr/>
        <w:tc>
          <w:tcPr>
            <w:tcW w:w="4785" w:type="dxa"/>
            <w:tcBorders/>
            <w:shd w:fill="auto" w:val="clear"/>
          </w:tcPr>
          <w:p>
            <w:pPr>
              <w:pStyle w:val="Normal"/>
              <w:widowControl w:val="false"/>
              <w:rPr/>
            </w:pPr>
            <w:r>
              <w:rPr/>
            </w:r>
          </w:p>
          <w:p>
            <w:pPr>
              <w:pStyle w:val="Normal"/>
              <w:widowControl w:val="false"/>
              <w:rPr/>
            </w:pPr>
            <w:r>
              <w:rPr/>
            </w:r>
          </w:p>
          <w:p>
            <w:pPr>
              <w:pStyle w:val="Normal"/>
              <w:widowControl w:val="false"/>
              <w:rPr/>
            </w:pPr>
            <w:r>
              <w:rPr/>
              <w:t>_______________ / _______________</w:t>
            </w:r>
          </w:p>
          <w:p>
            <w:pPr>
              <w:pStyle w:val="Normal"/>
              <w:widowControl w:val="false"/>
              <w:rPr/>
            </w:pPr>
            <w:r>
              <w:rPr/>
            </w:r>
          </w:p>
        </w:tc>
        <w:tc>
          <w:tcPr>
            <w:tcW w:w="4785" w:type="dxa"/>
            <w:tcBorders/>
            <w:shd w:fill="auto" w:val="clear"/>
          </w:tcPr>
          <w:p>
            <w:pPr>
              <w:pStyle w:val="Normal"/>
              <w:widowControl w:val="false"/>
              <w:rPr/>
            </w:pPr>
            <w:r>
              <w:rPr/>
            </w:r>
          </w:p>
          <w:p>
            <w:pPr>
              <w:pStyle w:val="Normal"/>
              <w:widowControl w:val="false"/>
              <w:rPr/>
            </w:pPr>
            <w:r>
              <w:rPr/>
            </w:r>
          </w:p>
          <w:p>
            <w:pPr>
              <w:pStyle w:val="Normal"/>
              <w:widowControl w:val="false"/>
              <w:rPr/>
            </w:pPr>
            <w:r>
              <w:rPr/>
              <w:t>_______________ / _______________</w:t>
            </w:r>
          </w:p>
        </w:tc>
      </w:tr>
    </w:tbl>
    <w:p>
      <w:pPr>
        <w:pStyle w:val="Normal"/>
        <w:ind w:firstLine="709"/>
        <w:jc w:val="right"/>
        <w:rPr>
          <w:sz w:val="22"/>
          <w:szCs w:val="22"/>
        </w:rPr>
      </w:pPr>
      <w:r>
        <w:br w:type="page"/>
      </w:r>
      <w:r>
        <w:rPr>
          <w:sz w:val="22"/>
          <w:szCs w:val="22"/>
        </w:rPr>
        <w:t xml:space="preserve"> </w:t>
      </w:r>
      <w:r>
        <w:rPr>
          <w:sz w:val="22"/>
          <w:szCs w:val="22"/>
        </w:rPr>
        <w:t>Приложение № 2</w:t>
      </w:r>
    </w:p>
    <w:p>
      <w:pPr>
        <w:pStyle w:val="Normal"/>
        <w:ind w:left="4820" w:hanging="0"/>
        <w:jc w:val="right"/>
        <w:rPr>
          <w:sz w:val="22"/>
          <w:szCs w:val="22"/>
        </w:rPr>
      </w:pPr>
      <w:r>
        <w:rPr>
          <w:sz w:val="22"/>
          <w:szCs w:val="22"/>
        </w:rPr>
        <w:t xml:space="preserve">            </w:t>
      </w:r>
      <w:r>
        <w:rPr>
          <w:sz w:val="22"/>
          <w:szCs w:val="22"/>
        </w:rPr>
        <w:t>к Договору возмездного оказания услуг</w:t>
      </w:r>
    </w:p>
    <w:p>
      <w:pPr>
        <w:pStyle w:val="Normal"/>
        <w:ind w:left="4820" w:hanging="0"/>
        <w:jc w:val="right"/>
        <w:rPr>
          <w:sz w:val="22"/>
          <w:szCs w:val="22"/>
        </w:rPr>
      </w:pPr>
      <w:r>
        <w:rPr>
          <w:sz w:val="22"/>
          <w:szCs w:val="22"/>
        </w:rPr>
        <w:t xml:space="preserve">              </w:t>
      </w:r>
      <w:r>
        <w:rPr>
          <w:sz w:val="22"/>
          <w:szCs w:val="22"/>
        </w:rPr>
        <w:t>от «____» ________ 20 _ г. №_______</w:t>
      </w:r>
    </w:p>
    <w:p>
      <w:pPr>
        <w:pStyle w:val="Normal"/>
        <w:ind w:left="6379" w:hanging="0"/>
        <w:rPr/>
      </w:pPr>
      <w:r>
        <w:rPr/>
      </w:r>
    </w:p>
    <w:p>
      <w:pPr>
        <w:pStyle w:val="Normal"/>
        <w:ind w:left="6379" w:hanging="0"/>
        <w:rPr/>
      </w:pPr>
      <w:r>
        <w:rPr/>
      </w:r>
    </w:p>
    <w:p>
      <w:pPr>
        <w:pStyle w:val="Normal"/>
        <w:jc w:val="center"/>
        <w:rPr/>
      </w:pPr>
      <w:r>
        <w:rPr>
          <w:b/>
        </w:rPr>
        <w:t>Расчет стоимости Услуг</w:t>
      </w:r>
    </w:p>
    <w:p>
      <w:pPr>
        <w:pStyle w:val="Normal"/>
        <w:jc w:val="center"/>
        <w:rPr>
          <w:lang w:eastAsia="en-US"/>
        </w:rPr>
      </w:pPr>
      <w:r>
        <w:rPr>
          <w:lang w:eastAsia="en-US"/>
        </w:rPr>
      </w:r>
    </w:p>
    <w:p>
      <w:pPr>
        <w:pStyle w:val="Normal"/>
        <w:jc w:val="right"/>
        <w:rPr/>
      </w:pPr>
      <w:r>
        <w:rPr/>
      </w:r>
    </w:p>
    <w:p>
      <w:pPr>
        <w:pStyle w:val="Normal"/>
        <w:jc w:val="right"/>
        <w:rPr/>
      </w:pPr>
      <w:r>
        <w:rPr/>
      </w:r>
    </w:p>
    <w:p>
      <w:pPr>
        <w:pStyle w:val="Normal"/>
        <w:jc w:val="right"/>
        <w:rPr/>
      </w:pPr>
      <w:r>
        <w:rPr/>
      </w:r>
    </w:p>
    <w:p>
      <w:pPr>
        <w:pStyle w:val="Normal"/>
        <w:jc w:val="right"/>
        <w:rPr/>
      </w:pPr>
      <w:r>
        <w:rPr/>
      </w:r>
    </w:p>
    <w:p>
      <w:pPr>
        <w:pStyle w:val="Normal"/>
        <w:jc w:val="right"/>
        <w:rPr/>
      </w:pPr>
      <w:r>
        <w:rPr/>
      </w:r>
    </w:p>
    <w:p>
      <w:pPr>
        <w:pStyle w:val="Normal"/>
        <w:jc w:val="right"/>
        <w:rPr/>
      </w:pPr>
      <w:r>
        <w:rPr/>
      </w:r>
    </w:p>
    <w:p>
      <w:pPr>
        <w:pStyle w:val="Normal"/>
        <w:jc w:val="right"/>
        <w:rPr/>
      </w:pPr>
      <w:r>
        <w:rPr/>
      </w:r>
    </w:p>
    <w:p>
      <w:pPr>
        <w:pStyle w:val="Normal"/>
        <w:jc w:val="right"/>
        <w:rPr/>
      </w:pPr>
      <w:r>
        <w:rPr/>
      </w:r>
    </w:p>
    <w:p>
      <w:pPr>
        <w:pStyle w:val="Normal"/>
        <w:jc w:val="right"/>
        <w:rPr/>
      </w:pPr>
      <w:r>
        <w:rPr/>
      </w:r>
    </w:p>
    <w:p>
      <w:pPr>
        <w:pStyle w:val="Normal"/>
        <w:jc w:val="right"/>
        <w:rPr/>
      </w:pPr>
      <w:r>
        <w:rPr/>
      </w:r>
    </w:p>
    <w:p>
      <w:pPr>
        <w:pStyle w:val="Normal"/>
        <w:jc w:val="right"/>
        <w:rPr/>
      </w:pPr>
      <w:r>
        <w:rPr/>
      </w:r>
    </w:p>
    <w:p>
      <w:pPr>
        <w:pStyle w:val="Normal"/>
        <w:jc w:val="right"/>
        <w:rPr/>
      </w:pPr>
      <w:r>
        <w:rPr/>
      </w:r>
    </w:p>
    <w:p>
      <w:pPr>
        <w:pStyle w:val="Normal"/>
        <w:jc w:val="right"/>
        <w:rPr/>
      </w:pPr>
      <w:r>
        <w:rPr/>
      </w:r>
    </w:p>
    <w:p>
      <w:pPr>
        <w:pStyle w:val="Normal"/>
        <w:jc w:val="right"/>
        <w:rPr/>
      </w:pPr>
      <w:r>
        <w:rPr/>
      </w:r>
    </w:p>
    <w:p>
      <w:pPr>
        <w:pStyle w:val="Normal"/>
        <w:jc w:val="right"/>
        <w:rPr/>
      </w:pPr>
      <w:r>
        <w:rPr/>
      </w:r>
    </w:p>
    <w:p>
      <w:pPr>
        <w:pStyle w:val="Normal"/>
        <w:jc w:val="right"/>
        <w:rPr/>
      </w:pPr>
      <w:r>
        <w:rPr/>
      </w:r>
    </w:p>
    <w:p>
      <w:pPr>
        <w:pStyle w:val="Normal"/>
        <w:jc w:val="right"/>
        <w:rPr/>
      </w:pPr>
      <w:r>
        <w:rPr/>
      </w:r>
    </w:p>
    <w:p>
      <w:pPr>
        <w:pStyle w:val="Normal"/>
        <w:jc w:val="right"/>
        <w:rPr/>
      </w:pPr>
      <w:r>
        <w:rPr/>
      </w:r>
    </w:p>
    <w:p>
      <w:pPr>
        <w:pStyle w:val="Normal"/>
        <w:jc w:val="right"/>
        <w:rPr/>
      </w:pPr>
      <w:r>
        <w:rPr/>
      </w:r>
    </w:p>
    <w:p>
      <w:pPr>
        <w:pStyle w:val="Normal"/>
        <w:jc w:val="right"/>
        <w:rPr/>
      </w:pPr>
      <w:r>
        <w:rPr/>
      </w:r>
    </w:p>
    <w:p>
      <w:pPr>
        <w:pStyle w:val="Normal"/>
        <w:rPr/>
      </w:pPr>
      <w:r>
        <w:rPr/>
      </w:r>
    </w:p>
    <w:tbl>
      <w:tblPr>
        <w:tblW w:w="9571"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4785"/>
        <w:gridCol w:w="4785"/>
      </w:tblGrid>
      <w:tr>
        <w:trPr/>
        <w:tc>
          <w:tcPr>
            <w:tcW w:w="4785" w:type="dxa"/>
            <w:tcBorders/>
            <w:shd w:fill="auto" w:val="clear"/>
          </w:tcPr>
          <w:p>
            <w:pPr>
              <w:pStyle w:val="Normal"/>
              <w:widowControl w:val="false"/>
              <w:rPr>
                <w:b/>
              </w:rPr>
            </w:pPr>
            <w:r>
              <w:rPr>
                <w:b/>
              </w:rPr>
              <w:t>Заказчик:</w:t>
            </w:r>
          </w:p>
        </w:tc>
        <w:tc>
          <w:tcPr>
            <w:tcW w:w="4785" w:type="dxa"/>
            <w:tcBorders/>
            <w:shd w:fill="auto" w:val="clear"/>
          </w:tcPr>
          <w:p>
            <w:pPr>
              <w:pStyle w:val="Normal"/>
              <w:widowControl w:val="false"/>
              <w:rPr>
                <w:b/>
              </w:rPr>
            </w:pPr>
            <w:r>
              <w:rPr>
                <w:b/>
              </w:rPr>
              <w:t>Исполнитель:</w:t>
            </w:r>
          </w:p>
        </w:tc>
      </w:tr>
      <w:tr>
        <w:trPr/>
        <w:tc>
          <w:tcPr>
            <w:tcW w:w="4785" w:type="dxa"/>
            <w:tcBorders/>
            <w:shd w:fill="auto" w:val="clear"/>
          </w:tcPr>
          <w:p>
            <w:pPr>
              <w:pStyle w:val="Normal"/>
              <w:widowControl w:val="false"/>
              <w:rPr/>
            </w:pPr>
            <w:r>
              <w:rPr/>
            </w:r>
          </w:p>
          <w:p>
            <w:pPr>
              <w:pStyle w:val="Normal"/>
              <w:widowControl w:val="false"/>
              <w:rPr/>
            </w:pPr>
            <w:r>
              <w:rPr/>
            </w:r>
          </w:p>
          <w:p>
            <w:pPr>
              <w:pStyle w:val="Normal"/>
              <w:widowControl w:val="false"/>
              <w:rPr/>
            </w:pPr>
            <w:r>
              <w:rPr/>
              <w:t>_______________ / _______________</w:t>
            </w:r>
          </w:p>
          <w:p>
            <w:pPr>
              <w:pStyle w:val="Normal"/>
              <w:widowControl w:val="false"/>
              <w:rPr/>
            </w:pPr>
            <w:r>
              <w:rPr/>
            </w:r>
          </w:p>
        </w:tc>
        <w:tc>
          <w:tcPr>
            <w:tcW w:w="4785" w:type="dxa"/>
            <w:tcBorders/>
            <w:shd w:fill="auto" w:val="clear"/>
          </w:tcPr>
          <w:p>
            <w:pPr>
              <w:pStyle w:val="Normal"/>
              <w:widowControl w:val="false"/>
              <w:rPr/>
            </w:pPr>
            <w:r>
              <w:rPr/>
            </w:r>
          </w:p>
          <w:p>
            <w:pPr>
              <w:pStyle w:val="Normal"/>
              <w:widowControl w:val="false"/>
              <w:rPr/>
            </w:pPr>
            <w:r>
              <w:rPr/>
            </w:r>
          </w:p>
          <w:p>
            <w:pPr>
              <w:pStyle w:val="Normal"/>
              <w:widowControl w:val="false"/>
              <w:rPr/>
            </w:pPr>
            <w:r>
              <w:rPr/>
              <w:t>_______________ / _______________</w:t>
            </w:r>
          </w:p>
          <w:p>
            <w:pPr>
              <w:pStyle w:val="Normal"/>
              <w:widowControl w:val="false"/>
              <w:rPr/>
            </w:pPr>
            <w:r>
              <w:rPr/>
            </w:r>
          </w:p>
        </w:tc>
      </w:tr>
    </w:tbl>
    <w:p>
      <w:pPr>
        <w:pStyle w:val="Normal"/>
        <w:ind w:firstLine="709"/>
        <w:jc w:val="right"/>
        <w:rPr/>
      </w:pPr>
      <w:r>
        <w:br w:type="page"/>
      </w:r>
      <w:r>
        <w:rPr>
          <w:sz w:val="22"/>
          <w:szCs w:val="22"/>
        </w:rPr>
        <w:t>Приложение№3</w:t>
      </w:r>
    </w:p>
    <w:p>
      <w:pPr>
        <w:pStyle w:val="Normal"/>
        <w:jc w:val="right"/>
        <w:rPr>
          <w:sz w:val="22"/>
          <w:szCs w:val="22"/>
        </w:rPr>
      </w:pPr>
      <w:r>
        <w:rPr>
          <w:sz w:val="22"/>
          <w:szCs w:val="22"/>
        </w:rPr>
        <w:t xml:space="preserve">            </w:t>
      </w:r>
      <w:r>
        <w:rPr>
          <w:sz w:val="22"/>
          <w:szCs w:val="22"/>
        </w:rPr>
        <w:t>к Договору возмездного оказания услуг</w:t>
      </w:r>
    </w:p>
    <w:p>
      <w:pPr>
        <w:pStyle w:val="Normal"/>
        <w:jc w:val="right"/>
        <w:rPr/>
      </w:pPr>
      <w:r>
        <w:rPr>
          <w:sz w:val="22"/>
          <w:szCs w:val="22"/>
        </w:rPr>
        <w:t xml:space="preserve">              </w:t>
      </w:r>
      <w:r>
        <w:rPr>
          <w:sz w:val="22"/>
          <w:szCs w:val="22"/>
        </w:rPr>
        <w:t>от «____» ________ 20 _ г. №_______</w:t>
      </w:r>
    </w:p>
    <w:p>
      <w:pPr>
        <w:pStyle w:val="Normal"/>
        <w:jc w:val="right"/>
        <w:rPr/>
      </w:pPr>
      <w:r>
        <w:rPr/>
      </w:r>
    </w:p>
    <w:p>
      <w:pPr>
        <w:pStyle w:val="12"/>
        <w:rPr>
          <w:iCs/>
        </w:rPr>
      </w:pPr>
      <w:r>
        <w:rPr>
          <w:iCs/>
        </w:rPr>
        <w:t xml:space="preserve">ФОРМА </w:t>
      </w:r>
    </w:p>
    <w:p>
      <w:pPr>
        <w:pStyle w:val="12"/>
        <w:rPr>
          <w:iCs/>
        </w:rPr>
      </w:pPr>
      <w:r>
        <w:rPr>
          <w:iCs/>
        </w:rPr>
        <w:t xml:space="preserve">Акта </w:t>
      </w:r>
      <w:r>
        <w:rPr/>
        <w:t>об оказании</w:t>
      </w:r>
      <w:r>
        <w:rPr>
          <w:iCs/>
        </w:rPr>
        <w:t xml:space="preserve"> Услуг</w:t>
      </w:r>
      <w:r>
        <w:rPr>
          <w:rStyle w:val="FootnoteReference"/>
          <w:iCs/>
        </w:rPr>
        <w:footnoteReference w:id="4"/>
      </w:r>
    </w:p>
    <w:tbl>
      <w:tblPr>
        <w:tblW w:w="9627" w:type="dxa"/>
        <w:jc w:val="left"/>
        <w:tblInd w:w="0" w:type="dxa"/>
        <w:tblLayout w:type="fixed"/>
        <w:tblCellMar>
          <w:top w:w="0" w:type="dxa"/>
          <w:left w:w="98" w:type="dxa"/>
          <w:bottom w:w="0" w:type="dxa"/>
          <w:right w:w="108" w:type="dxa"/>
        </w:tblCellMar>
        <w:tblLook w:val="04a0" w:noHBand="0" w:noVBand="1" w:firstColumn="1" w:lastRow="0" w:lastColumn="0" w:firstRow="1"/>
      </w:tblPr>
      <w:tblGrid>
        <w:gridCol w:w="9627"/>
      </w:tblGrid>
      <w:tr>
        <w:trPr/>
        <w:tc>
          <w:tcPr>
            <w:tcW w:w="9627" w:type="dxa"/>
            <w:tcBorders>
              <w:top w:val="single" w:sz="4" w:space="0" w:color="000001"/>
              <w:left w:val="single" w:sz="4" w:space="0" w:color="000001"/>
              <w:bottom w:val="single" w:sz="4" w:space="0" w:color="000001"/>
              <w:right w:val="single" w:sz="4" w:space="0" w:color="000001"/>
            </w:tcBorders>
            <w:shd w:fill="auto" w:val="clear"/>
          </w:tcPr>
          <w:p>
            <w:pPr>
              <w:pStyle w:val="12"/>
              <w:widowControl w:val="false"/>
              <w:rPr/>
            </w:pPr>
            <w:r>
              <w:rPr>
                <w:iCs/>
              </w:rPr>
              <w:t xml:space="preserve">АКТ </w:t>
            </w:r>
            <w:r>
              <w:rPr/>
              <w:t xml:space="preserve"> №  ____</w:t>
            </w:r>
          </w:p>
          <w:p>
            <w:pPr>
              <w:pStyle w:val="Normal"/>
              <w:widowControl w:val="false"/>
              <w:jc w:val="center"/>
              <w:rPr>
                <w:b/>
              </w:rPr>
            </w:pPr>
            <w:r>
              <w:rPr>
                <w:b/>
              </w:rPr>
              <w:t xml:space="preserve">об оказании </w:t>
            </w:r>
            <w:r>
              <w:rPr>
                <w:b/>
                <w:bCs/>
                <w:iCs/>
              </w:rPr>
              <w:t>Услуг</w:t>
            </w:r>
          </w:p>
          <w:p>
            <w:pPr>
              <w:pStyle w:val="Normal"/>
              <w:widowControl w:val="false"/>
              <w:jc w:val="both"/>
              <w:rPr/>
            </w:pPr>
            <w:r>
              <w:rPr/>
            </w:r>
          </w:p>
          <w:p>
            <w:pPr>
              <w:pStyle w:val="Normal"/>
              <w:widowControl w:val="false"/>
              <w:jc w:val="both"/>
              <w:rPr/>
            </w:pPr>
            <w:r>
              <w:rPr/>
              <w:t>г.______________                                                                              «_____»___________ 20__г.</w:t>
            </w:r>
          </w:p>
          <w:p>
            <w:pPr>
              <w:pStyle w:val="Normal"/>
              <w:widowControl w:val="false"/>
              <w:jc w:val="both"/>
              <w:rPr/>
            </w:pPr>
            <w:r>
              <w:rPr/>
            </w:r>
          </w:p>
          <w:p>
            <w:pPr>
              <w:pStyle w:val="Normal"/>
              <w:widowControl w:val="false"/>
              <w:jc w:val="both"/>
              <w:rPr/>
            </w:pPr>
            <w:r>
              <w:rPr/>
              <w:t>____________________, именуемое далее «Исполнитель», в лице ________________, действующего на основании ______________, и ____________________, именуемое далее «Заказчик», в лице _____________________________, действующего на основании ______________ , подписали настоящий акт о нижеследующем:</w:t>
            </w:r>
          </w:p>
          <w:p>
            <w:pPr>
              <w:pStyle w:val="Normal"/>
              <w:widowControl w:val="false"/>
              <w:jc w:val="both"/>
              <w:rPr/>
            </w:pPr>
            <w:r>
              <w:rPr/>
            </w:r>
          </w:p>
          <w:p>
            <w:pPr>
              <w:pStyle w:val="Normal"/>
              <w:widowControl w:val="false"/>
              <w:ind w:firstLine="708"/>
              <w:jc w:val="both"/>
              <w:rPr/>
            </w:pPr>
            <w:r>
              <w:rPr/>
              <w:t>Исполнитель оказал Заказчику Услуги в соответствии с условиями Договора № _______________, а Заказчик принял услуги Исполнителя по</w:t>
            </w:r>
            <w:r>
              <w:rPr>
                <w:b/>
                <w:highlight w:val="lightGray"/>
              </w:rPr>
              <w:t xml:space="preserve"> ______________</w:t>
            </w:r>
            <w:r>
              <w:rPr/>
              <w:t>.</w:t>
            </w:r>
          </w:p>
          <w:p>
            <w:pPr>
              <w:pStyle w:val="Normal"/>
              <w:widowControl w:val="false"/>
              <w:jc w:val="both"/>
              <w:rPr/>
            </w:pPr>
            <w:r>
              <w:rPr/>
              <w:tab/>
              <w:t>Претензии по качеству Услуг: ________________________________________________.</w:t>
            </w:r>
          </w:p>
          <w:p>
            <w:pPr>
              <w:pStyle w:val="Normal"/>
              <w:widowControl w:val="false"/>
              <w:ind w:firstLine="708"/>
              <w:jc w:val="both"/>
              <w:rPr/>
            </w:pPr>
            <w:r>
              <w:rPr/>
              <w:t xml:space="preserve">Стоимость Услуг к оплате за указанный период составляет _______________ (____________) рублей ____ копеек, в том числе НДС </w:t>
            </w:r>
            <w:r>
              <w:rPr>
                <w:highlight w:val="lightGray"/>
              </w:rPr>
              <w:t>___</w:t>
            </w:r>
            <w:r>
              <w:rPr/>
              <w:t>% - __________ рублей ___ копеек.</w:t>
            </w:r>
          </w:p>
          <w:p>
            <w:pPr>
              <w:pStyle w:val="Normal"/>
              <w:widowControl w:val="false"/>
              <w:tabs>
                <w:tab w:val="left" w:pos="709" w:leader="none"/>
                <w:tab w:val="left" w:pos="4111" w:leader="none"/>
              </w:tabs>
              <w:jc w:val="both"/>
              <w:rPr>
                <w:bCs/>
                <w:highlight w:val="lightGray"/>
              </w:rPr>
            </w:pPr>
            <w:r>
              <w:rPr>
                <w:b/>
                <w:bCs/>
              </w:rPr>
              <w:tab/>
            </w:r>
            <w:r>
              <w:rPr>
                <w:bCs/>
                <w:highlight w:val="lightGray"/>
              </w:rPr>
              <w:t>К настоящему акту прилагаются:</w:t>
            </w:r>
          </w:p>
          <w:p>
            <w:pPr>
              <w:pStyle w:val="Normal"/>
              <w:widowControl w:val="false"/>
              <w:tabs>
                <w:tab w:val="left" w:pos="709" w:leader="none"/>
                <w:tab w:val="left" w:pos="4111" w:leader="none"/>
              </w:tabs>
              <w:jc w:val="both"/>
              <w:rPr>
                <w:u w:val="single"/>
              </w:rPr>
            </w:pPr>
            <w:r>
              <w:rPr>
                <w:highlight w:val="lightGray"/>
              </w:rPr>
              <w:tab/>
              <w:t>Отчет об оказанных Услугах, на ______ листах.</w:t>
            </w:r>
          </w:p>
          <w:p>
            <w:pPr>
              <w:pStyle w:val="Normal"/>
              <w:widowControl w:val="false"/>
              <w:tabs>
                <w:tab w:val="left" w:pos="709" w:leader="none"/>
                <w:tab w:val="left" w:pos="4111" w:leader="none"/>
              </w:tabs>
              <w:jc w:val="both"/>
              <w:rPr>
                <w:b/>
                <w:bCs/>
              </w:rPr>
            </w:pPr>
            <w:r>
              <w:rPr>
                <w:b/>
                <w:bCs/>
              </w:rPr>
            </w:r>
          </w:p>
          <w:p>
            <w:pPr>
              <w:pStyle w:val="Normal"/>
              <w:widowControl w:val="false"/>
              <w:tabs>
                <w:tab w:val="left" w:pos="709" w:leader="none"/>
                <w:tab w:val="left" w:pos="4111" w:leader="none"/>
              </w:tabs>
              <w:jc w:val="both"/>
              <w:rPr>
                <w:b/>
                <w:bCs/>
              </w:rPr>
            </w:pPr>
            <w:r>
              <w:rPr>
                <w:b/>
                <w:bCs/>
              </w:rPr>
              <w:t>______________________________________________________________.</w:t>
            </w:r>
          </w:p>
          <w:p>
            <w:pPr>
              <w:pStyle w:val="Normal"/>
              <w:widowControl w:val="false"/>
              <w:tabs>
                <w:tab w:val="clear" w:pos="709"/>
                <w:tab w:val="left" w:pos="4111" w:leader="none"/>
              </w:tabs>
              <w:ind w:firstLine="709"/>
              <w:jc w:val="both"/>
              <w:rPr>
                <w:b/>
                <w:bCs/>
              </w:rPr>
            </w:pPr>
            <w:r>
              <w:rPr>
                <w:b/>
                <w:bCs/>
              </w:rPr>
            </w:r>
          </w:p>
          <w:p>
            <w:pPr>
              <w:pStyle w:val="Normal"/>
              <w:widowControl w:val="false"/>
              <w:jc w:val="center"/>
              <w:rPr>
                <w:b/>
              </w:rPr>
            </w:pPr>
            <w:r>
              <w:rPr>
                <w:b/>
              </w:rPr>
            </w:r>
          </w:p>
          <w:p>
            <w:pPr>
              <w:pStyle w:val="Normal"/>
              <w:widowControl w:val="false"/>
              <w:jc w:val="center"/>
              <w:rPr/>
            </w:pPr>
            <w:r>
              <w:rPr>
                <w:b/>
              </w:rPr>
              <w:t>ПОДПИСИ СТОРОН:</w:t>
            </w:r>
          </w:p>
          <w:p>
            <w:pPr>
              <w:pStyle w:val="Normal"/>
              <w:widowControl w:val="false"/>
              <w:rPr/>
            </w:pPr>
            <w:r>
              <w:rPr/>
            </w:r>
          </w:p>
          <w:tbl>
            <w:tblPr>
              <w:tblW w:w="10638"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5777"/>
              <w:gridCol w:w="4860"/>
            </w:tblGrid>
            <w:tr>
              <w:trPr>
                <w:trHeight w:val="2022" w:hRule="atLeast"/>
              </w:trPr>
              <w:tc>
                <w:tcPr>
                  <w:tcW w:w="5777" w:type="dxa"/>
                  <w:tcBorders/>
                  <w:shd w:fill="auto" w:val="clear"/>
                </w:tcPr>
                <w:p>
                  <w:pPr>
                    <w:pStyle w:val="Normal"/>
                    <w:widowControl w:val="false"/>
                    <w:jc w:val="both"/>
                    <w:rPr>
                      <w:b/>
                    </w:rPr>
                  </w:pPr>
                  <w:r>
                    <w:rPr>
                      <w:b/>
                    </w:rPr>
                    <w:t>Заказчик</w:t>
                  </w:r>
                </w:p>
                <w:p>
                  <w:pPr>
                    <w:pStyle w:val="Normal"/>
                    <w:widowControl w:val="false"/>
                    <w:jc w:val="both"/>
                    <w:rPr/>
                  </w:pPr>
                  <w:r>
                    <w:rPr/>
                  </w:r>
                </w:p>
                <w:p>
                  <w:pPr>
                    <w:pStyle w:val="Normal"/>
                    <w:widowControl w:val="false"/>
                    <w:jc w:val="both"/>
                    <w:rPr/>
                  </w:pPr>
                  <w:r>
                    <w:rPr/>
                    <w:t>_______________ /____________</w:t>
                  </w:r>
                </w:p>
                <w:p>
                  <w:pPr>
                    <w:pStyle w:val="Normal"/>
                    <w:widowControl w:val="false"/>
                    <w:jc w:val="both"/>
                    <w:rPr/>
                  </w:pPr>
                  <w:r>
                    <w:rPr/>
                  </w:r>
                </w:p>
              </w:tc>
              <w:tc>
                <w:tcPr>
                  <w:tcW w:w="4860" w:type="dxa"/>
                  <w:tcBorders/>
                  <w:shd w:fill="auto" w:val="clear"/>
                </w:tcPr>
                <w:p>
                  <w:pPr>
                    <w:pStyle w:val="Normal"/>
                    <w:widowControl w:val="false"/>
                    <w:jc w:val="both"/>
                    <w:rPr>
                      <w:b/>
                    </w:rPr>
                  </w:pPr>
                  <w:r>
                    <w:rPr>
                      <w:b/>
                    </w:rPr>
                    <w:t>Исполнитель</w:t>
                  </w:r>
                </w:p>
                <w:p>
                  <w:pPr>
                    <w:pStyle w:val="Normal"/>
                    <w:widowControl w:val="false"/>
                    <w:jc w:val="both"/>
                    <w:rPr/>
                  </w:pPr>
                  <w:r>
                    <w:rPr/>
                  </w:r>
                </w:p>
                <w:p>
                  <w:pPr>
                    <w:pStyle w:val="Normal"/>
                    <w:widowControl w:val="false"/>
                    <w:jc w:val="both"/>
                    <w:rPr/>
                  </w:pPr>
                  <w:r>
                    <w:rPr/>
                    <w:t>_______________ / __________/</w:t>
                  </w:r>
                </w:p>
                <w:p>
                  <w:pPr>
                    <w:pStyle w:val="Normal"/>
                    <w:widowControl w:val="false"/>
                    <w:jc w:val="both"/>
                    <w:rPr/>
                  </w:pPr>
                  <w:r>
                    <w:rPr/>
                  </w:r>
                </w:p>
              </w:tc>
            </w:tr>
          </w:tbl>
          <w:p>
            <w:pPr>
              <w:pStyle w:val="Normal"/>
              <w:widowControl w:val="false"/>
              <w:rPr>
                <w:i/>
                <w:i/>
                <w:iCs/>
              </w:rPr>
            </w:pPr>
            <w:r>
              <w:rPr>
                <w:i/>
                <w:iCs/>
              </w:rPr>
            </w:r>
          </w:p>
        </w:tc>
      </w:tr>
    </w:tbl>
    <w:p>
      <w:pPr>
        <w:pStyle w:val="Normal"/>
        <w:ind w:firstLine="720"/>
        <w:jc w:val="right"/>
        <w:rPr/>
      </w:pPr>
      <w:r>
        <w:rPr/>
      </w:r>
    </w:p>
    <w:tbl>
      <w:tblPr>
        <w:tblW w:w="9571"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4785"/>
        <w:gridCol w:w="4785"/>
      </w:tblGrid>
      <w:tr>
        <w:trPr/>
        <w:tc>
          <w:tcPr>
            <w:tcW w:w="4785" w:type="dxa"/>
            <w:tcBorders/>
            <w:shd w:fill="auto" w:val="clear"/>
          </w:tcPr>
          <w:p>
            <w:pPr>
              <w:pStyle w:val="Normal"/>
              <w:widowControl w:val="false"/>
              <w:rPr>
                <w:b/>
              </w:rPr>
            </w:pPr>
            <w:r>
              <w:rPr>
                <w:b/>
              </w:rPr>
              <w:t>Заказчик:</w:t>
            </w:r>
          </w:p>
        </w:tc>
        <w:tc>
          <w:tcPr>
            <w:tcW w:w="4785" w:type="dxa"/>
            <w:tcBorders/>
            <w:shd w:fill="auto" w:val="clear"/>
          </w:tcPr>
          <w:p>
            <w:pPr>
              <w:pStyle w:val="Normal"/>
              <w:widowControl w:val="false"/>
              <w:rPr>
                <w:b/>
              </w:rPr>
            </w:pPr>
            <w:r>
              <w:rPr>
                <w:b/>
              </w:rPr>
              <w:t>Исполнитель:</w:t>
            </w:r>
          </w:p>
        </w:tc>
      </w:tr>
      <w:tr>
        <w:trPr/>
        <w:tc>
          <w:tcPr>
            <w:tcW w:w="4785" w:type="dxa"/>
            <w:tcBorders/>
            <w:shd w:fill="auto" w:val="clear"/>
          </w:tcPr>
          <w:p>
            <w:pPr>
              <w:pStyle w:val="Normal"/>
              <w:widowControl w:val="false"/>
              <w:rPr/>
            </w:pPr>
            <w:r>
              <w:rPr/>
            </w:r>
          </w:p>
          <w:p>
            <w:pPr>
              <w:pStyle w:val="Normal"/>
              <w:widowControl w:val="false"/>
              <w:rPr/>
            </w:pPr>
            <w:r>
              <w:rPr/>
            </w:r>
          </w:p>
          <w:p>
            <w:pPr>
              <w:pStyle w:val="Normal"/>
              <w:widowControl w:val="false"/>
              <w:rPr/>
            </w:pPr>
            <w:r>
              <w:rPr/>
              <w:t>_______________ / _______________</w:t>
            </w:r>
          </w:p>
          <w:p>
            <w:pPr>
              <w:pStyle w:val="Normal"/>
              <w:widowControl w:val="false"/>
              <w:rPr/>
            </w:pPr>
            <w:r>
              <w:rPr/>
            </w:r>
          </w:p>
        </w:tc>
        <w:tc>
          <w:tcPr>
            <w:tcW w:w="4785" w:type="dxa"/>
            <w:tcBorders/>
            <w:shd w:fill="auto" w:val="clear"/>
          </w:tcPr>
          <w:p>
            <w:pPr>
              <w:pStyle w:val="Normal"/>
              <w:widowControl w:val="false"/>
              <w:rPr/>
            </w:pPr>
            <w:r>
              <w:rPr/>
            </w:r>
          </w:p>
          <w:p>
            <w:pPr>
              <w:pStyle w:val="Normal"/>
              <w:widowControl w:val="false"/>
              <w:rPr/>
            </w:pPr>
            <w:r>
              <w:rPr/>
            </w:r>
          </w:p>
          <w:p>
            <w:pPr>
              <w:pStyle w:val="Normal"/>
              <w:widowControl w:val="false"/>
              <w:rPr/>
            </w:pPr>
            <w:r>
              <w:rPr/>
              <w:t>_______________ / _______________</w:t>
            </w:r>
          </w:p>
        </w:tc>
      </w:tr>
    </w:tbl>
    <w:p>
      <w:pPr>
        <w:pStyle w:val="Normal"/>
        <w:jc w:val="right"/>
        <w:rPr/>
      </w:pPr>
      <w:r>
        <w:rPr/>
      </w:r>
    </w:p>
    <w:sectPr>
      <w:headerReference w:type="default" r:id="rId5"/>
      <w:footnotePr>
        <w:numFmt w:val="decimal"/>
      </w:footnotePr>
      <w:type w:val="nextPage"/>
      <w:pgSz w:w="11906" w:h="16838"/>
      <w:pgMar w:left="1418" w:right="851" w:gutter="0" w:header="709" w:top="1134" w:footer="0" w:bottom="1134"/>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default"/>
  </w:font>
  <w:font w:name="Arial">
    <w:charset w:val="01"/>
    <w:family w:val="roman"/>
    <w:pitch w:val="default"/>
  </w:font>
  <w:font w:name="Cambria">
    <w:charset w:val="01"/>
    <w:family w:val="roman"/>
    <w:pitch w:val="default"/>
  </w:font>
  <w:font w:name="Calibri Light">
    <w:charset w:val="01"/>
    <w:family w:val="roman"/>
    <w:pitch w:val="default"/>
  </w:font>
  <w:font w:name="Liberation Sans">
    <w:altName w:val="Arial"/>
    <w:charset w:val="01"/>
    <w:family w:val="roman"/>
    <w:pitch w:val="default"/>
  </w:font>
  <w:font w:name="Verdana">
    <w:charset w:val="01"/>
    <w:family w:val="roman"/>
    <w:pitch w:val="default"/>
  </w:font>
  <w:font w:name="Consolas">
    <w:charset w:val="01"/>
    <w:family w:val="roman"/>
    <w:pitch w:val="default"/>
  </w:font>
  <w:font w:name="Tahoma">
    <w:charset w:val="01"/>
    <w:family w:val="roman"/>
    <w:pitch w:val="default"/>
  </w:font>
  <w:font w:name="Symbol">
    <w:charset w:val="02"/>
    <w:family w:val="auto"/>
    <w:pitch w:val="default"/>
  </w:font>
  <w:font w:name="Courier New">
    <w:charset w:val="01"/>
    <w:family w:val="modern"/>
    <w:pitch w:val="fixed"/>
  </w:font>
  <w:font w:name="Wingdings">
    <w:charset w:val="02"/>
    <w:family w:val="auto"/>
    <w:pitch w:val="default"/>
  </w:font>
</w:fonts>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FootnoteText"/>
        <w:jc w:val="both"/>
        <w:rPr/>
      </w:pPr>
      <w:r>
        <w:rPr>
          <w:rStyle w:val="Style5"/>
        </w:rPr>
        <w:footnoteRef/>
      </w:r>
      <w:r>
        <w:rPr>
          <w:rStyle w:val="Style5"/>
        </w:rPr>
        <w:tab/>
      </w:r>
      <w:r>
        <w:rPr/>
        <w:t xml:space="preserve"> </w:t>
      </w:r>
      <w:r>
        <w:rPr>
          <w:highlight w:val="lightGray"/>
        </w:rPr>
        <w:t>Применяется в случае наличия между Сторонами заключенного соглашения о переходе на электронный юридически значимый документооборот (Соглашения об ЭДО)</w:t>
      </w:r>
      <w:r>
        <w:rPr/>
        <w:t>.</w:t>
      </w:r>
    </w:p>
  </w:footnote>
  <w:footnote w:id="3">
    <w:p>
      <w:pPr>
        <w:pStyle w:val="FootnoteText"/>
        <w:jc w:val="both"/>
        <w:rPr/>
      </w:pPr>
      <w:r>
        <w:rPr>
          <w:rStyle w:val="Style5"/>
        </w:rPr>
        <w:footnoteRef/>
      </w:r>
      <w:r>
        <w:rPr>
          <w:rStyle w:val="Style5"/>
        </w:rPr>
        <w:tab/>
      </w:r>
      <w:r>
        <w:rPr/>
        <w:t xml:space="preserve"> </w:t>
      </w:r>
      <w:r>
        <w:rPr>
          <w:highlight w:val="lightGray"/>
        </w:rPr>
        <w:t>Применяется в случае подписания собственноручно без использования усиленных квалифицированных электронных подписей (УКЭП).</w:t>
      </w:r>
    </w:p>
  </w:footnote>
  <w:footnote w:id="4">
    <w:p>
      <w:pPr>
        <w:pStyle w:val="FootnoteText"/>
        <w:rPr/>
      </w:pPr>
      <w:r>
        <w:rPr>
          <w:rStyle w:val="Style5"/>
        </w:rPr>
        <w:footnoteRef/>
      </w:r>
      <w:r>
        <w:rPr>
          <w:rStyle w:val="Style5"/>
        </w:rPr>
        <w:tab/>
      </w:r>
      <w:r>
        <w:rPr/>
        <w:t>Не применяется при использовании  УПД</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sz w:val="20"/>
        <w:szCs w:val="20"/>
      </w:rPr>
    </w:pPr>
    <w:r>
      <w:rPr>
        <w:sz w:val="20"/>
        <w:szCs w:val="20"/>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decimal"/>
      <w:lvlText w:val="%1."/>
      <w:lvlJc w:val="left"/>
      <w:pPr>
        <w:tabs>
          <w:tab w:val="num" w:pos="1135"/>
        </w:tabs>
        <w:ind w:left="1135" w:hanging="567"/>
      </w:pPr>
      <w:rPr>
        <w:smallCaps w:val="false"/>
        <w:caps w:val="false"/>
        <w:dstrike w:val="false"/>
        <w:strike w:val="false"/>
        <w:vertAlign w:val="baseline"/>
        <w:position w:val="0"/>
        <w:sz w:val="24"/>
        <w:sz w:val="24"/>
        <w:spacing w:val="0"/>
        <w:i w:val="false"/>
        <w:u w:val="none"/>
        <w:b w:val="false"/>
        <w:iCs w:val="false"/>
        <w:bCs w:val="false"/>
        <w:em w:val="none"/>
        <w:vanish w:val="false"/>
        <w:rFonts w:cs="Times New Roman"/>
        <w:color w:val="000000"/>
      </w:rPr>
    </w:lvl>
    <w:lvl w:ilvl="1">
      <w:start w:val="1"/>
      <w:pStyle w:val="Heading2"/>
      <w:numFmt w:val="decimal"/>
      <w:lvlText w:val="%1.%2"/>
      <w:lvlJc w:val="left"/>
      <w:pPr>
        <w:tabs>
          <w:tab w:val="num" w:pos="1702"/>
        </w:tabs>
        <w:ind w:left="1702" w:hanging="1134"/>
      </w:pPr>
      <w:rPr>
        <w:smallCaps w:val="false"/>
        <w:caps w:val="false"/>
        <w:dstrike w:val="false"/>
        <w:strike w:val="false"/>
        <w:vertAlign w:val="baseline"/>
        <w:position w:val="0"/>
        <w:sz w:val="28"/>
        <w:sz w:val="28"/>
        <w:spacing w:val="0"/>
        <w:i w:val="false"/>
        <w:u w:val="none"/>
        <w:b/>
        <w:szCs w:val="28"/>
        <w:iCs w:val="false"/>
        <w:bCs/>
        <w:w w:val="100"/>
        <w:vanish w:val="false"/>
        <w:rFonts w:cs="Times New Roman"/>
        <w:color w:val="00000A"/>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none"/>
      <w:suff w:val="nothing"/>
      <w:lvlText w:val=""/>
      <w:lvlJc w:val="left"/>
      <w:pPr>
        <w:tabs>
          <w:tab w:val="num" w:pos="0"/>
        </w:tabs>
        <w:ind w:left="0"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0" w:hanging="0"/>
      </w:pPr>
      <w:rPr/>
    </w:lvl>
  </w:abstractNum>
  <w:abstractNum w:abstractNumId="2">
    <w:lvl w:ilvl="0">
      <w:start w:val="1"/>
      <w:numFmt w:val="decimal"/>
      <w:lvlText w:val="%1."/>
      <w:lvlJc w:val="left"/>
      <w:pPr>
        <w:tabs>
          <w:tab w:val="num" w:pos="0"/>
        </w:tabs>
        <w:ind w:left="360" w:hanging="360"/>
      </w:pPr>
      <w:rPr>
        <w:b/>
      </w:rPr>
    </w:lvl>
    <w:lvl w:ilvl="1">
      <w:start w:val="1"/>
      <w:numFmt w:val="decimal"/>
      <w:lvlText w:val="%1.%2."/>
      <w:lvlJc w:val="left"/>
      <w:pPr>
        <w:tabs>
          <w:tab w:val="num" w:pos="0"/>
        </w:tabs>
        <w:ind w:left="1000" w:hanging="432"/>
      </w:pPr>
      <w:rPr/>
    </w:lvl>
    <w:lvl w:ilvl="2">
      <w:start w:val="1"/>
      <w:numFmt w:val="decimal"/>
      <w:lvlText w:val="%1.%2.%3."/>
      <w:lvlJc w:val="left"/>
      <w:pPr>
        <w:tabs>
          <w:tab w:val="num" w:pos="0"/>
        </w:tabs>
        <w:ind w:left="1781"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3">
    <w:lvl w:ilvl="0">
      <w:start w:val="1"/>
      <w:numFmt w:val="bullet"/>
      <w:lvlText w:val=""/>
      <w:lvlJc w:val="left"/>
      <w:pPr>
        <w:tabs>
          <w:tab w:val="num" w:pos="0"/>
        </w:tabs>
        <w:ind w:left="1287" w:hanging="360"/>
      </w:pPr>
      <w:rPr>
        <w:rFonts w:ascii="Symbol" w:hAnsi="Symbol" w:cs="Symbol" w:hint="default"/>
        <w:b/>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4">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5">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7">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8">
    <w:lvl w:ilvl="0">
      <w:start w:val="1"/>
      <w:numFmt w:val="decimal"/>
      <w:lvlText w:val="%1."/>
      <w:lvlJc w:val="left"/>
      <w:pPr>
        <w:tabs>
          <w:tab w:val="num" w:pos="0"/>
        </w:tabs>
        <w:ind w:left="2204" w:hanging="360"/>
      </w:pPr>
      <w:rPr>
        <w:b/>
      </w:rPr>
    </w:lvl>
    <w:lvl w:ilvl="1">
      <w:start w:val="1"/>
      <w:numFmt w:val="bullet"/>
      <w:lvlText w:val=""/>
      <w:lvlJc w:val="left"/>
      <w:pPr>
        <w:tabs>
          <w:tab w:val="num" w:pos="0"/>
        </w:tabs>
        <w:ind w:left="1283" w:hanging="432"/>
      </w:pPr>
      <w:rPr>
        <w:rFonts w:ascii="Symbol" w:hAnsi="Symbol" w:cs="Symbol" w:hint="default"/>
        <w:u w:val="none"/>
        <w:b/>
      </w:rPr>
    </w:lvl>
    <w:lvl w:ilvl="2">
      <w:start w:val="1"/>
      <w:numFmt w:val="decimal"/>
      <w:lvlText w:val="%1.%2.%3."/>
      <w:lvlJc w:val="left"/>
      <w:pPr>
        <w:tabs>
          <w:tab w:val="num" w:pos="0"/>
        </w:tabs>
        <w:ind w:left="1355" w:hanging="504"/>
      </w:pPr>
      <w:rPr>
        <w:sz w:val="24"/>
        <w:b w:val="false"/>
        <w:szCs w:val="24"/>
      </w:rPr>
    </w:lvl>
    <w:lvl w:ilvl="3">
      <w:start w:val="1"/>
      <w:numFmt w:val="decimal"/>
      <w:lvlText w:val="%1.%2.%3.%4."/>
      <w:lvlJc w:val="left"/>
      <w:pPr>
        <w:tabs>
          <w:tab w:val="num" w:pos="0"/>
        </w:tabs>
        <w:ind w:left="2917"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9">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0">
    <w:lvl w:ilvl="0">
      <w:start w:val="6"/>
      <w:numFmt w:val="decimal"/>
      <w:lvlText w:val="%1."/>
      <w:lvlJc w:val="left"/>
      <w:pPr>
        <w:tabs>
          <w:tab w:val="num" w:pos="0"/>
        </w:tabs>
        <w:ind w:left="360" w:hanging="360"/>
      </w:pPr>
      <w:rPr>
        <w:b/>
      </w:rPr>
    </w:lvl>
    <w:lvl w:ilvl="1">
      <w:start w:val="1"/>
      <w:numFmt w:val="decimal"/>
      <w:lvlText w:val="%1.%2."/>
      <w:lvlJc w:val="left"/>
      <w:pPr>
        <w:tabs>
          <w:tab w:val="num" w:pos="0"/>
        </w:tabs>
        <w:ind w:left="1070" w:hanging="360"/>
      </w:pPr>
      <w:rPr>
        <w:b/>
      </w:rPr>
    </w:lvl>
    <w:lvl w:ilvl="2">
      <w:start w:val="1"/>
      <w:numFmt w:val="decimal"/>
      <w:lvlText w:val="%1.%2.%3."/>
      <w:lvlJc w:val="left"/>
      <w:pPr>
        <w:tabs>
          <w:tab w:val="num" w:pos="0"/>
        </w:tabs>
        <w:ind w:left="3000" w:hanging="720"/>
      </w:pPr>
      <w:rPr/>
    </w:lvl>
    <w:lvl w:ilvl="3">
      <w:start w:val="1"/>
      <w:numFmt w:val="decimal"/>
      <w:lvlText w:val="%1.%2.%3.%4."/>
      <w:lvlJc w:val="left"/>
      <w:pPr>
        <w:tabs>
          <w:tab w:val="num" w:pos="0"/>
        </w:tabs>
        <w:ind w:left="4140" w:hanging="720"/>
      </w:pPr>
      <w:rPr/>
    </w:lvl>
    <w:lvl w:ilvl="4">
      <w:start w:val="1"/>
      <w:numFmt w:val="decimal"/>
      <w:lvlText w:val="%1.%2.%3.%4.%5."/>
      <w:lvlJc w:val="left"/>
      <w:pPr>
        <w:tabs>
          <w:tab w:val="num" w:pos="0"/>
        </w:tabs>
        <w:ind w:left="5640" w:hanging="1080"/>
      </w:pPr>
      <w:rPr/>
    </w:lvl>
    <w:lvl w:ilvl="5">
      <w:start w:val="1"/>
      <w:numFmt w:val="decimal"/>
      <w:lvlText w:val="%1.%2.%3.%4.%5.%6."/>
      <w:lvlJc w:val="left"/>
      <w:pPr>
        <w:tabs>
          <w:tab w:val="num" w:pos="0"/>
        </w:tabs>
        <w:ind w:left="6780" w:hanging="1080"/>
      </w:pPr>
      <w:rPr/>
    </w:lvl>
    <w:lvl w:ilvl="6">
      <w:start w:val="1"/>
      <w:numFmt w:val="decimal"/>
      <w:lvlText w:val="%1.%2.%3.%4.%5.%6.%7."/>
      <w:lvlJc w:val="left"/>
      <w:pPr>
        <w:tabs>
          <w:tab w:val="num" w:pos="0"/>
        </w:tabs>
        <w:ind w:left="8280" w:hanging="1440"/>
      </w:pPr>
      <w:rPr/>
    </w:lvl>
    <w:lvl w:ilvl="7">
      <w:start w:val="1"/>
      <w:numFmt w:val="decimal"/>
      <w:lvlText w:val="%1.%2.%3.%4.%5.%6.%7.%8."/>
      <w:lvlJc w:val="left"/>
      <w:pPr>
        <w:tabs>
          <w:tab w:val="num" w:pos="0"/>
        </w:tabs>
        <w:ind w:left="9420" w:hanging="1440"/>
      </w:pPr>
      <w:rPr/>
    </w:lvl>
    <w:lvl w:ilvl="8">
      <w:start w:val="1"/>
      <w:numFmt w:val="decimal"/>
      <w:lvlText w:val="%1.%2.%3.%4.%5.%6.%7.%8.%9."/>
      <w:lvlJc w:val="left"/>
      <w:pPr>
        <w:tabs>
          <w:tab w:val="num" w:pos="0"/>
        </w:tabs>
        <w:ind w:left="10920" w:hanging="1800"/>
      </w:pPr>
      <w:rPr/>
    </w:lvl>
  </w:abstractNum>
  <w:abstractNum w:abstractNumId="11">
    <w:lvl w:ilvl="0">
      <w:start w:val="2"/>
      <w:numFmt w:val="decimal"/>
      <w:lvlText w:val="%1."/>
      <w:lvlJc w:val="left"/>
      <w:pPr>
        <w:tabs>
          <w:tab w:val="num" w:pos="0"/>
        </w:tabs>
        <w:ind w:left="540" w:hanging="540"/>
      </w:pPr>
      <w:rPr/>
    </w:lvl>
    <w:lvl w:ilvl="1">
      <w:start w:val="2"/>
      <w:numFmt w:val="decimal"/>
      <w:lvlText w:val="%1.%2."/>
      <w:lvlJc w:val="left"/>
      <w:pPr>
        <w:tabs>
          <w:tab w:val="num" w:pos="0"/>
        </w:tabs>
        <w:ind w:left="1036" w:hanging="540"/>
      </w:pPr>
      <w:rPr/>
    </w:lvl>
    <w:lvl w:ilvl="2">
      <w:start w:val="1"/>
      <w:numFmt w:val="decimal"/>
      <w:lvlText w:val="%1.%2.%3."/>
      <w:lvlJc w:val="left"/>
      <w:pPr>
        <w:tabs>
          <w:tab w:val="num" w:pos="0"/>
        </w:tabs>
        <w:ind w:left="720"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2">
    <w:lvl w:ilvl="0">
      <w:start w:val="1"/>
      <w:numFmt w:val="bullet"/>
      <w:lvlText w:val=""/>
      <w:lvlJc w:val="left"/>
      <w:pPr>
        <w:tabs>
          <w:tab w:val="num" w:pos="0"/>
        </w:tabs>
        <w:ind w:left="540" w:hanging="540"/>
      </w:pPr>
      <w:rPr>
        <w:rFonts w:ascii="Symbol" w:hAnsi="Symbol" w:cs="Symbol" w:hint="default"/>
        <w:b/>
      </w:rPr>
    </w:lvl>
    <w:lvl w:ilvl="1">
      <w:start w:val="2"/>
      <w:numFmt w:val="decimal"/>
      <w:lvlText w:val="%1.%2."/>
      <w:lvlJc w:val="left"/>
      <w:pPr>
        <w:tabs>
          <w:tab w:val="num" w:pos="0"/>
        </w:tabs>
        <w:ind w:left="1036" w:hanging="540"/>
      </w:pPr>
      <w:rPr/>
    </w:lvl>
    <w:lvl w:ilvl="2">
      <w:start w:val="2"/>
      <w:numFmt w:val="decimal"/>
      <w:lvlText w:val="%1.%2.%3."/>
      <w:lvlJc w:val="left"/>
      <w:pPr>
        <w:tabs>
          <w:tab w:val="num" w:pos="0"/>
        </w:tabs>
        <w:ind w:left="1712"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3">
    <w:lvl w:ilvl="0">
      <w:start w:val="3"/>
      <w:numFmt w:val="decimal"/>
      <w:lvlText w:val="%1."/>
      <w:lvlJc w:val="left"/>
      <w:pPr>
        <w:tabs>
          <w:tab w:val="num" w:pos="0"/>
        </w:tabs>
        <w:ind w:left="540" w:hanging="540"/>
      </w:pPr>
      <w:rPr/>
    </w:lvl>
    <w:lvl w:ilvl="1">
      <w:start w:val="2"/>
      <w:numFmt w:val="decimal"/>
      <w:lvlText w:val="%1.%2."/>
      <w:lvlJc w:val="left"/>
      <w:pPr>
        <w:tabs>
          <w:tab w:val="num" w:pos="0"/>
        </w:tabs>
        <w:ind w:left="1036" w:hanging="540"/>
      </w:pPr>
      <w:rPr/>
    </w:lvl>
    <w:lvl w:ilvl="2">
      <w:start w:val="1"/>
      <w:numFmt w:val="bullet"/>
      <w:lvlText w:val=""/>
      <w:lvlJc w:val="left"/>
      <w:pPr>
        <w:tabs>
          <w:tab w:val="num" w:pos="0"/>
        </w:tabs>
        <w:ind w:left="1430" w:hanging="720"/>
      </w:pPr>
      <w:rPr>
        <w:rFonts w:ascii="Symbol" w:hAnsi="Symbol" w:cs="Symbol" w:hint="default"/>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4">
    <w:lvl w:ilvl="0">
      <w:start w:val="3"/>
      <w:numFmt w:val="decimal"/>
      <w:lvlText w:val="%1."/>
      <w:lvlJc w:val="left"/>
      <w:pPr>
        <w:tabs>
          <w:tab w:val="num" w:pos="0"/>
        </w:tabs>
        <w:ind w:left="360" w:hanging="360"/>
      </w:pPr>
      <w:rPr/>
    </w:lvl>
    <w:lvl w:ilvl="1">
      <w:start w:val="4"/>
      <w:numFmt w:val="decimal"/>
      <w:lvlText w:val="%1.%2."/>
      <w:lvlJc w:val="left"/>
      <w:pPr>
        <w:tabs>
          <w:tab w:val="num" w:pos="0"/>
        </w:tabs>
        <w:ind w:left="1070" w:hanging="360"/>
      </w:pPr>
      <w:rPr/>
    </w:lvl>
    <w:lvl w:ilvl="2">
      <w:start w:val="1"/>
      <w:numFmt w:val="decimal"/>
      <w:lvlText w:val="%1.%2.%3."/>
      <w:lvlJc w:val="left"/>
      <w:pPr>
        <w:tabs>
          <w:tab w:val="num" w:pos="0"/>
        </w:tabs>
        <w:ind w:left="2422" w:hanging="720"/>
      </w:pPr>
      <w:rPr/>
    </w:lvl>
    <w:lvl w:ilvl="3">
      <w:start w:val="1"/>
      <w:numFmt w:val="decimal"/>
      <w:lvlText w:val="%1.%2.%3.%4."/>
      <w:lvlJc w:val="left"/>
      <w:pPr>
        <w:tabs>
          <w:tab w:val="num" w:pos="0"/>
        </w:tabs>
        <w:ind w:left="3273" w:hanging="720"/>
      </w:pPr>
      <w:rPr/>
    </w:lvl>
    <w:lvl w:ilvl="4">
      <w:start w:val="1"/>
      <w:numFmt w:val="decimal"/>
      <w:lvlText w:val="%1.%2.%3.%4.%5."/>
      <w:lvlJc w:val="left"/>
      <w:pPr>
        <w:tabs>
          <w:tab w:val="num" w:pos="0"/>
        </w:tabs>
        <w:ind w:left="4484" w:hanging="1080"/>
      </w:pPr>
      <w:rPr/>
    </w:lvl>
    <w:lvl w:ilvl="5">
      <w:start w:val="1"/>
      <w:numFmt w:val="decimal"/>
      <w:lvlText w:val="%1.%2.%3.%4.%5.%6."/>
      <w:lvlJc w:val="left"/>
      <w:pPr>
        <w:tabs>
          <w:tab w:val="num" w:pos="0"/>
        </w:tabs>
        <w:ind w:left="5335" w:hanging="1080"/>
      </w:pPr>
      <w:rPr/>
    </w:lvl>
    <w:lvl w:ilvl="6">
      <w:start w:val="1"/>
      <w:numFmt w:val="decimal"/>
      <w:lvlText w:val="%1.%2.%3.%4.%5.%6.%7."/>
      <w:lvlJc w:val="left"/>
      <w:pPr>
        <w:tabs>
          <w:tab w:val="num" w:pos="0"/>
        </w:tabs>
        <w:ind w:left="6546" w:hanging="1440"/>
      </w:pPr>
      <w:rPr/>
    </w:lvl>
    <w:lvl w:ilvl="7">
      <w:start w:val="1"/>
      <w:numFmt w:val="decimal"/>
      <w:lvlText w:val="%1.%2.%3.%4.%5.%6.%7.%8."/>
      <w:lvlJc w:val="left"/>
      <w:pPr>
        <w:tabs>
          <w:tab w:val="num" w:pos="0"/>
        </w:tabs>
        <w:ind w:left="7397" w:hanging="1440"/>
      </w:pPr>
      <w:rPr/>
    </w:lvl>
    <w:lvl w:ilvl="8">
      <w:start w:val="1"/>
      <w:numFmt w:val="decimal"/>
      <w:lvlText w:val="%1.%2.%3.%4.%5.%6.%7.%8.%9."/>
      <w:lvlJc w:val="left"/>
      <w:pPr>
        <w:tabs>
          <w:tab w:val="num" w:pos="0"/>
        </w:tabs>
        <w:ind w:left="8608" w:hanging="1800"/>
      </w:pPr>
      <w:rPr/>
    </w:lvl>
  </w:abstractNum>
  <w:abstractNum w:abstractNumId="15">
    <w:lvl w:ilvl="0">
      <w:start w:val="2"/>
      <w:numFmt w:val="decimal"/>
      <w:lvlText w:val="%1."/>
      <w:lvlJc w:val="left"/>
      <w:pPr>
        <w:tabs>
          <w:tab w:val="num" w:pos="0"/>
        </w:tabs>
        <w:ind w:left="660" w:hanging="660"/>
      </w:pPr>
      <w:rPr/>
    </w:lvl>
    <w:lvl w:ilvl="1">
      <w:start w:val="3"/>
      <w:numFmt w:val="decimal"/>
      <w:lvlText w:val="%1.%2."/>
      <w:lvlJc w:val="left"/>
      <w:pPr>
        <w:tabs>
          <w:tab w:val="num" w:pos="0"/>
        </w:tabs>
        <w:ind w:left="1015" w:hanging="660"/>
      </w:pPr>
      <w:rPr/>
    </w:lvl>
    <w:lvl w:ilvl="2">
      <w:start w:val="18"/>
      <w:numFmt w:val="decimal"/>
      <w:lvlText w:val="%1.%2.%3."/>
      <w:lvlJc w:val="left"/>
      <w:pPr>
        <w:tabs>
          <w:tab w:val="num" w:pos="0"/>
        </w:tabs>
        <w:ind w:left="2422" w:hanging="720"/>
      </w:pPr>
      <w:rPr/>
    </w:lvl>
    <w:lvl w:ilvl="3">
      <w:start w:val="1"/>
      <w:numFmt w:val="decimal"/>
      <w:lvlText w:val="%1.%2.%3.%4."/>
      <w:lvlJc w:val="left"/>
      <w:pPr>
        <w:tabs>
          <w:tab w:val="num" w:pos="0"/>
        </w:tabs>
        <w:ind w:left="1785" w:hanging="720"/>
      </w:pPr>
      <w:rPr/>
    </w:lvl>
    <w:lvl w:ilvl="4">
      <w:start w:val="1"/>
      <w:numFmt w:val="decimal"/>
      <w:lvlText w:val="%1.%2.%3.%4.%5."/>
      <w:lvlJc w:val="left"/>
      <w:pPr>
        <w:tabs>
          <w:tab w:val="num" w:pos="0"/>
        </w:tabs>
        <w:ind w:left="2500" w:hanging="1080"/>
      </w:pPr>
      <w:rPr/>
    </w:lvl>
    <w:lvl w:ilvl="5">
      <w:start w:val="1"/>
      <w:numFmt w:val="decimal"/>
      <w:lvlText w:val="%1.%2.%3.%4.%5.%6."/>
      <w:lvlJc w:val="left"/>
      <w:pPr>
        <w:tabs>
          <w:tab w:val="num" w:pos="0"/>
        </w:tabs>
        <w:ind w:left="2855" w:hanging="1080"/>
      </w:pPr>
      <w:rPr/>
    </w:lvl>
    <w:lvl w:ilvl="6">
      <w:start w:val="1"/>
      <w:numFmt w:val="decimal"/>
      <w:lvlText w:val="%1.%2.%3.%4.%5.%6.%7."/>
      <w:lvlJc w:val="left"/>
      <w:pPr>
        <w:tabs>
          <w:tab w:val="num" w:pos="0"/>
        </w:tabs>
        <w:ind w:left="3570" w:hanging="1440"/>
      </w:pPr>
      <w:rPr/>
    </w:lvl>
    <w:lvl w:ilvl="7">
      <w:start w:val="1"/>
      <w:numFmt w:val="decimal"/>
      <w:lvlText w:val="%1.%2.%3.%4.%5.%6.%7.%8."/>
      <w:lvlJc w:val="left"/>
      <w:pPr>
        <w:tabs>
          <w:tab w:val="num" w:pos="0"/>
        </w:tabs>
        <w:ind w:left="3925" w:hanging="1440"/>
      </w:pPr>
      <w:rPr/>
    </w:lvl>
    <w:lvl w:ilvl="8">
      <w:start w:val="1"/>
      <w:numFmt w:val="decimal"/>
      <w:lvlText w:val="%1.%2.%3.%4.%5.%6.%7.%8.%9."/>
      <w:lvlJc w:val="left"/>
      <w:pPr>
        <w:tabs>
          <w:tab w:val="num" w:pos="0"/>
        </w:tabs>
        <w:ind w:left="4640" w:hanging="1800"/>
      </w:pPr>
      <w:rPr/>
    </w:lvl>
  </w:abstractNum>
  <w:abstractNum w:abstractNumId="16">
    <w:lvl w:ilvl="0">
      <w:start w:val="2"/>
      <w:numFmt w:val="decimal"/>
      <w:lvlText w:val="%1."/>
      <w:lvlJc w:val="left"/>
      <w:pPr>
        <w:tabs>
          <w:tab w:val="num" w:pos="0"/>
        </w:tabs>
        <w:ind w:left="660" w:hanging="660"/>
      </w:pPr>
      <w:rPr/>
    </w:lvl>
    <w:lvl w:ilvl="1">
      <w:start w:val="4"/>
      <w:numFmt w:val="decimal"/>
      <w:lvlText w:val="%1.%2."/>
      <w:lvlJc w:val="left"/>
      <w:pPr>
        <w:tabs>
          <w:tab w:val="num" w:pos="0"/>
        </w:tabs>
        <w:ind w:left="1015" w:hanging="660"/>
      </w:pPr>
      <w:rPr/>
    </w:lvl>
    <w:lvl w:ilvl="2">
      <w:start w:val="1"/>
      <w:numFmt w:val="decimal"/>
      <w:lvlText w:val="%1.%2.%3."/>
      <w:lvlJc w:val="left"/>
      <w:pPr>
        <w:tabs>
          <w:tab w:val="num" w:pos="0"/>
        </w:tabs>
        <w:ind w:left="2422" w:hanging="720"/>
      </w:pPr>
      <w:rPr/>
    </w:lvl>
    <w:lvl w:ilvl="3">
      <w:start w:val="1"/>
      <w:numFmt w:val="decimal"/>
      <w:lvlText w:val="%1.%2.%3.%4."/>
      <w:lvlJc w:val="left"/>
      <w:pPr>
        <w:tabs>
          <w:tab w:val="num" w:pos="0"/>
        </w:tabs>
        <w:ind w:left="1785" w:hanging="720"/>
      </w:pPr>
      <w:rPr/>
    </w:lvl>
    <w:lvl w:ilvl="4">
      <w:start w:val="1"/>
      <w:numFmt w:val="decimal"/>
      <w:lvlText w:val="%1.%2.%3.%4.%5."/>
      <w:lvlJc w:val="left"/>
      <w:pPr>
        <w:tabs>
          <w:tab w:val="num" w:pos="0"/>
        </w:tabs>
        <w:ind w:left="2500" w:hanging="1080"/>
      </w:pPr>
      <w:rPr/>
    </w:lvl>
    <w:lvl w:ilvl="5">
      <w:start w:val="1"/>
      <w:numFmt w:val="decimal"/>
      <w:lvlText w:val="%1.%2.%3.%4.%5.%6."/>
      <w:lvlJc w:val="left"/>
      <w:pPr>
        <w:tabs>
          <w:tab w:val="num" w:pos="0"/>
        </w:tabs>
        <w:ind w:left="2855" w:hanging="1080"/>
      </w:pPr>
      <w:rPr/>
    </w:lvl>
    <w:lvl w:ilvl="6">
      <w:start w:val="1"/>
      <w:numFmt w:val="decimal"/>
      <w:lvlText w:val="%1.%2.%3.%4.%5.%6.%7."/>
      <w:lvlJc w:val="left"/>
      <w:pPr>
        <w:tabs>
          <w:tab w:val="num" w:pos="0"/>
        </w:tabs>
        <w:ind w:left="3570" w:hanging="1440"/>
      </w:pPr>
      <w:rPr/>
    </w:lvl>
    <w:lvl w:ilvl="7">
      <w:start w:val="1"/>
      <w:numFmt w:val="decimal"/>
      <w:lvlText w:val="%1.%2.%3.%4.%5.%6.%7.%8."/>
      <w:lvlJc w:val="left"/>
      <w:pPr>
        <w:tabs>
          <w:tab w:val="num" w:pos="0"/>
        </w:tabs>
        <w:ind w:left="3925" w:hanging="1440"/>
      </w:pPr>
      <w:rPr/>
    </w:lvl>
    <w:lvl w:ilvl="8">
      <w:start w:val="1"/>
      <w:numFmt w:val="decimal"/>
      <w:lvlText w:val="%1.%2.%3.%4.%5.%6.%7.%8.%9."/>
      <w:lvlJc w:val="left"/>
      <w:pPr>
        <w:tabs>
          <w:tab w:val="num" w:pos="0"/>
        </w:tabs>
        <w:ind w:left="4640" w:hanging="1800"/>
      </w:pPr>
      <w:rPr/>
    </w:lvl>
  </w:abstractNum>
  <w:abstractNum w:abstractNumId="17">
    <w:lvl w:ilvl="0">
      <w:start w:val="4"/>
      <w:numFmt w:val="decimal"/>
      <w:lvlText w:val="%1."/>
      <w:lvlJc w:val="left"/>
      <w:pPr>
        <w:tabs>
          <w:tab w:val="num" w:pos="0"/>
        </w:tabs>
        <w:ind w:left="360" w:hanging="360"/>
      </w:pPr>
      <w:rPr/>
    </w:lvl>
    <w:lvl w:ilvl="1">
      <w:start w:val="1"/>
      <w:numFmt w:val="decimal"/>
      <w:lvlText w:val="%1.%2."/>
      <w:lvlJc w:val="left"/>
      <w:pPr>
        <w:tabs>
          <w:tab w:val="num" w:pos="0"/>
        </w:tabs>
        <w:ind w:left="856" w:hanging="360"/>
      </w:pPr>
      <w:rPr>
        <w:b/>
      </w:rPr>
    </w:lvl>
    <w:lvl w:ilvl="2">
      <w:start w:val="1"/>
      <w:numFmt w:val="decimal"/>
      <w:lvlText w:val="%1.%2.%3."/>
      <w:lvlJc w:val="left"/>
      <w:pPr>
        <w:tabs>
          <w:tab w:val="num" w:pos="0"/>
        </w:tabs>
        <w:ind w:left="1712" w:hanging="720"/>
      </w:pPr>
      <w:rPr>
        <w:b w:val="false"/>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8">
    <w:lvl w:ilvl="0">
      <w:start w:val="3"/>
      <w:numFmt w:val="decimal"/>
      <w:lvlText w:val="%1."/>
      <w:lvlJc w:val="left"/>
      <w:pPr>
        <w:tabs>
          <w:tab w:val="num" w:pos="0"/>
        </w:tabs>
        <w:ind w:left="660" w:hanging="660"/>
      </w:pPr>
      <w:rPr/>
    </w:lvl>
    <w:lvl w:ilvl="1">
      <w:start w:val="1"/>
      <w:numFmt w:val="decimal"/>
      <w:lvlText w:val="%1.%2."/>
      <w:lvlJc w:val="left"/>
      <w:pPr>
        <w:tabs>
          <w:tab w:val="num" w:pos="0"/>
        </w:tabs>
        <w:ind w:left="1015" w:hanging="660"/>
      </w:pPr>
      <w:rPr>
        <w:b/>
      </w:rPr>
    </w:lvl>
    <w:lvl w:ilvl="2">
      <w:start w:val="1"/>
      <w:numFmt w:val="decimal"/>
      <w:lvlText w:val="%1.%2.%3."/>
      <w:lvlJc w:val="left"/>
      <w:pPr>
        <w:tabs>
          <w:tab w:val="num" w:pos="0"/>
        </w:tabs>
        <w:ind w:left="2422" w:hanging="720"/>
      </w:pPr>
      <w:rPr/>
    </w:lvl>
    <w:lvl w:ilvl="3">
      <w:start w:val="1"/>
      <w:numFmt w:val="decimal"/>
      <w:lvlText w:val="%1.%2.%3.%4."/>
      <w:lvlJc w:val="left"/>
      <w:pPr>
        <w:tabs>
          <w:tab w:val="num" w:pos="0"/>
        </w:tabs>
        <w:ind w:left="1785" w:hanging="720"/>
      </w:pPr>
      <w:rPr/>
    </w:lvl>
    <w:lvl w:ilvl="4">
      <w:start w:val="1"/>
      <w:numFmt w:val="decimal"/>
      <w:lvlText w:val="%1.%2.%3.%4.%5."/>
      <w:lvlJc w:val="left"/>
      <w:pPr>
        <w:tabs>
          <w:tab w:val="num" w:pos="0"/>
        </w:tabs>
        <w:ind w:left="2500" w:hanging="1080"/>
      </w:pPr>
      <w:rPr/>
    </w:lvl>
    <w:lvl w:ilvl="5">
      <w:start w:val="1"/>
      <w:numFmt w:val="decimal"/>
      <w:lvlText w:val="%1.%2.%3.%4.%5.%6."/>
      <w:lvlJc w:val="left"/>
      <w:pPr>
        <w:tabs>
          <w:tab w:val="num" w:pos="0"/>
        </w:tabs>
        <w:ind w:left="2855" w:hanging="1080"/>
      </w:pPr>
      <w:rPr/>
    </w:lvl>
    <w:lvl w:ilvl="6">
      <w:start w:val="1"/>
      <w:numFmt w:val="decimal"/>
      <w:lvlText w:val="%1.%2.%3.%4.%5.%6.%7."/>
      <w:lvlJc w:val="left"/>
      <w:pPr>
        <w:tabs>
          <w:tab w:val="num" w:pos="0"/>
        </w:tabs>
        <w:ind w:left="3570" w:hanging="1440"/>
      </w:pPr>
      <w:rPr/>
    </w:lvl>
    <w:lvl w:ilvl="7">
      <w:start w:val="1"/>
      <w:numFmt w:val="decimal"/>
      <w:lvlText w:val="%1.%2.%3.%4.%5.%6.%7.%8."/>
      <w:lvlJc w:val="left"/>
      <w:pPr>
        <w:tabs>
          <w:tab w:val="num" w:pos="0"/>
        </w:tabs>
        <w:ind w:left="3925" w:hanging="1440"/>
      </w:pPr>
      <w:rPr/>
    </w:lvl>
    <w:lvl w:ilvl="8">
      <w:start w:val="1"/>
      <w:numFmt w:val="decimal"/>
      <w:lvlText w:val="%1.%2.%3.%4.%5.%6.%7.%8.%9."/>
      <w:lvlJc w:val="left"/>
      <w:pPr>
        <w:tabs>
          <w:tab w:val="num" w:pos="0"/>
        </w:tabs>
        <w:ind w:left="4640" w:hanging="1800"/>
      </w:pPr>
      <w:rPr/>
    </w:lvl>
  </w:abstractNum>
  <w:abstractNum w:abstractNumId="19">
    <w:lvl w:ilvl="0">
      <w:start w:val="1"/>
      <w:numFmt w:val="bullet"/>
      <w:lvlText w:val=""/>
      <w:lvlJc w:val="left"/>
      <w:pPr>
        <w:tabs>
          <w:tab w:val="num" w:pos="0"/>
        </w:tabs>
        <w:ind w:left="4046" w:hanging="360"/>
      </w:pPr>
      <w:rPr>
        <w:rFonts w:ascii="Wingdings" w:hAnsi="Wingdings" w:cs="Wingdings" w:hint="default"/>
      </w:rPr>
    </w:lvl>
    <w:lvl w:ilvl="1">
      <w:start w:val="1"/>
      <w:numFmt w:val="lowerLetter"/>
      <w:lvlText w:val="%2."/>
      <w:lvlJc w:val="left"/>
      <w:pPr>
        <w:tabs>
          <w:tab w:val="num" w:pos="0"/>
        </w:tabs>
        <w:ind w:left="4766" w:hanging="360"/>
      </w:pPr>
      <w:rPr/>
    </w:lvl>
    <w:lvl w:ilvl="2">
      <w:start w:val="1"/>
      <w:numFmt w:val="lowerRoman"/>
      <w:lvlText w:val="%3."/>
      <w:lvlJc w:val="right"/>
      <w:pPr>
        <w:tabs>
          <w:tab w:val="num" w:pos="0"/>
        </w:tabs>
        <w:ind w:left="5486" w:hanging="180"/>
      </w:pPr>
      <w:rPr/>
    </w:lvl>
    <w:lvl w:ilvl="3">
      <w:start w:val="1"/>
      <w:numFmt w:val="decimal"/>
      <w:lvlText w:val="%4."/>
      <w:lvlJc w:val="left"/>
      <w:pPr>
        <w:tabs>
          <w:tab w:val="num" w:pos="0"/>
        </w:tabs>
        <w:ind w:left="6206" w:hanging="360"/>
      </w:pPr>
      <w:rPr/>
    </w:lvl>
    <w:lvl w:ilvl="4">
      <w:start w:val="1"/>
      <w:numFmt w:val="lowerLetter"/>
      <w:lvlText w:val="%5."/>
      <w:lvlJc w:val="left"/>
      <w:pPr>
        <w:tabs>
          <w:tab w:val="num" w:pos="0"/>
        </w:tabs>
        <w:ind w:left="6926" w:hanging="360"/>
      </w:pPr>
      <w:rPr/>
    </w:lvl>
    <w:lvl w:ilvl="5">
      <w:start w:val="1"/>
      <w:numFmt w:val="lowerRoman"/>
      <w:lvlText w:val="%6."/>
      <w:lvlJc w:val="right"/>
      <w:pPr>
        <w:tabs>
          <w:tab w:val="num" w:pos="0"/>
        </w:tabs>
        <w:ind w:left="7646" w:hanging="180"/>
      </w:pPr>
      <w:rPr/>
    </w:lvl>
    <w:lvl w:ilvl="6">
      <w:start w:val="1"/>
      <w:numFmt w:val="decimal"/>
      <w:lvlText w:val="%7."/>
      <w:lvlJc w:val="left"/>
      <w:pPr>
        <w:tabs>
          <w:tab w:val="num" w:pos="0"/>
        </w:tabs>
        <w:ind w:left="8366" w:hanging="360"/>
      </w:pPr>
      <w:rPr/>
    </w:lvl>
    <w:lvl w:ilvl="7">
      <w:start w:val="1"/>
      <w:numFmt w:val="lowerLetter"/>
      <w:lvlText w:val="%8."/>
      <w:lvlJc w:val="left"/>
      <w:pPr>
        <w:tabs>
          <w:tab w:val="num" w:pos="0"/>
        </w:tabs>
        <w:ind w:left="9086" w:hanging="360"/>
      </w:pPr>
      <w:rPr/>
    </w:lvl>
    <w:lvl w:ilvl="8">
      <w:start w:val="1"/>
      <w:numFmt w:val="lowerRoman"/>
      <w:lvlText w:val="%9."/>
      <w:lvlJc w:val="right"/>
      <w:pPr>
        <w:tabs>
          <w:tab w:val="num" w:pos="0"/>
        </w:tabs>
        <w:ind w:left="9806" w:hanging="18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w="http://schemas.openxmlformats.org/wordprocessingml/2006/main">
  <w:zoom w:percent="200"/>
  <w:embedSystemFonts/>
  <w:defaultTabStop w:val="709"/>
  <w:autoHyphenation w:val="true"/>
  <w:footnotePr>
    <w:numFmt w:val="decimal"/>
    <w:footnote w:id="0"/>
    <w:footnote w:id="1"/>
  </w:foot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uiPriority="99"/>
    <w:lsdException w:name="header" w:uiPriority="99"/>
    <w:lsdException w:name="footer" w:uiPriority="99"/>
    <w:lsdException w:name="caption" w:semiHidden="1" w:unhideWhenUsed="1" w:qFormat="1"/>
    <w:lsdException w:name="Title" w:qFormat="1"/>
    <w:lsdException w:name="Default Paragraph Font" w:uiPriority="1"/>
    <w:lsdException w:name="Subtitle" w:qFormat="1"/>
    <w:lsdException w:name="Hyperlink" w:uiPriority="99"/>
    <w:lsdException w:name="Strong" w:qFormat="1"/>
    <w:lsdException w:name="Emphasis" w:qFormat="1"/>
    <w:lsdException w:name="HTML Preformatted" w:semiHidden="1" w:unhideWhenUsed="1"/>
    <w:lsdException w:name="Normal Table" w:semiHidden="1" w:unhideWhenUsed="1"/>
    <w:lsdException w:name="No List" w:uiPriority="99"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atentStyles>
  <w:style w:type="paragraph" w:styleId="Normal" w:default="1">
    <w:name w:val="Normal"/>
    <w:qFormat/>
    <w:rsid w:val="00ee3ad5"/>
    <w:pPr>
      <w:widowControl/>
      <w:suppressAutoHyphens w:val="true"/>
      <w:bidi w:val="0"/>
      <w:spacing w:before="0" w:after="0"/>
      <w:jc w:val="left"/>
    </w:pPr>
    <w:rPr>
      <w:rFonts w:ascii="Times New Roman" w:hAnsi="Times New Roman" w:eastAsia="Times New Roman" w:cs="Times New Roman"/>
      <w:color w:val="00000A"/>
      <w:kern w:val="0"/>
      <w:sz w:val="24"/>
      <w:szCs w:val="24"/>
      <w:lang w:val="ru-RU" w:eastAsia="ru-RU" w:bidi="ar-SA"/>
    </w:rPr>
  </w:style>
  <w:style w:type="paragraph" w:styleId="Heading1">
    <w:name w:val="Heading 1"/>
    <w:basedOn w:val="Normal"/>
    <w:qFormat/>
    <w:rsid w:val="005f1e81"/>
    <w:pPr>
      <w:keepNext w:val="true"/>
      <w:keepLines/>
      <w:pageBreakBefore/>
      <w:numPr>
        <w:ilvl w:val="0"/>
        <w:numId w:val="1"/>
      </w:numPr>
      <w:spacing w:before="480" w:after="240"/>
      <w:outlineLvl w:val="0"/>
    </w:pPr>
    <w:rPr>
      <w:rFonts w:ascii="Arial" w:hAnsi="Arial" w:cs="Arial"/>
      <w:b/>
      <w:bCs/>
      <w:caps/>
      <w:sz w:val="36"/>
      <w:szCs w:val="36"/>
    </w:rPr>
  </w:style>
  <w:style w:type="paragraph" w:styleId="Heading2">
    <w:name w:val="Heading 2"/>
    <w:basedOn w:val="Normal"/>
    <w:qFormat/>
    <w:rsid w:val="005f1e81"/>
    <w:pPr>
      <w:keepNext w:val="true"/>
      <w:numPr>
        <w:ilvl w:val="1"/>
        <w:numId w:val="1"/>
      </w:numPr>
      <w:spacing w:before="360" w:after="120"/>
      <w:outlineLvl w:val="1"/>
    </w:pPr>
    <w:rPr>
      <w:b/>
      <w:bCs/>
      <w:smallCaps/>
      <w:sz w:val="32"/>
      <w:szCs w:val="28"/>
    </w:rPr>
  </w:style>
  <w:style w:type="paragraph" w:styleId="Heading3">
    <w:name w:val="Heading 3"/>
    <w:basedOn w:val="Normal"/>
    <w:qFormat/>
    <w:rsid w:val="0031275f"/>
    <w:pPr>
      <w:keepNext w:val="true"/>
      <w:keepLines/>
      <w:spacing w:before="200" w:after="0"/>
      <w:outlineLvl w:val="2"/>
    </w:pPr>
    <w:rPr>
      <w:rFonts w:ascii="Cambria" w:hAnsi="Cambria"/>
      <w:b/>
      <w:bCs/>
      <w:color w:val="4F81BD"/>
      <w:lang w:eastAsia="x-none"/>
    </w:rPr>
  </w:style>
  <w:style w:type="paragraph" w:styleId="Heading4">
    <w:name w:val="Heading 4"/>
    <w:basedOn w:val="Normal"/>
    <w:next w:val="Normal"/>
    <w:qFormat/>
    <w:pPr>
      <w:keepNext w:val="true"/>
      <w:keepLines/>
      <w:spacing w:before="200" w:after="0"/>
      <w:outlineLvl w:val="3"/>
    </w:pPr>
    <w:rPr>
      <w:rFonts w:ascii="Calibri Light" w:hAnsi="Calibri Light" w:eastAsia="" w:cs="" w:asciiTheme="majorHAnsi" w:cstheme="majorBidi" w:eastAsiaTheme="majorEastAsia" w:hAnsiTheme="majorHAnsi"/>
      <w:b/>
      <w:bCs/>
      <w:i/>
      <w:iCs/>
      <w:color w:val="5B9BD5" w:themeColor="accent1"/>
    </w:rPr>
  </w:style>
  <w:style w:type="character" w:styleId="DefaultParagraphFont" w:default="1">
    <w:name w:val="Default Paragraph Font"/>
    <w:uiPriority w:val="1"/>
    <w:semiHidden/>
    <w:unhideWhenUsed/>
    <w:qFormat/>
    <w:rPr/>
  </w:style>
  <w:style w:type="character" w:styleId="Style5">
    <w:name w:val="Символ сноски"/>
    <w:qFormat/>
    <w:rPr>
      <w:vertAlign w:val="superscript"/>
    </w:rPr>
  </w:style>
  <w:style w:type="character" w:styleId="FootnoteReference">
    <w:name w:val="Footnote Reference"/>
    <w:rPr>
      <w:vertAlign w:val="superscript"/>
    </w:rPr>
  </w:style>
  <w:style w:type="character" w:styleId="3" w:customStyle="1">
    <w:name w:val="Основной текст 3 Знак"/>
    <w:qFormat/>
    <w:rsid w:val="00c05abc"/>
    <w:rPr>
      <w:sz w:val="16"/>
      <w:szCs w:val="16"/>
      <w:lang w:val="en-GB"/>
    </w:rPr>
  </w:style>
  <w:style w:type="character" w:styleId="31" w:customStyle="1">
    <w:name w:val="Заголовок 3 Знак"/>
    <w:semiHidden/>
    <w:qFormat/>
    <w:rsid w:val="0031275f"/>
    <w:rPr>
      <w:rFonts w:ascii="Cambria" w:hAnsi="Cambria" w:eastAsia="Times New Roman" w:cs="Times New Roman"/>
      <w:b/>
      <w:bCs/>
      <w:color w:val="4F81BD"/>
      <w:sz w:val="24"/>
      <w:szCs w:val="24"/>
      <w:lang w:val="en-GB"/>
    </w:rPr>
  </w:style>
  <w:style w:type="character" w:styleId="Annotationreference">
    <w:name w:val="annotation reference"/>
    <w:qFormat/>
    <w:rsid w:val="00d932ad"/>
    <w:rPr>
      <w:sz w:val="16"/>
      <w:szCs w:val="16"/>
    </w:rPr>
  </w:style>
  <w:style w:type="character" w:styleId="Style6" w:customStyle="1">
    <w:name w:val="Текст примечания Знак"/>
    <w:uiPriority w:val="99"/>
    <w:qFormat/>
    <w:rsid w:val="00d932ad"/>
    <w:rPr>
      <w:lang w:val="en-GB"/>
    </w:rPr>
  </w:style>
  <w:style w:type="character" w:styleId="Style7" w:customStyle="1">
    <w:name w:val="Тема примечания Знак"/>
    <w:qFormat/>
    <w:rsid w:val="00d932ad"/>
    <w:rPr>
      <w:b/>
      <w:bCs/>
      <w:lang w:val="en-GB"/>
    </w:rPr>
  </w:style>
  <w:style w:type="character" w:styleId="32" w:customStyle="1">
    <w:name w:val="Основной текст с отступом 3 Знак"/>
    <w:qFormat/>
    <w:rsid w:val="00f740e7"/>
    <w:rPr>
      <w:sz w:val="16"/>
      <w:szCs w:val="16"/>
    </w:rPr>
  </w:style>
  <w:style w:type="character" w:styleId="Style8" w:customStyle="1">
    <w:name w:val="Основной текст Знак"/>
    <w:qFormat/>
    <w:rsid w:val="00a43fda"/>
    <w:rPr>
      <w:sz w:val="28"/>
      <w:szCs w:val="28"/>
    </w:rPr>
  </w:style>
  <w:style w:type="character" w:styleId="Style9" w:customStyle="1">
    <w:name w:val="Заголовок Знак"/>
    <w:qFormat/>
    <w:rsid w:val="00ed7e37"/>
    <w:rPr>
      <w:b/>
      <w:bCs/>
      <w:sz w:val="24"/>
      <w:szCs w:val="24"/>
    </w:rPr>
  </w:style>
  <w:style w:type="character" w:styleId="Style10" w:customStyle="1">
    <w:name w:val="Верхний колонтитул Знак"/>
    <w:uiPriority w:val="99"/>
    <w:qFormat/>
    <w:rsid w:val="004f3c0a"/>
    <w:rPr>
      <w:sz w:val="24"/>
      <w:szCs w:val="24"/>
      <w:lang w:val="en-GB"/>
    </w:rPr>
  </w:style>
  <w:style w:type="character" w:styleId="Style11" w:customStyle="1">
    <w:name w:val="Нижний колонтитул Знак"/>
    <w:uiPriority w:val="99"/>
    <w:qFormat/>
    <w:rsid w:val="004f3c0a"/>
    <w:rPr>
      <w:sz w:val="24"/>
      <w:szCs w:val="24"/>
      <w:lang w:val="en-GB"/>
    </w:rPr>
  </w:style>
  <w:style w:type="character" w:styleId="2" w:customStyle="1">
    <w:name w:val="Основной текст 2 Знак"/>
    <w:qFormat/>
    <w:rsid w:val="00d3016b"/>
    <w:rPr>
      <w:sz w:val="24"/>
      <w:szCs w:val="24"/>
    </w:rPr>
  </w:style>
  <w:style w:type="character" w:styleId="Style12" w:customStyle="1">
    <w:name w:val="Основной текст с отступом Знак"/>
    <w:qFormat/>
    <w:rsid w:val="00d3016b"/>
    <w:rPr>
      <w:sz w:val="24"/>
      <w:szCs w:val="24"/>
    </w:rPr>
  </w:style>
  <w:style w:type="character" w:styleId="Strong">
    <w:name w:val="Strong"/>
    <w:qFormat/>
    <w:rsid w:val="004b7916"/>
    <w:rPr>
      <w:b/>
      <w:bCs/>
    </w:rPr>
  </w:style>
  <w:style w:type="character" w:styleId="Style13" w:customStyle="1">
    <w:name w:val="Текст сноски Знак"/>
    <w:qFormat/>
    <w:rsid w:val="00820c2a"/>
    <w:rPr>
      <w:lang w:val="en-GB"/>
    </w:rPr>
  </w:style>
  <w:style w:type="character" w:styleId="Hyperlink">
    <w:name w:val="Hyperlink"/>
    <w:uiPriority w:val="99"/>
    <w:unhideWhenUsed/>
    <w:rsid w:val="00824397"/>
    <w:rPr>
      <w:color w:val="0000FF"/>
      <w:u w:val="single"/>
    </w:rPr>
  </w:style>
  <w:style w:type="character" w:styleId="FollowedHyperlink">
    <w:name w:val="FollowedHyperlink"/>
    <w:qFormat/>
    <w:rsid w:val="0087657c"/>
    <w:rPr>
      <w:color w:val="800080"/>
      <w:u w:val="single"/>
    </w:rPr>
  </w:style>
  <w:style w:type="character" w:styleId="33" w:customStyle="1">
    <w:name w:val="3. Подпункт Знак"/>
    <w:qFormat/>
    <w:rsid w:val="00dd5d96"/>
    <w:rPr>
      <w:b/>
      <w:bCs/>
      <w:sz w:val="24"/>
      <w:szCs w:val="24"/>
      <w:lang w:val="x-none" w:eastAsia="x-none"/>
    </w:rPr>
  </w:style>
  <w:style w:type="character" w:styleId="Style14" w:customStyle="1">
    <w:name w:val="Абзац списка Знак"/>
    <w:uiPriority w:val="34"/>
    <w:qFormat/>
    <w:locked/>
    <w:rsid w:val="00aa5e54"/>
    <w:rPr>
      <w:sz w:val="24"/>
      <w:szCs w:val="24"/>
    </w:rPr>
  </w:style>
  <w:style w:type="character" w:styleId="Style15" w:customStyle="1">
    <w:name w:val="Название Знак"/>
    <w:qFormat/>
    <w:rsid w:val="00134685"/>
    <w:rPr>
      <w:b/>
      <w:bCs/>
      <w:sz w:val="24"/>
      <w:szCs w:val="24"/>
    </w:rPr>
  </w:style>
  <w:style w:type="character" w:styleId="Style16">
    <w:name w:val="Символ концевой сноски"/>
    <w:qFormat/>
    <w:rPr>
      <w:vertAlign w:val="superscript"/>
    </w:rPr>
  </w:style>
  <w:style w:type="character" w:styleId="EndnoteReference">
    <w:name w:val="Endnote Reference"/>
    <w:rPr>
      <w:vertAlign w:val="superscript"/>
    </w:rPr>
  </w:style>
  <w:style w:type="character" w:styleId="Style17">
    <w:name w:val="Символы концевой сноски"/>
    <w:qFormat/>
    <w:rPr/>
  </w:style>
  <w:style w:type="character" w:styleId="BookTitle">
    <w:name w:val="Book Title"/>
    <w:basedOn w:val="DefaultParagraphFont"/>
    <w:qFormat/>
    <w:rPr>
      <w:b/>
      <w:bCs/>
      <w:smallCaps/>
      <w:spacing w:val="5"/>
    </w:rPr>
  </w:style>
  <w:style w:type="character" w:styleId="Style18">
    <w:name w:val="Символ нумерации"/>
    <w:qFormat/>
    <w:rPr/>
  </w:style>
  <w:style w:type="paragraph" w:styleId="Style19" w:customStyle="1">
    <w:name w:val="Заголовок"/>
    <w:basedOn w:val="Normal"/>
    <w:next w:val="BodyText"/>
    <w:qFormat/>
    <w:pPr>
      <w:keepNext w:val="true"/>
      <w:spacing w:before="240" w:after="120"/>
    </w:pPr>
    <w:rPr>
      <w:rFonts w:ascii="Liberation Sans" w:hAnsi="Liberation Sans" w:eastAsia="WenQuanYi Zen Hei Sharp" w:cs="Lohit Devanagari"/>
      <w:sz w:val="28"/>
      <w:szCs w:val="28"/>
    </w:rPr>
  </w:style>
  <w:style w:type="paragraph" w:styleId="BodyText">
    <w:name w:val="Body Text"/>
    <w:basedOn w:val="Normal"/>
    <w:rsid w:val="00fc7f66"/>
    <w:pPr>
      <w:spacing w:lineRule="auto" w:line="360" w:before="0" w:after="120"/>
      <w:ind w:firstLine="567"/>
      <w:jc w:val="both"/>
    </w:pPr>
    <w:rPr>
      <w:sz w:val="28"/>
      <w:szCs w:val="28"/>
      <w:lang w:val="x-none" w:eastAsia="x-none"/>
    </w:rPr>
  </w:style>
  <w:style w:type="paragraph" w:styleId="List">
    <w:name w:val="List"/>
    <w:basedOn w:val="BodyText"/>
    <w:pPr/>
    <w:rPr>
      <w:rFonts w:eastAsia="WenQuanYi Zen Hei Sharp"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Style20">
    <w:name w:val="Указатель"/>
    <w:basedOn w:val="Normal"/>
    <w:qFormat/>
    <w:pPr>
      <w:suppressLineNumbers/>
    </w:pPr>
    <w:rPr>
      <w:rFonts w:cs="Lohit Devanagari"/>
    </w:rPr>
  </w:style>
  <w:style w:type="paragraph" w:styleId="Caption1">
    <w:name w:val="caption1"/>
    <w:basedOn w:val="Normal"/>
    <w:qFormat/>
    <w:pPr>
      <w:suppressLineNumbers/>
      <w:spacing w:before="120" w:after="120"/>
    </w:pPr>
    <w:rPr>
      <w:rFonts w:eastAsia="WenQuanYi Zen Hei Sharp" w:cs="Lohit Devanagari"/>
      <w:i/>
      <w:iCs/>
    </w:rPr>
  </w:style>
  <w:style w:type="paragraph" w:styleId="Indexheading">
    <w:name w:val="index heading"/>
    <w:basedOn w:val="Normal"/>
    <w:qFormat/>
    <w:pPr>
      <w:suppressLineNumbers/>
    </w:pPr>
    <w:rPr>
      <w:rFonts w:eastAsia="WenQuanYi Zen Hei Sharp" w:cs="Lohit Devanagari"/>
    </w:rPr>
  </w:style>
  <w:style w:type="paragraph" w:styleId="1" w:customStyle="1">
    <w:name w:val="Знак Знак Знак Знак Знак Знак Знак Знак Знак1"/>
    <w:basedOn w:val="Normal"/>
    <w:qFormat/>
    <w:rsid w:val="0083249b"/>
    <w:pPr>
      <w:spacing w:lineRule="exact" w:line="240" w:before="0" w:after="160"/>
      <w:jc w:val="both"/>
    </w:pPr>
    <w:rPr>
      <w:rFonts w:ascii="Verdana" w:hAnsi="Verdana"/>
      <w:sz w:val="22"/>
      <w:szCs w:val="20"/>
      <w:lang w:val="en-US" w:eastAsia="en-US"/>
    </w:rPr>
  </w:style>
  <w:style w:type="paragraph" w:styleId="11" w:customStyle="1">
    <w:name w:val="Обычный1"/>
    <w:qFormat/>
    <w:rsid w:val="0083249b"/>
    <w:pPr>
      <w:widowControl/>
      <w:suppressAutoHyphens w:val="true"/>
      <w:bidi w:val="0"/>
      <w:spacing w:before="0" w:after="0"/>
      <w:jc w:val="left"/>
    </w:pPr>
    <w:rPr>
      <w:rFonts w:ascii="Times New Roman" w:hAnsi="Times New Roman" w:eastAsia="Times New Roman" w:cs="Times New Roman"/>
      <w:color w:val="00000A"/>
      <w:kern w:val="0"/>
      <w:sz w:val="24"/>
      <w:szCs w:val="20"/>
      <w:lang w:val="ru-RU" w:eastAsia="ru-RU" w:bidi="ar-SA"/>
    </w:rPr>
  </w:style>
  <w:style w:type="paragraph" w:styleId="PlainText">
    <w:name w:val="Plain Text"/>
    <w:basedOn w:val="Normal"/>
    <w:unhideWhenUsed/>
    <w:qFormat/>
    <w:rsid w:val="0083249b"/>
    <w:pPr/>
    <w:rPr>
      <w:rFonts w:ascii="Consolas" w:hAnsi="Consolas" w:eastAsia="Calibri"/>
      <w:sz w:val="21"/>
      <w:szCs w:val="21"/>
      <w:lang w:eastAsia="en-US"/>
    </w:rPr>
  </w:style>
  <w:style w:type="paragraph" w:styleId="Style21" w:customStyle="1">
    <w:name w:val="Подпункт договора"/>
    <w:basedOn w:val="Normal"/>
    <w:qFormat/>
    <w:rsid w:val="00f05883"/>
    <w:pPr>
      <w:tabs>
        <w:tab w:val="clear" w:pos="709"/>
        <w:tab w:val="left" w:pos="360" w:leader="none"/>
      </w:tabs>
      <w:jc w:val="both"/>
    </w:pPr>
    <w:rPr>
      <w:rFonts w:ascii="Arial" w:hAnsi="Arial"/>
      <w:sz w:val="20"/>
      <w:szCs w:val="20"/>
    </w:rPr>
  </w:style>
  <w:style w:type="paragraph" w:styleId="Style22" w:customStyle="1">
    <w:name w:val="Пункт"/>
    <w:basedOn w:val="Normal"/>
    <w:qFormat/>
    <w:rsid w:val="005f1e81"/>
    <w:pPr>
      <w:jc w:val="both"/>
    </w:pPr>
    <w:rPr>
      <w:sz w:val="28"/>
    </w:rPr>
  </w:style>
  <w:style w:type="paragraph" w:styleId="Style23" w:customStyle="1">
    <w:name w:val="Подпункт"/>
    <w:basedOn w:val="Style22"/>
    <w:qFormat/>
    <w:rsid w:val="005f1e81"/>
    <w:pPr/>
    <w:rPr/>
  </w:style>
  <w:style w:type="paragraph" w:styleId="Style24" w:customStyle="1">
    <w:name w:val="Подподпункт"/>
    <w:basedOn w:val="Style23"/>
    <w:qFormat/>
    <w:rsid w:val="005f1e81"/>
    <w:pPr/>
    <w:rPr/>
  </w:style>
  <w:style w:type="paragraph" w:styleId="Style25" w:customStyle="1">
    <w:name w:val="Пункт договора"/>
    <w:basedOn w:val="Normal"/>
    <w:qFormat/>
    <w:rsid w:val="005f1e81"/>
    <w:pPr>
      <w:widowControl w:val="false"/>
      <w:jc w:val="both"/>
    </w:pPr>
    <w:rPr>
      <w:rFonts w:ascii="Arial" w:hAnsi="Arial"/>
      <w:sz w:val="20"/>
      <w:szCs w:val="20"/>
    </w:rPr>
  </w:style>
  <w:style w:type="paragraph" w:styleId="Style26" w:customStyle="1">
    <w:name w:val="Знак"/>
    <w:basedOn w:val="Normal"/>
    <w:qFormat/>
    <w:rsid w:val="00fc7f66"/>
    <w:pPr>
      <w:spacing w:lineRule="exact" w:line="240" w:before="0" w:after="160"/>
    </w:pPr>
    <w:rPr>
      <w:rFonts w:ascii="Verdana" w:hAnsi="Verdana" w:cs="Verdana"/>
      <w:sz w:val="20"/>
      <w:szCs w:val="20"/>
      <w:lang w:val="en-US" w:eastAsia="en-US"/>
    </w:rPr>
  </w:style>
  <w:style w:type="paragraph" w:styleId="FootnoteText">
    <w:name w:val="Footnote Text"/>
    <w:basedOn w:val="Normal"/>
    <w:uiPriority w:val="99"/>
    <w:qFormat/>
    <w:rsid w:val="006709ae"/>
    <w:pPr/>
    <w:rPr/>
  </w:style>
  <w:style w:type="paragraph" w:styleId="Style27" w:customStyle="1">
    <w:name w:val="Раздел договора"/>
    <w:basedOn w:val="Normal"/>
    <w:qFormat/>
    <w:rsid w:val="00803898"/>
    <w:pPr>
      <w:keepNext w:val="true"/>
      <w:keepLines/>
      <w:widowControl w:val="false"/>
      <w:spacing w:before="240" w:after="200"/>
    </w:pPr>
    <w:rPr>
      <w:rFonts w:ascii="Arial" w:hAnsi="Arial"/>
      <w:b/>
      <w:caps/>
      <w:sz w:val="20"/>
      <w:szCs w:val="20"/>
    </w:rPr>
  </w:style>
  <w:style w:type="paragraph" w:styleId="BalloonText">
    <w:name w:val="Balloon Text"/>
    <w:basedOn w:val="Normal"/>
    <w:semiHidden/>
    <w:qFormat/>
    <w:rsid w:val="0031581d"/>
    <w:pPr/>
    <w:rPr>
      <w:rFonts w:ascii="Tahoma" w:hAnsi="Tahoma" w:cs="Tahoma"/>
      <w:sz w:val="16"/>
      <w:szCs w:val="16"/>
    </w:rPr>
  </w:style>
  <w:style w:type="paragraph" w:styleId="BodyText3">
    <w:name w:val="Body Text 3"/>
    <w:basedOn w:val="Normal"/>
    <w:link w:val="3"/>
    <w:qFormat/>
    <w:rsid w:val="00c05abc"/>
    <w:pPr>
      <w:spacing w:before="0" w:after="120"/>
    </w:pPr>
    <w:rPr>
      <w:sz w:val="16"/>
      <w:szCs w:val="16"/>
      <w:lang w:eastAsia="x-none"/>
    </w:rPr>
  </w:style>
  <w:style w:type="paragraph" w:styleId="ConsNormal" w:customStyle="1">
    <w:name w:val="ConsNormal"/>
    <w:qFormat/>
    <w:rsid w:val="00e754c6"/>
    <w:pPr>
      <w:widowControl/>
      <w:suppressAutoHyphens w:val="true"/>
      <w:bidi w:val="0"/>
      <w:spacing w:before="0" w:after="0"/>
      <w:ind w:right="19772" w:firstLine="720"/>
      <w:jc w:val="left"/>
    </w:pPr>
    <w:rPr>
      <w:rFonts w:ascii="Arial" w:hAnsi="Arial" w:eastAsia="Times New Roman" w:cs="Times New Roman"/>
      <w:color w:val="00000A"/>
      <w:kern w:val="0"/>
      <w:sz w:val="32"/>
      <w:szCs w:val="20"/>
      <w:lang w:val="ru-RU" w:eastAsia="en-US" w:bidi="ar-SA"/>
    </w:rPr>
  </w:style>
  <w:style w:type="paragraph" w:styleId="Style28" w:customStyle="1">
    <w:name w:val="Знак Знак Знак Знак Знак Знак Знак Знак Знак"/>
    <w:basedOn w:val="Normal"/>
    <w:qFormat/>
    <w:rsid w:val="0031275f"/>
    <w:pPr>
      <w:spacing w:lineRule="exact" w:line="240" w:before="0" w:after="160"/>
      <w:jc w:val="both"/>
    </w:pPr>
    <w:rPr>
      <w:rFonts w:ascii="Verdana" w:hAnsi="Verdana"/>
      <w:sz w:val="22"/>
      <w:szCs w:val="20"/>
      <w:lang w:val="en-US" w:eastAsia="en-US"/>
    </w:rPr>
  </w:style>
  <w:style w:type="paragraph" w:styleId="ListParagraph">
    <w:name w:val="List Paragraph"/>
    <w:basedOn w:val="Normal"/>
    <w:uiPriority w:val="34"/>
    <w:qFormat/>
    <w:rsid w:val="0031275f"/>
    <w:pPr>
      <w:spacing w:before="0" w:after="0"/>
      <w:ind w:left="720" w:hanging="0"/>
      <w:contextualSpacing/>
    </w:pPr>
    <w:rPr/>
  </w:style>
  <w:style w:type="paragraph" w:styleId="Annotationtext">
    <w:name w:val="annotation text"/>
    <w:basedOn w:val="Normal"/>
    <w:uiPriority w:val="99"/>
    <w:qFormat/>
    <w:rsid w:val="00d932ad"/>
    <w:pPr/>
    <w:rPr>
      <w:sz w:val="20"/>
      <w:szCs w:val="20"/>
      <w:lang w:eastAsia="x-none"/>
    </w:rPr>
  </w:style>
  <w:style w:type="paragraph" w:styleId="Annotationsubject">
    <w:name w:val="annotation subject"/>
    <w:basedOn w:val="Annotationtext"/>
    <w:qFormat/>
    <w:rsid w:val="00d932ad"/>
    <w:pPr/>
    <w:rPr>
      <w:b/>
      <w:bCs/>
    </w:rPr>
  </w:style>
  <w:style w:type="paragraph" w:styleId="BodyTextIndent3">
    <w:name w:val="Body Text Indent 3"/>
    <w:basedOn w:val="Normal"/>
    <w:link w:val="32"/>
    <w:qFormat/>
    <w:rsid w:val="00f740e7"/>
    <w:pPr>
      <w:spacing w:lineRule="auto" w:line="360" w:before="0" w:after="120"/>
      <w:ind w:left="283" w:firstLine="567"/>
      <w:jc w:val="both"/>
    </w:pPr>
    <w:rPr>
      <w:sz w:val="16"/>
      <w:szCs w:val="16"/>
      <w:lang w:val="x-none" w:eastAsia="x-none"/>
    </w:rPr>
  </w:style>
  <w:style w:type="paragraph" w:styleId="Revision">
    <w:name w:val="Revision"/>
    <w:uiPriority w:val="99"/>
    <w:semiHidden/>
    <w:qFormat/>
    <w:rsid w:val="00966324"/>
    <w:pPr>
      <w:widowControl/>
      <w:suppressAutoHyphens w:val="true"/>
      <w:bidi w:val="0"/>
      <w:spacing w:before="0" w:after="0"/>
      <w:jc w:val="left"/>
    </w:pPr>
    <w:rPr>
      <w:rFonts w:ascii="Times New Roman" w:hAnsi="Times New Roman" w:eastAsia="Times New Roman" w:cs="Times New Roman"/>
      <w:color w:val="00000A"/>
      <w:kern w:val="0"/>
      <w:sz w:val="24"/>
      <w:szCs w:val="24"/>
      <w:lang w:val="en-GB" w:eastAsia="ru-RU" w:bidi="ar-SA"/>
    </w:rPr>
  </w:style>
  <w:style w:type="paragraph" w:styleId="ConsPlusNormal" w:customStyle="1">
    <w:name w:val="ConsPlusNormal"/>
    <w:qFormat/>
    <w:rsid w:val="00a43fda"/>
    <w:pPr>
      <w:widowControl w:val="false"/>
      <w:suppressAutoHyphens w:val="true"/>
      <w:bidi w:val="0"/>
      <w:spacing w:before="0" w:after="0"/>
      <w:ind w:firstLine="720"/>
      <w:jc w:val="left"/>
    </w:pPr>
    <w:rPr>
      <w:rFonts w:ascii="Arial" w:hAnsi="Arial" w:eastAsia="Times New Roman" w:cs="Arial"/>
      <w:color w:val="00000A"/>
      <w:kern w:val="0"/>
      <w:sz w:val="24"/>
      <w:szCs w:val="20"/>
      <w:lang w:val="ru-RU" w:eastAsia="ru-RU" w:bidi="ar-SA"/>
    </w:rPr>
  </w:style>
  <w:style w:type="paragraph" w:styleId="12" w:customStyle="1">
    <w:name w:val="Название1"/>
    <w:basedOn w:val="Normal"/>
    <w:qFormat/>
    <w:rsid w:val="006375b6"/>
    <w:pPr>
      <w:widowControl w:val="false"/>
      <w:overflowPunct w:val="true"/>
      <w:spacing w:before="0" w:after="120"/>
      <w:jc w:val="center"/>
      <w:textAlignment w:val="baseline"/>
    </w:pPr>
    <w:rPr>
      <w:b/>
      <w:bCs/>
      <w:sz w:val="32"/>
      <w:szCs w:val="20"/>
    </w:rPr>
  </w:style>
  <w:style w:type="paragraph" w:styleId="Style29" w:customStyle="1">
    <w:name w:val="Колонтитул"/>
    <w:basedOn w:val="Normal"/>
    <w:qFormat/>
    <w:pPr/>
    <w:rPr/>
  </w:style>
  <w:style w:type="paragraph" w:styleId="Header">
    <w:name w:val="Header"/>
    <w:basedOn w:val="Normal"/>
    <w:uiPriority w:val="99"/>
    <w:rsid w:val="004f3c0a"/>
    <w:pPr>
      <w:tabs>
        <w:tab w:val="clear" w:pos="709"/>
        <w:tab w:val="center" w:pos="4677" w:leader="none"/>
        <w:tab w:val="right" w:pos="9355" w:leader="none"/>
      </w:tabs>
    </w:pPr>
    <w:rPr>
      <w:lang w:eastAsia="x-none"/>
    </w:rPr>
  </w:style>
  <w:style w:type="paragraph" w:styleId="Footer">
    <w:name w:val="Footer"/>
    <w:basedOn w:val="Normal"/>
    <w:uiPriority w:val="99"/>
    <w:rsid w:val="004f3c0a"/>
    <w:pPr>
      <w:tabs>
        <w:tab w:val="clear" w:pos="709"/>
        <w:tab w:val="center" w:pos="4677" w:leader="none"/>
        <w:tab w:val="right" w:pos="9355" w:leader="none"/>
      </w:tabs>
    </w:pPr>
    <w:rPr>
      <w:lang w:eastAsia="x-none"/>
    </w:rPr>
  </w:style>
  <w:style w:type="paragraph" w:styleId="BodyText2">
    <w:name w:val="Body Text 2"/>
    <w:basedOn w:val="Normal"/>
    <w:qFormat/>
    <w:rsid w:val="00d3016b"/>
    <w:pPr>
      <w:spacing w:lineRule="auto" w:line="480" w:before="0" w:after="120"/>
    </w:pPr>
    <w:rPr>
      <w:lang w:val="x-none" w:eastAsia="x-none"/>
    </w:rPr>
  </w:style>
  <w:style w:type="paragraph" w:styleId="BodyTextIndent">
    <w:name w:val="Body Text Indent"/>
    <w:basedOn w:val="Normal"/>
    <w:rsid w:val="00d3016b"/>
    <w:pPr>
      <w:spacing w:before="0" w:after="120"/>
      <w:ind w:left="283" w:hanging="0"/>
    </w:pPr>
    <w:rPr>
      <w:lang w:val="x-none" w:eastAsia="x-none"/>
    </w:rPr>
  </w:style>
  <w:style w:type="paragraph" w:styleId="333" w:customStyle="1">
    <w:name w:val="Пункт 3.3.3"/>
    <w:basedOn w:val="Normal"/>
    <w:qFormat/>
    <w:rsid w:val="006375b6"/>
    <w:pPr>
      <w:keepNext w:val="true"/>
      <w:keepLines/>
      <w:widowControl w:val="false"/>
      <w:tabs>
        <w:tab w:val="clear" w:pos="709"/>
        <w:tab w:val="left" w:pos="920" w:leader="none"/>
      </w:tabs>
      <w:overflowPunct w:val="true"/>
      <w:spacing w:before="240" w:after="240"/>
      <w:ind w:left="704" w:hanging="504"/>
      <w:textAlignment w:val="baseline"/>
      <w:outlineLvl w:val="1"/>
    </w:pPr>
    <w:rPr>
      <w:szCs w:val="20"/>
    </w:rPr>
  </w:style>
  <w:style w:type="paragraph" w:styleId="Caption11" w:customStyle="1">
    <w:name w:val="caption11"/>
    <w:basedOn w:val="Normal"/>
    <w:qFormat/>
    <w:rsid w:val="006375b6"/>
    <w:pPr>
      <w:widowControl w:val="false"/>
      <w:overflowPunct w:val="true"/>
      <w:spacing w:before="120" w:after="120"/>
      <w:jc w:val="both"/>
      <w:textAlignment w:val="baseline"/>
    </w:pPr>
    <w:rPr>
      <w:b/>
      <w:bCs/>
    </w:rPr>
  </w:style>
  <w:style w:type="paragraph" w:styleId="13" w:customStyle="1">
    <w:name w:val="1. Статья"/>
    <w:basedOn w:val="Heading3"/>
    <w:qFormat/>
    <w:rsid w:val="00dd5d96"/>
    <w:pPr>
      <w:keepNext w:val="false"/>
      <w:keepLines w:val="false"/>
      <w:widowControl w:val="false"/>
      <w:tabs>
        <w:tab w:val="clear" w:pos="709"/>
        <w:tab w:val="left" w:pos="2340" w:leader="none"/>
      </w:tabs>
      <w:overflowPunct w:val="true"/>
      <w:spacing w:before="0" w:after="0"/>
      <w:ind w:right="1462" w:hanging="0"/>
      <w:jc w:val="center"/>
      <w:textAlignment w:val="baseline"/>
    </w:pPr>
    <w:rPr>
      <w:rFonts w:ascii="Times New Roman" w:hAnsi="Times New Roman"/>
      <w:b w:val="false"/>
      <w:bCs w:val="false"/>
      <w:color w:val="00000A"/>
      <w:lang w:val="x-none"/>
    </w:rPr>
  </w:style>
  <w:style w:type="paragraph" w:styleId="21" w:customStyle="1">
    <w:name w:val="2. Пункт"/>
    <w:basedOn w:val="Heading3"/>
    <w:qFormat/>
    <w:rsid w:val="00dd5d96"/>
    <w:pPr>
      <w:keepNext w:val="false"/>
      <w:keepLines w:val="false"/>
      <w:widowControl w:val="false"/>
      <w:overflowPunct w:val="true"/>
      <w:spacing w:before="0" w:after="0"/>
      <w:jc w:val="both"/>
      <w:textAlignment w:val="baseline"/>
    </w:pPr>
    <w:rPr>
      <w:rFonts w:ascii="Times New Roman" w:hAnsi="Times New Roman"/>
      <w:b w:val="false"/>
      <w:bCs w:val="false"/>
      <w:color w:val="00000A"/>
      <w:lang w:val="x-none"/>
    </w:rPr>
  </w:style>
  <w:style w:type="paragraph" w:styleId="34" w:customStyle="1">
    <w:name w:val="3. Подпункт"/>
    <w:basedOn w:val="Heading3"/>
    <w:qFormat/>
    <w:rsid w:val="00dd5d96"/>
    <w:pPr>
      <w:keepNext w:val="false"/>
      <w:keepLines w:val="false"/>
      <w:widowControl w:val="false"/>
      <w:tabs>
        <w:tab w:val="clear" w:pos="709"/>
        <w:tab w:val="left" w:pos="1620" w:leader="none"/>
      </w:tabs>
      <w:overflowPunct w:val="true"/>
      <w:spacing w:before="0" w:after="0"/>
      <w:jc w:val="both"/>
      <w:textAlignment w:val="baseline"/>
    </w:pPr>
    <w:rPr>
      <w:rFonts w:ascii="Times New Roman" w:hAnsi="Times New Roman"/>
      <w:color w:val="00000A"/>
      <w:lang w:val="x-none"/>
    </w:rPr>
  </w:style>
  <w:style w:type="paragraph" w:styleId="Textbody" w:customStyle="1">
    <w:name w:val="Text body"/>
    <w:basedOn w:val="Normal"/>
    <w:qFormat/>
    <w:pPr>
      <w:ind w:firstLine="709"/>
      <w:jc w:val="both"/>
      <w:textAlignment w:val="baseline"/>
    </w:pPr>
    <w:rPr>
      <w:rFonts w:eastAsia="Calibri" w:cs="Calibri"/>
      <w:b/>
      <w:sz w:val="28"/>
      <w:lang w:val="en-US"/>
    </w:rPr>
  </w:style>
  <w:style w:type="paragraph" w:styleId="Style30" w:customStyle="1">
    <w:name w:val="Содержимое таблицы"/>
    <w:basedOn w:val="Normal"/>
    <w:qFormat/>
    <w:pPr>
      <w:widowControl w:val="false"/>
      <w:suppressLineNumbers/>
    </w:pPr>
    <w:rPr/>
  </w:style>
  <w:style w:type="paragraph" w:styleId="Style31">
    <w:name w:val="Таблица шапка"/>
    <w:basedOn w:val="Normal"/>
    <w:qFormat/>
    <w:pPr>
      <w:keepNext w:val="true"/>
      <w:spacing w:before="40" w:after="40"/>
      <w:ind w:left="57" w:right="57" w:hanging="0"/>
    </w:pPr>
    <w:rPr>
      <w:sz w:val="22"/>
      <w:szCs w:val="26"/>
      <w:lang w:val="ru-RU"/>
    </w:rPr>
  </w:style>
  <w:style w:type="paragraph" w:styleId="Formattext">
    <w:name w:val="formattext"/>
    <w:basedOn w:val="Normal"/>
    <w:qFormat/>
    <w:pPr>
      <w:spacing w:beforeAutospacing="1" w:afterAutospacing="1"/>
    </w:pPr>
    <w:rPr>
      <w:lang w:val="ru-RU"/>
    </w:rPr>
  </w:style>
  <w:style w:type="numbering" w:styleId="NoList" w:default="1">
    <w:name w:val="No List"/>
    <w:uiPriority w:val="99"/>
    <w:semiHidden/>
    <w:unhideWhenUsed/>
    <w:qFormat/>
  </w:style>
  <w:style w:type="numbering" w:styleId="Style32" w:customStyle="1">
    <w:name w:val="Без списка"/>
    <w:qFormat/>
  </w:style>
  <w:style w:type="table" w:default="1" w:styleId="a4">
    <w:name w:val="Normal Table"/>
    <w:uiPriority w:val="99"/>
    <w:semiHidden/>
    <w:unhideWhenUsed/>
    <w:tblPr>
      <w:tblCellMar>
        <w:top w:w="0" w:type="dxa"/>
        <w:left w:w="108" w:type="dxa"/>
        <w:bottom w:w="0" w:type="dxa"/>
        <w:right w:w="108" w:type="dxa"/>
      </w:tblCellMar>
    </w:tblPr>
  </w:style>
  <w:style w:type="table" w:styleId="afff">
    <w:name w:val="Table Grid"/>
    <w:basedOn w:val="a4"/>
    <w:rsid w:val="00755e1f"/>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consultantplus://offline/ref=94D5CE8889791A29DE57299515463A9D6134D8237B999C803E6F853513x2A2P" TargetMode="External"/><Relationship Id="rId3" Type="http://schemas.openxmlformats.org/officeDocument/2006/relationships/hyperlink" Target="consultantplus://offline/ref=94D5CE8889791A29DE57299515463A9D6135D2287D929C803E6F853513x2A2P" TargetMode="External"/><Relationship Id="rId4" Type="http://schemas.openxmlformats.org/officeDocument/2006/relationships/hyperlink" Target="consultantplus://offline/ref=79440D5123ABA6A25F43346AB59DBAAC7032C8E1556DA64FAED62E167F76889C2B7C475C32EFC59BJ8rDH" TargetMode="External"/><Relationship Id="rId5" Type="http://schemas.openxmlformats.org/officeDocument/2006/relationships/header" Target="header1.xml"/><Relationship Id="rId6" Type="http://schemas.openxmlformats.org/officeDocument/2006/relationships/footnotes" Target="footnotes.xml"/><Relationship Id="rId7" Type="http://schemas.openxmlformats.org/officeDocument/2006/relationships/numbering" Target="numbering.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Relationship Id="rId11" Type="http://schemas.openxmlformats.org/officeDocument/2006/relationships/customXml" Target="../customXml/item1.xml"/><Relationship Id="rId12" Type="http://schemas.openxmlformats.org/officeDocument/2006/relationships/customXml" Target="../customXml/item2.xml"/><Relationship Id="rId13" Type="http://schemas.openxmlformats.org/officeDocument/2006/relationships/customXml" Target="../customXml/item3.xml"/><Relationship Id="rId14" Type="http://schemas.openxmlformats.org/officeDocument/2006/relationships/customXml" Target="../customXml/item4.xml"/><Relationship Id="rId15" Type="http://schemas.openxmlformats.org/officeDocument/2006/relationships/customXml" Target="../customXml/item5.xml"/><Relationship Id="rId16" Type="http://schemas.openxmlformats.org/officeDocument/2006/relationships/customXml" Target="../customXml/item6.xml"/><Relationship Id="rId17" Type="http://schemas.openxmlformats.org/officeDocument/2006/relationships/customXml" Target="../customXml/item7.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_rels/item4.xml.rels><?xml version="1.0" encoding="UTF-8"?>
<Relationships xmlns="http://schemas.openxmlformats.org/package/2006/relationships"><Relationship Id="rId1" Type="http://schemas.openxmlformats.org/officeDocument/2006/relationships/customXmlProps" Target="itemProps4.xml"/>
</Relationships>
</file>

<file path=customXml/_rels/item5.xml.rels><?xml version="1.0" encoding="UTF-8"?>
<Relationships xmlns="http://schemas.openxmlformats.org/package/2006/relationships"><Relationship Id="rId1" Type="http://schemas.openxmlformats.org/officeDocument/2006/relationships/customXmlProps" Target="itemProps5.xml"/>
</Relationships>
</file>

<file path=customXml/_rels/item6.xml.rels><?xml version="1.0" encoding="UTF-8"?>
<Relationships xmlns="http://schemas.openxmlformats.org/package/2006/relationships"><Relationship Id="rId1" Type="http://schemas.openxmlformats.org/officeDocument/2006/relationships/customXmlProps" Target="itemProps6.xml"/>
</Relationships>
</file>

<file path=customXml/_rels/item7.xml.rels><?xml version="1.0" encoding="UTF-8"?>
<Relationships xmlns="http://schemas.openxmlformats.org/package/2006/relationships"><Relationship Id="rId1" Type="http://schemas.openxmlformats.org/officeDocument/2006/relationships/customXmlProps" Target="itemProps7.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286A02-F802-4A40-9906-5974C623B22B}">
  <ds:schemaRefs>
    <ds:schemaRef ds:uri="http://schemas.microsoft.com/sharepoint/v3/contenttype/forms"/>
  </ds:schemaRefs>
</ds:datastoreItem>
</file>

<file path=customXml/itemProps2.xml><?xml version="1.0" encoding="utf-8"?>
<ds:datastoreItem xmlns:ds="http://schemas.openxmlformats.org/officeDocument/2006/customXml" ds:itemID="{9F4A9E47-2EAC-460E-A99C-E6304E1C588C}">
  <ds:schemaRefs>
    <ds:schemaRef ds:uri="http://schemas.openxmlformats.org/officeDocument/2006/bibliography"/>
  </ds:schemaRefs>
</ds:datastoreItem>
</file>

<file path=customXml/itemProps3.xml><?xml version="1.0" encoding="utf-8"?>
<ds:datastoreItem xmlns:ds="http://schemas.openxmlformats.org/officeDocument/2006/customXml" ds:itemID="{16203A6F-6C3C-4DAB-B0C8-333083DAE1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87BE7DDC-4AA1-46F4-BC99-D3A7A2B980D8}">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1AA19581-68A3-4930-8C51-096010547CFA}">
  <ds:schemaRefs>
    <ds:schemaRef ds:uri="http://schemas.openxmlformats.org/officeDocument/2006/bibliography"/>
  </ds:schemaRefs>
</ds:datastoreItem>
</file>

<file path=customXml/itemProps6.xml><?xml version="1.0" encoding="utf-8"?>
<ds:datastoreItem xmlns:ds="http://schemas.openxmlformats.org/officeDocument/2006/customXml" ds:itemID="{4FF18CEE-829D-4793-BDDB-7A703893BAE2}">
  <ds:schemaRefs>
    <ds:schemaRef ds:uri="http://schemas.openxmlformats.org/officeDocument/2006/bibliography"/>
  </ds:schemaRefs>
</ds:datastoreItem>
</file>

<file path=customXml/itemProps7.xml><?xml version="1.0" encoding="utf-8"?>
<ds:datastoreItem xmlns:ds="http://schemas.openxmlformats.org/officeDocument/2006/customXml" ds:itemID="{629BB19D-3F41-4EE9-BB9D-04EBD6BCC0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209</TotalTime>
  <Application>AlterOffice/3.4.0.8$Linux_X86_64 LibreOffice_project/8f3f3c847f0b8d6fea24e251d3d8ed4f23cbe23c</Application>
  <AppVersion>15.0000</AppVersion>
  <Pages>23</Pages>
  <Words>7541</Words>
  <Characters>53714</Characters>
  <CharactersWithSpaces>61004</CharactersWithSpaces>
  <Paragraphs>424</Paragraphs>
  <Company>УК ГидроОГК</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2026-09-10T08:11:00Z</dcterms:created>
  <dc:creator>Андреев Игорь Владимирович</dc:creator>
  <dc:description/>
  <dc:language>ru-RU</dc:language>
  <cp:lastModifiedBy/>
  <cp:lastPrinted>2016-12-15T13:00:00Z</cp:lastPrinted>
  <dcterms:modified xsi:type="dcterms:W3CDTF">2026-09-17T15:58:33Z</dcterms:modified>
  <cp:revision>12</cp:revision>
  <dc:subject/>
  <dc:title>Настоящая примерная форма договора возмездного оказания услуг применяется в том случае, если услуги оказываются поэтапно, расчеты предусматривают выплату аванса, с окончательным расчетом по факту оказания услуг</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ID">
    <vt:i4>0</vt:i4>
  </property>
  <property fmtid="{D5CDD505-2E9C-101B-9397-08002B2CF9AE}" pid="3" name="HyperlinksChanged">
    <vt:bool>0</vt:bool>
  </property>
  <property fmtid="{D5CDD505-2E9C-101B-9397-08002B2CF9AE}" pid="4" name="LinksUpToDate">
    <vt:bool>0</vt:bool>
  </property>
  <property fmtid="{D5CDD505-2E9C-101B-9397-08002B2CF9AE}" pid="5" name="ScaleCrop">
    <vt:bool>0</vt:bool>
  </property>
  <property fmtid="{D5CDD505-2E9C-101B-9397-08002B2CF9AE}" pid="6" name="ShareDoc">
    <vt:bool>0</vt:bool>
  </property>
</Properties>
</file>