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b/>
          <w:szCs w:val="26"/>
        </w:rPr>
      </w:pPr>
      <w:r>
        <w:rPr>
          <w:rStyle w:val="Style16"/>
          <w:rFonts w:eastAsia="Calibri"/>
          <w:b/>
          <w:bCs/>
          <w:i w:val="false"/>
          <w:iCs w:val="false"/>
          <w:sz w:val="28"/>
          <w:szCs w:val="28"/>
          <w:shd w:fill="auto" w:val="clear"/>
          <w:lang w:eastAsia="x-none"/>
        </w:rPr>
        <w:t xml:space="preserve">ОКПД2 42.22.22.120 </w:t>
      </w:r>
      <w:r>
        <w:rPr>
          <w:rStyle w:val="Style16"/>
          <w:rFonts w:eastAsia="Calibri"/>
          <w:b/>
          <w:bCs/>
          <w:i w:val="false"/>
          <w:iCs w:val="false"/>
          <w:sz w:val="28"/>
          <w:szCs w:val="28"/>
          <w:shd w:fill="auto" w:val="clear"/>
          <w:lang w:eastAsia="x-none"/>
        </w:rPr>
        <w:t>«</w:t>
      </w:r>
      <w:r>
        <w:rPr>
          <w:rStyle w:val="Style16"/>
          <w:rFonts w:eastAsia="Calibri"/>
          <w:b/>
          <w:bCs/>
          <w:i w:val="false"/>
          <w:iCs w:val="false"/>
          <w:sz w:val="28"/>
          <w:szCs w:val="26"/>
          <w:shd w:fill="auto" w:val="clear"/>
          <w:lang w:eastAsia="x-none"/>
        </w:rPr>
        <w:t>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сети»</w:t>
      </w:r>
      <w:r>
        <w:rPr>
          <w:rFonts w:eastAsia="Calibri"/>
          <w:b/>
          <w:i/>
          <w:sz w:val="26"/>
          <w:szCs w:val="26"/>
        </w:rPr>
        <w:t xml:space="preserve"> 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both"/>
        <w:rPr>
          <w:b/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</w:rPr>
          </w:pPr>
          <w:r>
            <w:fldChar w:fldCharType="begin"/>
          </w:r>
          <w:r>
            <w:rPr>
              <w:webHidden/>
              <w:vanish w:val="false"/>
            </w:rPr>
            <w:instrText> TOC \z \o "1-4" \u \h</w:instrText>
          </w:r>
          <w:r>
            <w:rPr>
              <w:webHidden/>
              <w:vanish w:val="false"/>
            </w:rPr>
            <w:fldChar w:fldCharType="separate"/>
          </w:r>
          <w:hyperlink w:anchor="_Toc54646395">
            <w:r>
              <w:rPr>
                <w:webHidden/>
                <w:vanish w:val="false"/>
              </w:rPr>
              <w:t>1.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/>
              <w:t>Общие сведения</w:t>
            </w:r>
            <w:r>
              <w:rPr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_Toc54646395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396">
            <w:r>
              <w:rPr>
                <w:webHidden/>
                <w:iCs/>
                <w:vanish w:val="false"/>
              </w:rPr>
              <w:t>1.1.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Обозначения и сокращения</w:t>
            </w:r>
            <w:r>
              <w:rPr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_Toc54646396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397">
            <w:r>
              <w:rPr>
                <w:webHidden/>
                <w:iCs/>
                <w:vanish w:val="false"/>
              </w:rPr>
              <w:t>1.2.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Наименование закупаемой продукции</w:t>
            </w:r>
            <w:r>
              <w:rPr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398">
            <w:r>
              <w:rPr>
                <w:webHidden/>
                <w:iCs/>
                <w:vanish w:val="false"/>
              </w:rPr>
              <w:t>1.3.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Цель выполнения работ</w:t>
            </w:r>
            <w:r>
              <w:rPr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399">
            <w:r>
              <w:rPr>
                <w:webHidden/>
                <w:iCs/>
                <w:vanish w:val="false"/>
              </w:rPr>
              <w:t>1.4.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Существующее положение</w:t>
            </w:r>
            <w:r>
              <w:rPr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17"/>
            <w:tabs>
              <w:tab w:val="clear" w:pos="708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</w:rPr>
          </w:pPr>
          <w:hyperlink w:anchor="_Toc54646400">
            <w:r>
              <w:rPr>
                <w:webHidden/>
                <w:vanish w:val="false"/>
              </w:rPr>
              <w:t>Таблица 1. Перечень объектов заказчика</w:t>
              <w:tab/>
            </w:r>
          </w:hyperlink>
          <w:r>
            <w:rPr/>
            <w:t>4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1">
            <w:r>
              <w:rPr>
                <w:webHidden/>
                <w:iCs/>
                <w:vanish w:val="false"/>
              </w:rPr>
              <w:t>1.5.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_Toc54646401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  <w:lang w:val="en-US"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2">
            <w:r>
              <w:rPr>
                <w:webHidden/>
                <w:iCs/>
                <w:vanish w:val="false"/>
              </w:rPr>
              <w:t>1.6.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Иные требования и сведения общего характера</w:t>
            </w:r>
            <w:r>
              <w:rPr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</w:rPr>
          </w:pPr>
          <w:hyperlink w:anchor="_Toc54646403">
            <w:r>
              <w:rPr>
                <w:webHidden/>
                <w:vanish w:val="false"/>
              </w:rPr>
              <w:t>2.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iCs/>
              </w:rPr>
              <w:t>Требования к продукции</w:t>
            </w:r>
            <w:r>
              <w:rPr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4">
            <w:r>
              <w:rPr>
                <w:webHidden/>
                <w:iCs/>
                <w:vanish w:val="false"/>
              </w:rPr>
              <w:t>2.1.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Требования к объемам и срокам выполнения работ</w:t>
            </w:r>
            <w:r>
              <w:rPr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35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5">
            <w:r>
              <w:rPr>
                <w:webHidden/>
                <w:vanish w:val="false"/>
              </w:rPr>
              <w:t>2.1.1.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Требования к видам и объемам работ</w:t>
            </w:r>
            <w:r>
              <w:rPr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17"/>
            <w:tabs>
              <w:tab w:val="clear" w:pos="708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</w:rPr>
          </w:pPr>
          <w:hyperlink w:anchor="_Toc54646406">
            <w:r>
              <w:rPr>
                <w:webHidden/>
                <w:vanish w:val="false"/>
              </w:rPr>
              <w:t>Таблица 2. Перечень и объем выполняемых работ</w:t>
              <w:tab/>
            </w:r>
          </w:hyperlink>
          <w:r>
            <w:rPr/>
            <w:t>4</w:t>
          </w:r>
        </w:p>
        <w:p>
          <w:pPr>
            <w:pStyle w:val="35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7">
            <w:r>
              <w:rPr>
                <w:webHidden/>
                <w:vanish w:val="false"/>
              </w:rPr>
              <w:t>2.1.2.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Требования к срокам выполнения работ</w:t>
            </w:r>
            <w:r>
              <w:rPr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17"/>
            <w:tabs>
              <w:tab w:val="clear" w:pos="708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</w:rPr>
          </w:pPr>
          <w:hyperlink w:anchor="_Toc54646408">
            <w:r>
              <w:rPr>
                <w:webHidden/>
                <w:vanish w:val="false"/>
              </w:rPr>
              <w:t>Таблица 3. Требования по срокам выполнения работ</w:t>
              <w:tab/>
            </w:r>
          </w:hyperlink>
          <w:r>
            <w:rPr/>
            <w:t>5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9">
            <w:r>
              <w:rPr>
                <w:webHidden/>
                <w:iCs/>
                <w:vanish w:val="false"/>
              </w:rPr>
              <w:t>2.2.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/>
              <w:t>Требования к качеству работ</w:t>
            </w:r>
            <w:r>
              <w:rPr>
                <w:vanish w:val="false"/>
              </w:rPr>
              <w:tab/>
            </w:r>
          </w:hyperlink>
          <w:r>
            <w:rPr/>
            <w:t>5</w:t>
          </w:r>
        </w:p>
        <w:p>
          <w:pPr>
            <w:pStyle w:val="17"/>
            <w:tabs>
              <w:tab w:val="clear" w:pos="708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</w:rPr>
          </w:pPr>
          <w:hyperlink w:anchor="_Toc54646410">
            <w:r>
              <w:rPr>
                <w:webHidden/>
                <w:vanish w:val="false"/>
              </w:rPr>
              <w:t>Таблица 4. Требования к качеству работ</w:t>
              <w:tab/>
            </w:r>
          </w:hyperlink>
          <w:r>
            <w:rPr/>
            <w:t>5</w:t>
          </w:r>
        </w:p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</w:rPr>
          </w:pPr>
          <w:hyperlink w:anchor="_Toc54646411">
            <w:r>
              <w:rPr>
                <w:webHidden/>
                <w:vanish w:val="false"/>
              </w:rPr>
              <w:t>3.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/>
              <w:t>Требования к документации по ценообразованию на этапе закупки</w:t>
            </w:r>
            <w:r>
              <w:rPr>
                <w:vanish w:val="false"/>
              </w:rPr>
              <w:tab/>
            </w:r>
          </w:hyperlink>
          <w:r>
            <w:rPr/>
            <w:t>19</w:t>
          </w:r>
        </w:p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</w:rPr>
          </w:pPr>
          <w:hyperlink w:anchor="_Toc54646412">
            <w:r>
              <w:rPr>
                <w:webHidden/>
                <w:vanish w:val="false"/>
              </w:rPr>
              <w:t>4.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/>
              <w:t>Требования к документации по ценообразованию на этапе заключения (исполнения) договора</w:t>
            </w:r>
            <w:r>
              <w:rPr>
                <w:vanish w:val="false"/>
              </w:rPr>
              <w:tab/>
            </w:r>
          </w:hyperlink>
          <w:r>
            <w:rPr/>
            <w:t>19</w:t>
          </w:r>
        </w:p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</w:rPr>
          </w:pPr>
          <w:hyperlink w:anchor="_Toc54646413">
            <w:r>
              <w:rPr>
                <w:webHidden/>
                <w:vanish w:val="false"/>
              </w:rPr>
              <w:t>5.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iCs/>
              </w:rPr>
              <w:t>Приложения</w:t>
            </w:r>
            <w:r>
              <w:rPr>
                <w:vanish w:val="false"/>
              </w:rPr>
              <w:tab/>
            </w:r>
          </w:hyperlink>
          <w:r>
            <w:rPr/>
            <w:t>19</w:t>
          </w:r>
          <w:r>
            <w:rPr/>
            <w:fldChar w:fldCharType="end"/>
          </w:r>
        </w:p>
        <w:p>
          <w:pPr>
            <w:sectPr>
              <w:headerReference w:type="default" r:id="rId2"/>
              <w:headerReference w:type="first" r:id="rId3"/>
              <w:type w:val="nextPage"/>
              <w:pgSz w:w="11906" w:h="16838"/>
              <w:pgMar w:left="851" w:right="851" w:header="680" w:top="737" w:footer="0" w:bottom="992" w:gutter="0"/>
              <w:pgNumType w:fmt="decimal"/>
              <w:formProt w:val="false"/>
              <w:titlePg/>
              <w:textDirection w:val="lrTb"/>
              <w:docGrid w:type="default" w:linePitch="381" w:charSpace="0"/>
            </w:sectPr>
          </w:pPr>
        </w:p>
      </w:sdtContent>
    </w:sdt>
    <w:p>
      <w:pPr>
        <w:pStyle w:val="1"/>
        <w:numPr>
          <w:ilvl w:val="0"/>
          <w:numId w:val="3"/>
        </w:numPr>
        <w:ind w:left="0" w:hanging="0"/>
        <w:rPr>
          <w:caps/>
        </w:rPr>
      </w:pPr>
      <w:bookmarkStart w:id="0" w:name="_Toc54646395"/>
      <w:bookmarkStart w:id="1" w:name="_Toc51339692"/>
      <w:r>
        <w:rPr/>
        <w:t>Общие сведения</w:t>
      </w:r>
      <w:bookmarkEnd w:id="0"/>
      <w:bookmarkEnd w:id="1"/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4"/>
        <w:numPr>
          <w:ilvl w:val="1"/>
          <w:numId w:val="3"/>
        </w:numPr>
        <w:ind w:left="0" w:firstLine="567"/>
        <w:rPr/>
      </w:pPr>
      <w:r>
        <w:rPr/>
        <w:t>Обозначения и сокращения, используемые в Технических требованиях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  <w:lang w:val="sah-RU"/>
        </w:rPr>
      </w:pPr>
      <w:r>
        <w:rPr>
          <w:bCs/>
          <w:color w:val="2D2D2D"/>
          <w:spacing w:val="2"/>
          <w:shd w:fill="FFFFFF" w:val="clear"/>
          <w:lang w:val="sah-RU"/>
        </w:rPr>
        <w:t>РФ – Российская Федерация;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  <w:lang w:val="sah-RU"/>
        </w:rPr>
      </w:pPr>
      <w:r>
        <w:rPr>
          <w:bCs/>
          <w:color w:val="2D2D2D"/>
          <w:spacing w:val="2"/>
          <w:shd w:fill="FFFFFF" w:val="clear"/>
          <w:lang w:val="sah-RU"/>
        </w:rPr>
        <w:t>РД – рабочая документация;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ТТ – технические требования;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</w:rPr>
      </w:pPr>
      <w:r>
        <w:rPr>
          <w:bCs/>
          <w:color w:val="2D2D2D"/>
          <w:spacing w:val="2"/>
          <w:shd w:fill="FFFFFF" w:val="clear"/>
          <w:lang w:val="sah-RU"/>
        </w:rPr>
        <w:t>ВЛ</w:t>
      </w:r>
      <w:r>
        <w:rPr>
          <w:bCs/>
          <w:color w:val="2D2D2D"/>
          <w:spacing w:val="2"/>
          <w:shd w:fill="FFFFFF" w:val="clear"/>
        </w:rPr>
        <w:t xml:space="preserve"> – воздушная линия;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</w:rPr>
      </w:pPr>
      <w:r>
        <w:rPr>
          <w:bCs/>
          <w:color w:val="2D2D2D"/>
          <w:spacing w:val="2"/>
          <w:shd w:fill="FFFFFF" w:val="clear"/>
        </w:rPr>
        <w:t>КЛ – кабельная линия;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</w:rPr>
      </w:pPr>
      <w:r>
        <w:rPr>
          <w:bCs/>
          <w:color w:val="2D2D2D"/>
          <w:spacing w:val="2"/>
          <w:shd w:fill="FFFFFF" w:val="clear"/>
        </w:rPr>
        <w:t>ЛЭП – линия электропередач;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</w:rPr>
      </w:pPr>
      <w:r>
        <w:rPr>
          <w:bCs/>
          <w:color w:val="2D2D2D"/>
          <w:spacing w:val="2"/>
          <w:shd w:fill="FFFFFF" w:val="clear"/>
        </w:rPr>
        <w:t>ПС – подстанция;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 xml:space="preserve">ТП - Трансформаторная подстанция / </w:t>
      </w:r>
      <w:r>
        <w:rPr>
          <w:lang w:val="sah-RU"/>
        </w:rPr>
        <w:t>трансформаторный пункт</w:t>
      </w:r>
      <w:r>
        <w:rPr>
          <w:color w:val="2D2D2D"/>
          <w:spacing w:val="2"/>
          <w:shd w:fill="FFFFFF" w:val="clear"/>
        </w:rPr>
        <w:t>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РТП – распределительный трансформаторный пункт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НТД – нормативно-техническая документация;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НПА – нормативно-правовой акт;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РЭС – районные электрические сети;</w:t>
      </w:r>
    </w:p>
    <w:p>
      <w:pPr>
        <w:pStyle w:val="NoSpacing"/>
        <w:ind w:left="-851" w:firstLine="851"/>
        <w:jc w:val="both"/>
        <w:rPr>
          <w:lang w:val="sah-RU"/>
        </w:rPr>
      </w:pPr>
      <w:r>
        <w:rPr>
          <w:spacing w:val="-1"/>
          <w:sz w:val="26"/>
          <w:szCs w:val="26"/>
        </w:rPr>
        <w:t xml:space="preserve">СП </w:t>
      </w:r>
      <w:r>
        <w:rPr>
          <w:bCs/>
          <w:color w:val="2D2D2D"/>
          <w:spacing w:val="2"/>
          <w:shd w:fill="FFFFFF" w:val="clear"/>
          <w:lang w:val="sah-RU"/>
        </w:rPr>
        <w:t>– струтурное подразделение филиала АО “ДРСК”;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ПУЭ – Правила устройства электроустановок;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ПОТЭЭУ – Правила по охране турда при эксплуатации электроустановок;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МО – Муниципальное образования;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ГОСТ - Государственный стандарт;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СНиП - Строительные нормы и правила;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СП – свод правил;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СРО – саморегулируемая организация;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кВ -  единица измерения напряжения киловольт;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кВт – единица измерения мощности киловатт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Ед.изм. – единица измерения;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Кол-во –  количество;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Шт. – единица измерения в штуках;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мм – единица измерения в миллиметрах;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см – единица измерения в сантиметрах;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тн - единица измерения в тоннах;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ЛОС – локальные очистные сооружения.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4"/>
        <w:numPr>
          <w:ilvl w:val="1"/>
          <w:numId w:val="3"/>
        </w:numPr>
        <w:ind w:left="0" w:hanging="0"/>
        <w:rPr/>
      </w:pPr>
      <w:bookmarkStart w:id="2" w:name="_Toc46743506"/>
      <w:bookmarkStart w:id="3" w:name="_Toc54646397"/>
      <w:r>
        <w:rPr/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16"/>
          <w:rFonts w:eastAsia="Calibri"/>
          <w:b w:val="false"/>
          <w:b w:val="false"/>
          <w:sz w:val="24"/>
          <w:szCs w:val="24"/>
          <w:shd w:fill="auto" w:val="clear"/>
          <w:lang w:eastAsia="x-none"/>
        </w:rPr>
      </w:pPr>
      <w:r>
        <w:rPr>
          <w:rStyle w:val="Style16"/>
          <w:rFonts w:eastAsia="Calibri"/>
          <w:b w:val="false"/>
          <w:i/>
          <w:sz w:val="24"/>
          <w:szCs w:val="24"/>
          <w:shd w:fill="auto" w:val="clear"/>
          <w:lang w:eastAsia="x-none"/>
        </w:rPr>
        <w:t>«Выполнение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сети»</w:t>
      </w:r>
    </w:p>
    <w:p>
      <w:pPr>
        <w:pStyle w:val="4"/>
        <w:numPr>
          <w:ilvl w:val="1"/>
          <w:numId w:val="3"/>
        </w:numPr>
        <w:ind w:left="0" w:hanging="0"/>
        <w:rPr>
          <w:rStyle w:val="Style16"/>
          <w:b/>
          <w:b/>
          <w:bCs w:val="false"/>
          <w:sz w:val="28"/>
          <w:szCs w:val="28"/>
          <w:lang w:val="ru-RU" w:eastAsia="ru-RU"/>
        </w:rPr>
      </w:pPr>
      <w:bookmarkStart w:id="4" w:name="_Toc54646398"/>
      <w:bookmarkStart w:id="5" w:name="_Toc46743507"/>
      <w:r>
        <w:rPr/>
        <w:t xml:space="preserve">Цель </w:t>
      </w:r>
      <w:bookmarkEnd w:id="5"/>
      <w:r>
        <w:rPr/>
        <w:t>выполнения работ</w:t>
      </w:r>
      <w:bookmarkEnd w:id="4"/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Монтаж линейной ячейки 35 кВ - 1 шт. и установка БСК 35 кВ - 1 шт. для обеспечения функционирования объекта.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Работы по настоящим техническим требованиям выполняются в рамках реализации инвестиционного проекта: ОКДП2 42.22.12.120. 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сети".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4"/>
        <w:numPr>
          <w:ilvl w:val="1"/>
          <w:numId w:val="3"/>
        </w:numPr>
        <w:ind w:left="0" w:firstLine="426"/>
        <w:rPr>
          <w:b w:val="false"/>
          <w:b w:val="false"/>
        </w:rPr>
      </w:pPr>
      <w:bookmarkStart w:id="6" w:name="_Toc54646399"/>
      <w:bookmarkStart w:id="7" w:name="_Toc46743508"/>
      <w:r>
        <w:rPr/>
        <w:t>Существующее положение</w:t>
      </w:r>
      <w:bookmarkEnd w:id="6"/>
      <w:bookmarkEnd w:id="7"/>
    </w:p>
    <w:p>
      <w:pPr>
        <w:pStyle w:val="Style49"/>
        <w:numPr>
          <w:ilvl w:val="0"/>
          <w:numId w:val="0"/>
        </w:numPr>
        <w:spacing w:lineRule="auto" w:line="240" w:before="0" w:after="0"/>
        <w:ind w:left="0" w:firstLine="426"/>
        <w:contextualSpacing/>
        <w:rPr>
          <w:sz w:val="24"/>
          <w:szCs w:val="24"/>
        </w:rPr>
      </w:pPr>
      <w:r>
        <w:rPr>
          <w:sz w:val="24"/>
          <w:szCs w:val="24"/>
        </w:rPr>
        <w:t>1.4.1. Вид деятельности – разработка рабочей документации и выполнение  строительно-монтажных работ по монтажу линейной ячейки 35 кВ и установкой БСК 35 кВ на  ПС 35/10 кВ «Пограничная».</w:t>
      </w:r>
    </w:p>
    <w:p>
      <w:pPr>
        <w:pStyle w:val="Style49"/>
        <w:numPr>
          <w:ilvl w:val="0"/>
          <w:numId w:val="0"/>
        </w:numPr>
        <w:spacing w:lineRule="auto" w:line="240" w:before="0" w:after="0"/>
        <w:ind w:left="0" w:firstLine="426"/>
        <w:contextualSpacing/>
        <w:rPr>
          <w:sz w:val="24"/>
          <w:szCs w:val="24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1.4.2. Строительно-монтажные работы </w:t>
      </w:r>
      <w:r>
        <w:rPr>
          <w:rFonts w:eastAsia="Times New Roman"/>
          <w:sz w:val="24"/>
          <w:szCs w:val="24"/>
          <w:lang w:eastAsia="ru-RU"/>
        </w:rPr>
        <w:t>производятся</w:t>
      </w:r>
      <w:r>
        <w:rPr>
          <w:rFonts w:eastAsia="Times New Roman"/>
          <w:bCs/>
          <w:sz w:val="24"/>
          <w:szCs w:val="24"/>
          <w:lang w:eastAsia="ru-RU"/>
        </w:rPr>
        <w:t xml:space="preserve"> в границах действующего объекта (подстанции) </w:t>
      </w:r>
      <w:r>
        <w:rPr>
          <w:rFonts w:eastAsia="Times New Roman"/>
          <w:sz w:val="24"/>
          <w:szCs w:val="24"/>
          <w:lang w:eastAsia="ru-RU"/>
        </w:rPr>
        <w:t xml:space="preserve">35/10 кВ, в охранной зоне и населенной местности. Во время выполнения работ Подрядчику необходимо проводить согласованные действия и мероприятия по всем видам работ в </w:t>
      </w:r>
      <w:bookmarkStart w:id="8" w:name="_GoBack"/>
      <w:bookmarkEnd w:id="8"/>
      <w:r>
        <w:rPr>
          <w:rFonts w:eastAsia="Times New Roman"/>
          <w:sz w:val="24"/>
          <w:szCs w:val="24"/>
          <w:lang w:eastAsia="ru-RU"/>
        </w:rPr>
        <w:t>соответствии с требованиями: Правила по охране труда при эксплуатации электроустановок от 15.12.2020г. № 903н, СНиП 12-01-2004 п.4, СНиП 12-03-2001. ч.1, СНиП 12-04-2002. ч.2, СНиП 3.02.01-87, СНиП 3.05.06-85.</w:t>
      </w:r>
    </w:p>
    <w:p>
      <w:pPr>
        <w:pStyle w:val="Normal"/>
        <w:tabs>
          <w:tab w:val="clear" w:pos="708"/>
          <w:tab w:val="left" w:pos="284" w:leader="none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ind w:left="0" w:firstLine="426"/>
        <w:jc w:val="both"/>
        <w:rPr>
          <w:b/>
          <w:b/>
          <w:sz w:val="24"/>
          <w:szCs w:val="24"/>
          <w:lang w:val="x-none"/>
        </w:rPr>
      </w:pPr>
      <w:bookmarkStart w:id="9" w:name="_Toc54643126"/>
      <w:r>
        <w:rPr>
          <w:b/>
          <w:sz w:val="24"/>
          <w:szCs w:val="24"/>
          <w:lang w:val="x-none"/>
        </w:rPr>
        <w:t xml:space="preserve">Таблица 1. Перечень объектов </w:t>
      </w:r>
      <w:bookmarkEnd w:id="9"/>
      <w:r>
        <w:rPr>
          <w:b/>
          <w:sz w:val="24"/>
          <w:szCs w:val="24"/>
          <w:lang w:val="x-none"/>
        </w:rPr>
        <w:t>заказчика</w:t>
      </w:r>
    </w:p>
    <w:tbl>
      <w:tblPr>
        <w:tblW w:w="104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2"/>
        <w:gridCol w:w="1993"/>
        <w:gridCol w:w="3404"/>
        <w:gridCol w:w="4535"/>
      </w:tblGrid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(место производства работ)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 (в отношении которого выполняются работы)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80" w:hRule="atLeast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ind w:left="360"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ind w:left="0" w:firstLine="567"/>
              <w:jc w:val="both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/>
                <w:i/>
              </w:rPr>
              <w:t>ПС 35/10 кВ Пограничная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Приморский край, </w:t>
            </w:r>
            <w:r>
              <w:rPr>
                <w:i/>
                <w:iCs/>
                <w:sz w:val="24"/>
                <w:szCs w:val="24"/>
              </w:rPr>
              <w:t>Пограничный район, пос. Пограничный, ул. Уссурийская, 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Ячейка 35 кВ</w:t>
            </w:r>
            <w:r>
              <w:rPr>
                <w:i/>
                <w:iCs/>
                <w:sz w:val="24"/>
                <w:szCs w:val="24"/>
              </w:rPr>
              <w:t>, инв. № присвоить.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680" w:hRule="atLeast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ind w:left="360"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ind w:left="0" w:firstLine="567"/>
              <w:jc w:val="both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/>
                <w:i/>
                <w:iCs/>
              </w:rPr>
              <w:t>ПС 35/10 кВ Пограничная</w:t>
            </w:r>
          </w:p>
        </w:tc>
        <w:tc>
          <w:tcPr>
            <w:tcW w:w="3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Приморский край, Пограничный район, пос. Пограничный, ул. Уссурийская, 25</w:t>
            </w:r>
          </w:p>
        </w:tc>
        <w:tc>
          <w:tcPr>
            <w:tcW w:w="4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БСК 35  кВ, инв. № присвоить.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2.</w:t>
        <w:tab/>
        <w:t>Требования к продукции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Таблица 2. Перечень и объем выполняемых работ</w:t>
      </w:r>
    </w:p>
    <w:tbl>
      <w:tblPr>
        <w:tblW w:w="1049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7"/>
        <w:gridCol w:w="3118"/>
        <w:gridCol w:w="6805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ind w:left="-107" w:right="-107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работ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ind w:left="-107" w:right="-107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7" w:right="-107" w:firstLine="567"/>
              <w:contextualSpacing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Разработка рабочей документации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Разработка рабочей документации по объекту «Выполнение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сети»</w:t>
            </w:r>
          </w:p>
        </w:tc>
      </w:tr>
      <w:tr>
        <w:trPr>
          <w:trHeight w:val="307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7" w:right="-107" w:firstLine="567"/>
              <w:contextualSpacing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Выполнение строительно-монтажных работ </w:t>
            </w:r>
          </w:p>
        </w:tc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 Мероприятия по монтажу линейной ячейки 35 кВ;</w:t>
            </w:r>
          </w:p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2. Мероприятия по монтажу БСК 35 кВ </w:t>
            </w:r>
          </w:p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Таблица 3. Требования по срокам выполнения работ</w:t>
      </w:r>
    </w:p>
    <w:tbl>
      <w:tblPr>
        <w:tblW w:w="10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7"/>
        <w:gridCol w:w="5816"/>
        <w:gridCol w:w="1845"/>
        <w:gridCol w:w="2125"/>
      </w:tblGrid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14" w:right="-107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57" w:right="57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4" w:right="-107" w:firstLine="56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4" w:right="-107" w:firstLine="567"/>
              <w:contextualSpacing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Разработка рабочей документации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В течении одного месяца с момента заключения договора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4" w:right="-107" w:firstLine="567"/>
              <w:contextualSpacing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2</w:t>
            </w:r>
          </w:p>
        </w:tc>
        <w:tc>
          <w:tcPr>
            <w:tcW w:w="5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Выполнение строительно-монтажных работ.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В течении шести месяцев с момента заключения договора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Таблица 4. Требования к качеству работ</w:t>
      </w:r>
    </w:p>
    <w:tbl>
      <w:tblPr>
        <w:tblStyle w:val="af"/>
        <w:tblW w:w="103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7"/>
        <w:gridCol w:w="2557"/>
        <w:gridCol w:w="2260"/>
        <w:gridCol w:w="2686"/>
        <w:gridCol w:w="2280"/>
      </w:tblGrid>
      <w:tr>
        <w:trPr/>
        <w:tc>
          <w:tcPr>
            <w:tcW w:w="55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5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26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96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5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86" w:type="dxa"/>
            <w:tcBorders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26" w:right="-24" w:firstLine="567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2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1.</w:t>
            </w:r>
          </w:p>
        </w:tc>
        <w:tc>
          <w:tcPr>
            <w:tcW w:w="48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выполнению работ 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48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</w:p>
        </w:tc>
        <w:tc>
          <w:tcPr>
            <w:tcW w:w="48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Разработка рабочей документации по объекту «Выполнение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сети»</w:t>
            </w:r>
          </w:p>
        </w:tc>
        <w:tc>
          <w:tcPr>
            <w:tcW w:w="268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11.2</w:t>
            </w:r>
          </w:p>
        </w:tc>
        <w:tc>
          <w:tcPr>
            <w:tcW w:w="4817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выполнения полного объема работ Подрядчик производит уборку рабочего места от посторонних предметов, механизмов, приспособлений, отходов. Подписывает акт приемки выполненных работ в эксплуатацию.</w:t>
            </w:r>
          </w:p>
        </w:tc>
        <w:tc>
          <w:tcPr>
            <w:tcW w:w="268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11.3</w:t>
            </w:r>
          </w:p>
        </w:tc>
        <w:tc>
          <w:tcPr>
            <w:tcW w:w="48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Материалы и оборудование, высвобождаемые после демонтажа, передаются Заказчику с оформлением акта передачи на склад базы Октябрьского РЭС СП ПЦЭС.</w:t>
            </w:r>
          </w:p>
        </w:tc>
        <w:tc>
          <w:tcPr>
            <w:tcW w:w="268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11.4</w:t>
            </w:r>
          </w:p>
        </w:tc>
        <w:tc>
          <w:tcPr>
            <w:tcW w:w="48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доставки материалов  – Приморский край, п.Липовцы, ул. Сосновая, 2Б</w:t>
            </w:r>
          </w:p>
        </w:tc>
        <w:tc>
          <w:tcPr>
            <w:tcW w:w="268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48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12.1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Подготовительные работы: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Выполнение организационно - технических мероприятий, обеспечивающих безопасное выполнение работ, назначение ответственного лица на объекте строительства, разработка проекта производства работ (ППР) и получение необходимых согласований с подачей заявки за 15 (пятнадцать) дней до начала выполнения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Согласование с заказчиком разработанного Подрядчиком графика производства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Заявка на вывод оборудования в ремонт подается Подрядчиком не позднее 10 дней до начала производства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Доставка техники к месту производства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Доставка оборудования и материалов на объект производства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176" w:firstLine="567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12.2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Строительно-монтажные работы выполнить в соответствии с согласованной Заказчиком рабочей документацией, в объёме данных технических требований.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176" w:firstLine="567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12.3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При разработке рабочей документации необходимо учитывать оборудование, закупленное и передаваемое подрядчику в виде давальческого оборудования в составе: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 Выключатель элегазовый баковый ВЭБ-35-12.5/1000 УХЛ1 — 1шт.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 Разъединитель трехполюсной 35 кВ РГП.2-35/1000УХЛ1 с приводами ПД-14-02,03УХЛ1 — 2 шт.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Место расположения оборудования, поставляемое заказчиком: Приморский край, г. Уссурийск, ул. Резервная, 22А, полигон.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Оборудование Заказчика, передается Подрядчику после визуального осмотра на обьекте с составлением акта передачи оборудования в монтаж.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Доставка на объект оборудования поставки Заказчика со склада осуществляется подрядчиком самостоятельно, собственными силами и средствами.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Адрес доставки: объект реконструкции в соответствии с табл. 1 настоящих ТТ.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Подрядчик в процессе выполнении строительно-монтажных работ на объекте обеспечивает строгое соблюдение требований, содержащихся в проектно-сметной документации на строительство объекта и Техническом задании к Договору, в требованиях технической и эксплуатационной документации заводов-изготовителей поставляемой продукции, национальных стандартах (ГОСТ Р), строительных нормах и правилах (СНиП), сводах правил по проектированию и строительству (СП), руководящих документах (РД), СанПин, технических регламентах, правилах по охране труда при эксплуатации электроустановок, правилах пожарной безопасности, правилах промышленной санитарии, правилах устройства электроустановок, а также иных обязательных к исполнению нормативных правовых актах органов государственной власти Российской Федерации и местного самоуправления, регламентирующих строительную деятельность: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Качество выполнения всех работ в соответствии с проектной документацией и действующими строительными нормами и техническими условиями;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Своевременное устранение недостатков и дефектов, выявленных при приемке работ и в течение гарантийного срока эксплуатации объекта.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Соблюдение при строительстве объекта необходимых мероприятий по технике безопасности, рациональному использованию территории, охране окружающей среды, зеленых насаждений и земли.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Отступления от проектных решений при выполнении строительно-монтажных работ возможны только после согласования с Заказчиком.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При работе в действующих электроустановках обязательное выполнение персоналом организации Подрядчика, за письменным указанием руководителя, оформление предоставления его работникам прав: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выдающего наряд, распоряжение;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ответственного производителя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производителя работ (наблюдающего);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члена бригады.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 Для выполнения работ по договору Подрядчик имеет право привлекать иных лиц (субподрядчиков), для чего Подрядчик обязан: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Согласовать с Заказчиком субподрядчика, условия договора субподряда, устанавливающие сроки выполнения работ субподрядчиком, а также порядок расчетов Подрядчика с субподрядчиком;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Письменно предоставить перечень субподрядных организаций с указанием полных юридических и фактических адресов, привлекаемых на выполнение работ, подтвердить право ведения этих работ заверенными копиями СРО субподрядных организаций.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 Заказчик вправе потребовать от Подрядчика замены субподрядчиков с мотивированным обоснованием такого требования, но независимо от этой полной ответственности перед Заказчиком за сроки и качество выполняемых субподрядчиками работ, а также иную ответственность за действия субподрядчиков, как и за свои собственные действия по исполнению договора подряда несет Подрядчик.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 Подрядчик несет ответственность за правильную и надлежащую разметку объекта по отношению к первичным точкам, линиям и уровням, правильность положения уровней, размеров и сносности. Допущенные ошибки в производстве этих работ Подрядчик исправляет за свой счет.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 Подрядчик возводит все временные сооружения собственными силами за счет средств, предусмотренных на эти цели в сводном сметном расчете, и в соответствии с проектом организации строительства (ПОС).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8. Подрядчик осуществляет в установленном порядке присоединения вновь построенных коммуникаций в точках подключения в соответствии с проектом. Точки и условия присоединения согласовывает Заказчик.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9. Подрядчик самостоятельно обеспечивает вынос реперов геодезической разбивочной основы под строительство с оформлением актов в соответствии с требованиями нормативных документов по строительству, с участием ответственных представителей Заказчика и Подрядчика СМР.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10. Производство геодезических работ в процессе строительства, геодезический контроль точности геометрических параметров возводимых зданий и сооружений входит в обязанности Подрядчика.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11. В процессе проведения строительных работ и после их завершения, собственными силами и в счет договорной цены Подрядчик обеспечивает соблюдение требований СП 48.13330.2019, ГОСТ Р 59053-2020, ГОСТ Р 59061-2020 по охране окружающей среды.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12. Заказчик вправе вносить обоснованные изменения в объем работ, которые, по его мнению, необходимы для улучшения технических и эксплуатационных характеристик объекта, если данные работы еще не выполнены Подрядчиком и не противоречат проектной документации, или не требуют изменения проекта, которые согласованы в порядке, установленном нормативными актами.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 может дать письменное распоряжение, обязательное для Подрядчика, с указанием: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 xml:space="preserve">увеличить или сократить объем любой работы, включенной в Договор;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 xml:space="preserve">исключить любую работу;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изменить характер или качество, или вид любой части работы;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выполнить дополнительную работу любого характера, необходимую для завершения строительства объекта.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если такое изменение не влечет за собой изменение общей стоимости договора, то данные изменения оформляются дополнительным соглашением.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если такое изменение влечет за собой существенное изменение условий договора (сроков выполнения работ, увеличение общей стоимости договора) вследствие увеличения стоимости оборудования, материалов, то Подрядчик приступает к его исполнению только после оформления надлежащим образом.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176" w:firstLine="567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13</w:t>
            </w:r>
          </w:p>
        </w:tc>
        <w:tc>
          <w:tcPr>
            <w:tcW w:w="48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13.1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технические требования к материалам поставки подрядчика: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Поставка оборудования и материалов, за исключением оборудования поставки Заказчика, осуществляется Подрядчиком в соответствии с опросными листами и заказными спецификациями, разработанными в составе рабочей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Упаковка, транспортировка, условия и сроки хранения. Продукция поставляется в оригинальной заводской упаковке, гарантирующей ее сохранность при транспортировке, перевалке, выгрузке средствами механизации и вручную.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изготовителя изделия, железобетонные изделия произведённые в соответствии с серией 3.407.1-157. Порядок отгрузки, специальные требования к таре и упаковке должны быть определены в договоре на поставку материалов.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Стоимость оборудования и материалов включает стоимость доставки и погрузо-разгрузочные работы на складе или объекте (в соответствии с договором) получателя, а также затраты на транспортировку, разгрузку и такелаж на объекте.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несет полную ответственность за обеспечение хранения оборудования и материалов в соответствии с требованиями завода-изготовителя, их осмотр. По требованию Заказчика обеспечивает ему допуск к материалам для их осмотра.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 Общие технические требования к поставляемой продукции: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и её комплектующие должны быть новой, не ранее 2026 г. выпуска, не использованной ранее. Все материалы должны приобретаться непосредственно у производителей или официальных дилеров, имеющих подтвержденные полномочия.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до заключения договоров поставки конструкций и материалов письменно согласовывает производителя, тип и марку оборудования с Заказчиком.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Поставляемая Подрядчиком продукция должная соответствовать содержанию спецификаций, определенных проектом, включая указания производителя продукции. Тип и состав оборудования и материалов, закупаемых Подрядчиком, может быть изменен только в случае предварительного согласования с Заказчиком.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 Состав технической и эксплуатационной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Поставляемая Подрядчиком продукция должна сопровождаться технической документацией (технический паспорт завода–изготовителя, инструкция по эксплуатации и монтажу, протоколы испытаний, свидетельства о поверке и т.п.) на русском языке, подготовленной в соответствии с ГОСТ 27300-87 и подтверждаться сертификатами качества, сертификатами соответствия, сертификатами безопасности, пожарными сертификатами, гарантийными свидетельствами заводов-изготовителей.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Документация предоставляется Заказчику в двух экземплярах - на бумажном носителе, в одном экземпляре - в электронном виде в формате PDF.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 Сроки и очередность поставки материалов.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Поставка оборудования и материалов должна быть выполнена согласно графику поставки материалов, утвержденному Заказчиком и являющимся неотъемлемой частью договора на поставку. Изменение сроков поставки оборудования возможно по согласованию с Заказчиком.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 Используемые Подрядчиком оборудование, материалы и конструкции должны иметь предусмотренные действующими нормативами сертификаты качества или паспорта.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Надлежаще заверенные копии этих сертификатов, технических паспортов и результатов испытаний должны быть предоставлены Заказчику до начала производства работ, выполняемых с использованием этих материалов и конструкций.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использовании аналогичных (эквивалентных) материалов, (изделий, материалов, комплектующих и оборудования) они должны соответствовать техническим и функциональным требованиям и характеристикам, указанным в проектной документации. Замена используемых строительных и отделочных материалов, конструкций, цветовой гаммы на аналог, подлежит согласованию с Заказчиком в письменном виде.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176" w:firstLine="567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13.2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Наличие минимально необходимых для исполнения договора материально-технических ресурсов (далее - МТР) на праве собственности и/или аренды или ином законном праве владения техники и оснастки в объёме достаточном для обеспечения выполнения работ в сроки, оговоренные данными ТТ.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/>
                <w:b/>
                <w:sz w:val="24"/>
                <w:szCs w:val="24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0" w:right="-107" w:firstLine="567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Соответствие установленному требованию подтверждается путем предоставления участником закупки в составе заявки «Справки о материально-технических ресурсах», оформленной по форме, приведенной в Документации о закупке, с обязательным приложением копий подтверждающих документов (полный перечень прикладываемых документов определяется Участником самостоятельно из представленного ниже перечня).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 В случае наличия МТР на правах собственности: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-паспорт транспортного средства (ПТС);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на машины, подлежащие регистрации в органах государственного надзора за техническим состоянием самоходных машин и других видов техники в Российской Федерации – паспорт самоходной машины (ПСМ).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2. В случае отсутствия собственных МТР Участник должен представить копии документов: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а) договор аренды с предоставлением копий ПТС/ПСМ или договор на оказание услуг машин и механизмов,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-107" w:firstLine="567"/>
              <w:jc w:val="left"/>
              <w:outlineLvl w:val="2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б) иные документы, подтверждающие законное право владения/распоряжения.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14</w:t>
            </w:r>
          </w:p>
        </w:tc>
        <w:tc>
          <w:tcPr>
            <w:tcW w:w="48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14.1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технической и эксплуатационной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Поставляемая Подрядчиком продукция должна сопровождаться технической документацией (технический паспорт завода–изготовителя, инструкция по эксплуатации и монтажу, протоколы испытаний, свидетельства о поверке и т.п.) на русском языке, подготовленной в соответствии с ГОСТ Р 59853-2021 «Информационные технологии. Комплекс стандартов на автоматизированные системы»,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систем», ГОСТ 27300-87 «Информационно-измерительные системы. общие требования комплектность и правила составления эксплуатационной документации, ГОСТ 2.601-2019 Единая система конструкторской документации. Эксплуатационные документы», и подтверждаться сертификатами качества, сертификатами соответствия, сертификатами безопасности, пожарными сертификатами, гарантийными свидетельствами заводов-изготовителей.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Документация предоставляется Заказчику в двух экземплярах - на бумажном носителе, в одном экземпляре - в электронном виде в формате PDF.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-107" w:firstLine="567"/>
              <w:jc w:val="left"/>
              <w:outlineLvl w:val="2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14.2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Контроль выполнения работ производится представителями Заказчика и/или лицом, осуществляющим технический надзор на строительной площадке, назначенными приказом по филиалу АО «ДРСК» «ПЭС». Контролируются: сроки выполнения работ, качество, объёмы, технология и номенклатура работ, обеспечение безопасных условий труда, сохранности оборудования, сооружений и устройств.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Представителям Заказчика должен быть обеспечен беспрепятственный доступ на строительную площадку в течение всего периода производства работ. Указания технического надзора Заказчика являются обязательными и подлежат беспрекословному выполнению.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При нарушении технологии производства работ, отступлений от проекта, ППР, требований ТУ, применении материалов, не соответствующих ГОСТам и ТУ, работы прекращаются по указанию лица, осуществляющего технический надзор, и устанавливается срок устранения нарушения.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-107" w:firstLine="567"/>
              <w:jc w:val="left"/>
              <w:outlineLvl w:val="2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15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15.1</w:t>
            </w:r>
          </w:p>
        </w:tc>
        <w:tc>
          <w:tcPr>
            <w:tcW w:w="48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Работы производятся в действующих электроустановках, вследствие чего Подрядчику необходимо проводить согласованные действия и мероприятия по охране труда согласно требованиям правил по охране труда при эксплуатации электроустановок, утвержденные приказом Министерства труда и социальной защиты РФ от 15 декабря 2020 г. № 903н, зарегистрированные в Минюсте 30.12.2020 г. № 61957; приказ №1013 Минэнерго России от 25.10.2017 «Правила организации технического обслуживания и ремонта объектов электроэнергетики», а также по постановлению правительства РФ от 24.02.2009г. № 160 «Правила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Предоставление участником закупки в составе заявки «Справки о кадровых ресурсах», оформленной по форме, приведенной в Документации о закупке, с обязательным приложением копий документов, подтверждающих наличие и квалификацию персонала (заверенные Участником копии удостоверений на допуск к работе в электроустановках с записями результатов проверки знаний на персонал.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15.2</w:t>
            </w:r>
          </w:p>
        </w:tc>
        <w:tc>
          <w:tcPr>
            <w:tcW w:w="48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Подрядчик создает условия для размещения своего персонала на объекте,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на правах командированного персонала.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Наличие достаточного для выполнения работ количества персонала для работ выполняемых в действующих электроустановках, имеющего допуск к самостоятельным работам в электроустановках с наличием групп по электробезопасности включая право выдачи нарядов.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176" w:firstLine="567"/>
              <w:jc w:val="left"/>
              <w:rPr>
                <w:i/>
                <w:i/>
                <w:color w:val="000000"/>
                <w:sz w:val="24"/>
                <w:szCs w:val="24"/>
                <w:shd w:fill="EEEEEE" w:val="clear"/>
              </w:rPr>
            </w:pPr>
            <w:r>
              <w:rPr>
                <w:i/>
                <w:color w:val="000000"/>
                <w:sz w:val="24"/>
                <w:szCs w:val="24"/>
                <w:shd w:fill="EEEEEE" w:val="clear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b/>
                <w:b/>
                <w:sz w:val="20"/>
                <w:szCs w:val="20"/>
                <w:shd w:fill="EEEEEE" w:val="clear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shd w:fill="EEEEEE" w:val="clear"/>
                <w:lang w:val="ru-RU" w:eastAsia="ru-RU" w:bidi="ar-SA"/>
              </w:rPr>
              <w:t>16.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  <w:shd w:fill="EEEEEE" w:val="clear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shd w:fill="EEEEEE" w:val="clear"/>
                <w:lang w:val="ru-RU" w:eastAsia="ru-RU" w:bidi="ar-SA"/>
              </w:rPr>
              <w:t>Требование к опыту выполнения аналогичных профилю лота работ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sz w:val="24"/>
                <w:szCs w:val="24"/>
                <w:shd w:fill="EEEEEE" w:val="clear"/>
              </w:rPr>
            </w:pPr>
            <w:r>
              <w:rPr>
                <w:sz w:val="24"/>
                <w:szCs w:val="24"/>
                <w:shd w:fill="EEEEEE" w:val="clear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176" w:firstLine="567"/>
              <w:jc w:val="left"/>
              <w:rPr>
                <w:b/>
                <w:b/>
                <w:sz w:val="24"/>
                <w:szCs w:val="24"/>
                <w:shd w:fill="EEEEEE" w:val="clear"/>
              </w:rPr>
            </w:pPr>
            <w:r>
              <w:rPr>
                <w:b/>
                <w:sz w:val="24"/>
                <w:szCs w:val="24"/>
                <w:shd w:fill="EEEEEE" w:val="clear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16.1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Наличие у Участника опыта выполнения аналогичных профилю лота работ</w:t>
            </w:r>
            <w:r>
              <w:rPr>
                <w:rFonts w:eastAsia="Arial Unicode MS" w:cs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(Аналогичными работами считаются</w:t>
            </w:r>
            <w:r>
              <w:rPr>
                <w:rFonts w:eastAsia="Arial Unicode MS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– </w:t>
            </w:r>
            <w:r>
              <w:rPr>
                <w:rFonts w:eastAsia="Arial Unicode MS" w:cs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ремонт, реконструкция ЗиС) за последние 2 года, предшествующие дате подачи заявок Участников на участие в настоящей закупочной процедуре.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Данные сведения указываются участником закупки в составе заявки по форме «Справка об опыте Участника», приведенной в Документации о закупке, с приложением скан-копий договоров, либо их частей (с приложением документов, предусмотренных требованиями договора, подтверждающий факт его исполнения, подписанных с обеих сторон), подтверждающие предоставленные в форме данные.</w:t>
            </w:r>
          </w:p>
        </w:tc>
      </w:tr>
      <w:tr>
        <w:trPr>
          <w:trHeight w:val="361" w:hRule="atLeast"/>
        </w:trPr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48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9" w:right="-107" w:firstLine="56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17.1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Работы необходимо выполнять в соответствии с действующими государственными нормами, правилами, техническими регламентами: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Правила технической эксплуатации электрических станций и сетей РФ;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СНиП 12-01-2004 «Организация строительства»;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ГОСТ Р 59053-2020 «Охрана окружающей среды. Охрана и рациональное использование вод. Термины и определения»;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ГОСТ Р 59061-2020 «Охрана окружающей среды. Загрязнение атмосферного воздуха. Термины и определения»;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Правила противопожарного режима в РФ, утвержденные Постановлением Правительства РФ от 16.09.2020 №1479 «О противопожарном режиме».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17.2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Обеспечить выполнение требований Правил по охране труда при эксплуатации электроустановок (Приказ от 15 декабря 2021 № </w:t>
            </w: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903н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 – в ред. Приказа о Минтруде России от 19.02.2016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N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 74н) в части организации допуска работников монтажной организации к работам в электроустановках АО «ДРСК» в качестве командированного персонала.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17.3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Обеспечение Подрядчиком внутреннего строительного контроля в соответствие с требованиями Постановления Правительства РФ от 21.06.2010 № 468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28.1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обеспечивает выполнение работ в срок в соответствии с утверждённым договором графиком, по согласованной рабочей документации на строительство объекта в рамках данных технических требований с соблюдением действующих нормативно-технических документов регламентирующих строительную деятельность.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29.1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выполнении строительно-монтажных работ Подрядчиком обеспечивается выполнение, мероприятий, согласно Положения о проведении строительного контроля при осуществлении строительства, технического перевооружения и капитального ремонта объектов капитального строительства, утвержденным Постановлением Правительства Российской Федерации от 21.06.2010 № 468.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29.2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Представителям Заказчика должен быть обеспечен беспрепятственный доступ на строительную площадку в течение всего периода производства работ. Указания технического надзора Заказчика являются обязательными и подлежат беспрекословному выполнению.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29.3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обнаружении факта нарушений технологии производства работ, отступлений от проекта, ППР, требований ТУ, применении материалов, не соответствующих ГОСТам и ТУ, работы прекращаются по указанию лица, осуществляющего технический надзор, и устанавливается срок устранения нарушения.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29.4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 письменно уведомлять Заказчика о необходимости проведения освидетельствования и / или приемки Скрытых работ. Указанное уведомление должно быть получено Заказчиком заблаговременно, но не позднее, чем за 5 (пять) рабочих дней до начала освидетельствования. В случае если Подрядчиком произведено закрытие Скрытых работ без их освидетельствования представителем Заказчика, то Подрядчик, по указанию Заказчика, обязан открыть любую часть Скрытых работ для их освидетельствования, а затем произвести всю необходимую восстановительную работу за свой счет, за исключением случаев, когда освидетельствование не было произведено ввиду неявки представителя Заказчика, надлежащим образом уведомленного о месте и времени проведения освидетельствования и/или приемки Скрытых работ.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29.5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завершении выполнения работ, Подрядчик в течение 5 (пяти) рабочих дней представляет Заказчику подписанный со своей стороны в 2 (двух) экземплярах Акт освидетельствования выполненных работ по форме Приложения № 8 к проекту Договора, с приложением Приемо-сдаточной и Исполнительной документации в 3 (трех) экземплярах.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8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29.6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Актам освидетельствования выполненных работ подрядной организацией прилагается комплект исполнительно-технической документации на предъявленные к приемке работы (акты на скрытые работы, исполнительные схемы, протоколы РЗА, паспорта на оборудование и конструкции, сертификаты соответствия на материалы, наряды допуска персонала подрядчика/субподрядчика, уведомления о допуске персонала с приложением его согласия на обработку персональных данных, копий приказов о приёме на работу или иных документов, подтверждающих договорные отношения персонала с Подрядчиком, уведомления о допуске техники с указанием гос. регистрационных номеров с приложением копий ПТС и ПСМ, либо копий документов, подтверждающих право аренды техники или владение ей на ином законном основании, информация о вводном и первичном инструктажах работников подрядчика/субподрядчика и т.п.) и фотоотчёт (с указанием даты съемки) фиксирующий процесс работ и техники контрагента, подтверждающий фактическое исполнение по представленным для приемки выполненным работам.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Согласие с требованием 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29.7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законченного строительством (реконструкцией) объекта осуществляется назначаемой Заказчиком приемочной комиссией в течение 10 дней с момента письменного уведомления Подрядчика о готовности объекта и оформляется «Актом приемки законченного строительством объекта» (КС-11).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29.8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при предъявлении законченного строительством объекта приемочной комиссии предоставляет оформленный надлежащим образом полный пакет исполнительно-технической документации в составе: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комплект согласованной Заказчиком рабочей документации на проведение работ, предусмотренный договором подряда, с надписями о соответствии выполненных работ этой документации или внесенными в них изменениями, и подписями (заверенными печатью Подрядной организации), сделанными лицами, ответственными за производство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технические условия, инструкции, сертификаты, технические паспорта и другие документы, удостоверяющие качество оборудования, материалов, конструкций и деталей, примененных при производстве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акты об освидетельствовании скрытых работ и акты о промежуточной приемке отдельных ответственных конструкций; акты об индивидуальных и комплексных испытаниях смонтированного оборудования;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общий журнал работ, исполнительные съемки, другая документация, предусмотренная нормативными документами;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Обязательства подрядной организацией считаются выполненными после предоставления Заказчику полного пакета исполнительно-технической документации, предусмотренной действующими нормами.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Исполнительная документация оформляется в 3 экземплярах: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 экземпляр передается во Октябрьский РЭС структурного подразделения «Центральные ЭС» филиала «ПЭС»;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 экземпляр в структурное подразделение «Центральные ЭС» филиала «ПЭС» по акту приемки-передачи;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 экземпляр в отдел организации строительства, технического надзора и управления инвестициями филиала АО «ДРСК» «ПЭС» с подтверждающим документом, отражающим факт приемки исполнительной документации СП и ОРЭС.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48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310.1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стандартизации продукции: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Поставляемая продукция должна соответствовать требованиям действующих на территории Российской федерации стандартов, ГОСТ и ТУ. Материалы должны соответствовать требованиям «Правил устройства электроустановок» (ПУЭ) (действующие издания) и требованиям стандартов МЭК и ГОСТ, в т.ч. ГОСТ 15543.1-89 «Изделия электротехнические. Общие требования в части стойкости к климатическим внешним воздействующим факторам».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310.2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НТД: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если какой-либо из указанных в настоящих технических требованиях нормативный документ был отменен в связи с выпуском новой редакции стандарта, то Подрядчику необходимо применять ГОСТ или нормативный документ, действующий на момент производства работ.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4.</w:t>
            </w:r>
          </w:p>
        </w:tc>
        <w:tc>
          <w:tcPr>
            <w:tcW w:w="48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w="11906" w:h="16838"/>
          <w:pgMar w:left="851" w:right="851" w:header="680" w:top="737" w:footer="0" w:bottom="992" w:gutter="0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1"/>
        <w:keepLines/>
        <w:numPr>
          <w:ilvl w:val="0"/>
          <w:numId w:val="0"/>
        </w:numPr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8275" w:leader="none"/>
        </w:tabs>
        <w:spacing w:before="0" w:after="0"/>
        <w:ind w:firstLine="499"/>
        <w:contextualSpacing/>
        <w:jc w:val="both"/>
        <w:rPr>
          <w:b/>
          <w:b/>
          <w:i/>
          <w:i/>
          <w:iCs/>
          <w:sz w:val="26"/>
          <w:szCs w:val="26"/>
        </w:rPr>
      </w:pPr>
      <w:r>
        <w:rPr>
          <w:b/>
          <w:i/>
          <w:iCs/>
          <w:sz w:val="26"/>
          <w:szCs w:val="26"/>
        </w:rPr>
        <w:t xml:space="preserve">                                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sz w:val="24"/>
          <w:szCs w:val="24"/>
        </w:rPr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851" w:header="680" w:top="1134" w:footer="0" w:bottom="992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charset w:val="01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19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21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  <w:sz w:val="24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umentProtection w:edit="readOnly" w:cryptProviderType="rsaAES" w:cryptAlgorithmClass="hash" w:cryptAlgorithmType="typeAny" w:cryptAlgorithmSid="" w:cryptSpinCount="0" w:hash="" w:salt=""/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autoRedefine/>
    <w:qFormat/>
    <w:rsid w:val="00556ae7"/>
    <w:pPr>
      <w:keepNext w:val="true"/>
      <w:ind w:left="0" w:firstLine="567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qFormat/>
    <w:rsid w:val="00d561d9"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556ae7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qFormat/>
    <w:locked/>
    <w:rsid w:val="00d22f6d"/>
    <w:rPr>
      <w:sz w:val="28"/>
    </w:rPr>
  </w:style>
  <w:style w:type="character" w:styleId="Style13" w:customStyle="1">
    <w:name w:val="Текст сноски Знак"/>
    <w:uiPriority w:val="99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b/>
      <w:i/>
      <w:shd w:fill="FFFF99" w:val="clear"/>
    </w:rPr>
  </w:style>
  <w:style w:type="character" w:styleId="Style17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>
    <w:name w:val="Символ концевой сноски"/>
    <w:qFormat/>
    <w:rsid w:val="003879d4"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3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23">
    <w:name w:val="Ссылка указателя"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25">
    <w:name w:val="Body Text"/>
    <w:basedOn w:val="Normal"/>
    <w:link w:val="Style6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both"/>
    </w:pPr>
    <w:rPr/>
  </w:style>
  <w:style w:type="paragraph" w:styleId="Style32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5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6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7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5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8" w:customStyle="1">
    <w:name w:val="Раздел регламента"/>
    <w:basedOn w:val="Normal"/>
    <w:qFormat/>
    <w:rsid w:val="00e228fa"/>
    <w:pPr/>
    <w:rPr/>
  </w:style>
  <w:style w:type="paragraph" w:styleId="Style3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1">
    <w:name w:val="Subtitle"/>
    <w:basedOn w:val="Normal"/>
    <w:next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-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2">
    <w:name w:val="Index Heading"/>
    <w:basedOn w:val="Style24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rsid w:val="00d22f6d"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7"/>
    <w:link w:val="Style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9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link w:val="31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1">
    <w:name w:val="Endnote Text"/>
    <w:basedOn w:val="Normal"/>
    <w:link w:val="Style11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5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3">
    <w:name w:val="Содержимое врезки"/>
    <w:basedOn w:val="Normal"/>
    <w:qFormat/>
    <w:pPr/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5F1AC-33DE-4A03-8C0F-59AB2643E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Application>LibreOffice/7.1.8.1$Linux_X86_64 LibreOffice_project/10$Build-1</Application>
  <AppVersion>15.0000</AppVersion>
  <Pages>20</Pages>
  <Words>3809</Words>
  <Characters>27310</Characters>
  <CharactersWithSpaces>30873</CharactersWithSpaces>
  <Paragraphs>326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2023-06-14T05:24:00Z</dcterms:created>
  <dc:creator>Елькин А.Ю.</dc:creator>
  <dc:description/>
  <dc:language>ru-RU</dc:language>
  <cp:lastModifiedBy/>
  <cp:lastPrinted>2006-07-26T14:04:00Z</cp:lastPrinted>
  <dcterms:modified xsi:type="dcterms:W3CDTF">2026-09-24T13:50:41Z</dcterms:modified>
  <cp:revision>46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