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1.xml" ContentType="application/vnd.openxmlformats-officedocument.wordprocessingml.header+xml"/>
  <Override PartName="/word/header8.xml" ContentType="application/vnd.openxmlformats-officedocument.wordprocessingml.header+xml"/>
  <Override PartName="/word/header10.xml" ContentType="application/vnd.openxmlformats-officedocument.wordprocessingml.header+xml"/>
  <Override PartName="/word/header7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5.xml" ContentType="application/vnd.openxmlformats-officedocument.wordprocessingml.header+xml"/>
  <Override PartName="/word/header14.xml" ContentType="application/vnd.openxmlformats-officedocument.wordprocessingml.header+xml"/>
  <Override PartName="/word/header13.xml" ContentType="application/vnd.openxmlformats-officedocument.wordprocessingml.header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выполнение работ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«ОКПД2 </w:t>
      </w:r>
      <w:r>
        <w:rPr>
          <w:rStyle w:val="Strong"/>
          <w:rFonts w:eastAsia="Calibri"/>
          <w:sz w:val="26"/>
          <w:szCs w:val="26"/>
        </w:rPr>
        <w:t>62.01.12.</w:t>
      </w:r>
      <w:r>
        <w:rPr>
          <w:rStyle w:val="Strong"/>
          <w:rFonts w:eastAsia="Calibri"/>
          <w:sz w:val="26"/>
          <w:szCs w:val="26"/>
        </w:rPr>
        <w:t>000</w:t>
      </w:r>
      <w:r>
        <w:rPr>
          <w:rFonts w:eastAsia="Calibri"/>
          <w:b/>
          <w:sz w:val="26"/>
          <w:szCs w:val="26"/>
        </w:rPr>
        <w:t xml:space="preserve"> Разработка проектного решения для единой системы управления жизненным циклом средств криптографической защиты информации, приобретение и внедрение ПО для повышения информационной безопасности в рамках выполнения инвестиционного проекта»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  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  <w:rFonts w:eastAsia="Calibri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  <w:rFonts w:eastAsia="Calibri"/>
            </w:rPr>
            <w:fldChar w:fldCharType="separate"/>
          </w:r>
          <w:hyperlink w:anchor="_Toc240982849">
            <w:r>
              <w:rPr>
                <w:webHidden/>
                <w:rStyle w:val="Style14"/>
                <w:rFonts w:eastAsia="Calibri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_Toc240982849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0">
            <w:r>
              <w:rPr>
                <w:webHidden/>
                <w:rStyle w:val="Style14"/>
                <w:rFonts w:eastAsia="Calibri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1">
            <w:r>
              <w:rPr>
                <w:webHidden/>
                <w:rStyle w:val="Style14"/>
                <w:rFonts w:eastAsia="Calibri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2">
            <w:r>
              <w:rPr>
                <w:webHidden/>
                <w:rStyle w:val="Style14"/>
                <w:rFonts w:eastAsia="Calibri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Цель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3">
            <w:r>
              <w:rPr>
                <w:webHidden/>
                <w:rStyle w:val="Style14"/>
                <w:rFonts w:eastAsia="Calibri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4">
            <w:r>
              <w:rPr>
                <w:webHidden/>
                <w:rStyle w:val="Style14"/>
                <w:rFonts w:eastAsia="Calibri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5">
            <w:r>
              <w:rPr>
                <w:webHidden/>
                <w:rStyle w:val="Style14"/>
                <w:rFonts w:eastAsia="Calibri"/>
                <w:iCs/>
                <w:vanish w:val="false"/>
              </w:rPr>
              <w:t>1.6.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82856">
            <w:r>
              <w:rPr>
                <w:webHidden/>
                <w:rStyle w:val="Style14"/>
                <w:rFonts w:eastAsia="Calibri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7">
            <w:r>
              <w:rPr>
                <w:webHidden/>
                <w:rStyle w:val="Style14"/>
                <w:rFonts w:eastAsia="Calibri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объемам и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8">
            <w:r>
              <w:rPr>
                <w:webHidden/>
                <w:rStyle w:val="Style14"/>
                <w:rFonts w:eastAsia="Calibri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видам и объемам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59">
            <w:r>
              <w:rPr>
                <w:webHidden/>
                <w:rStyle w:val="Style14"/>
                <w:rFonts w:eastAsia="Calibri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срокам выполнения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240982860">
            <w:r>
              <w:rPr>
                <w:webHidden/>
                <w:rStyle w:val="Style14"/>
                <w:rFonts w:eastAsia="Calibri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82861">
            <w:r>
              <w:rPr>
                <w:webHidden/>
                <w:rStyle w:val="Style14"/>
                <w:rFonts w:eastAsia="Calibri"/>
                <w:vanish w:val="false"/>
              </w:rPr>
              <w:t>Таблица 4. 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82862">
            <w:r>
              <w:rPr>
                <w:webHidden/>
                <w:rStyle w:val="Style14"/>
                <w:rFonts w:eastAsia="Calibri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82863">
            <w:r>
              <w:rPr>
                <w:webHidden/>
                <w:rStyle w:val="Style14"/>
                <w:rFonts w:eastAsia="Calibri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_Toc240982863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82864">
            <w:r>
              <w:rPr>
                <w:webHidden/>
                <w:rStyle w:val="Style14"/>
                <w:rFonts w:eastAsia="Calibri"/>
                <w:vanish w:val="false"/>
              </w:rPr>
              <w:t>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Calibri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82865">
            <w:r>
              <w:rPr>
                <w:webHidden/>
                <w:rStyle w:val="Style14"/>
                <w:rFonts w:eastAsia="Calibri"/>
                <w:vanish w:val="false"/>
                <w:lang w:bidi="hi-IN"/>
              </w:rPr>
              <w:t>Требования к оформлению и составлению документации по ценообразованию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_Toc240982865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25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0" w:name="_Toc240982849"/>
      <w:bookmarkStart w:id="1" w:name="_Toc51339692"/>
      <w:r>
        <w:rPr/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2" w:name="_Toc240982850"/>
      <w:bookmarkStart w:id="3" w:name="_Toc46743505"/>
      <w:r>
        <w:rPr/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Заказчик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Организация заключившая договор с участником закупки/подрядчиком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Подрядчик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Участник закупки, получивший право заключения договора на выполнение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Система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Единая система управления жизненным циклом средств криптографической защиты информации, создаваемая по результатам работ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‍</w:t>
            </w:r>
            <w:r>
              <w:rPr>
                <w:rFonts w:eastAsia="Calibri"/>
                <w:sz w:val="24"/>
                <w:szCs w:val="24"/>
                <w:lang w:eastAsia="x-none"/>
              </w:rPr>
              <w:t>ИА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Исполнительный аппарат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‍</w:t>
            </w:r>
            <w:r>
              <w:rPr>
                <w:rFonts w:eastAsia="Calibri"/>
                <w:sz w:val="24"/>
                <w:szCs w:val="24"/>
                <w:lang w:eastAsia="x-none"/>
              </w:rPr>
              <w:t>ЦОД СШГЭС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Центр обработки данных Саяно-Шушенская ГЭС им. П. С. Непорожнего, здание щитового блока ОРУ-500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ТТ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СКЗИ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Средства криптографической защиты информации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ПАК СКЗИ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Программно-аппаратный комплекс, реализующий функции криптографической защиты информации.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Жизненный цикл СКЗИ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Совокупность стадий получения, хранения, выдачи (передачи), перемещения, установки, ввода в эксплуатацию, изменения, возврата, вывода из эксплуатации и списания СКЗИ.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ПО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Программное обеспечение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ЭП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sz w:val="24"/>
                <w:szCs w:val="24"/>
                <w:lang w:eastAsia="x-none"/>
              </w:rPr>
              <w:t>Электронная подпись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Универсальный передаточный документ (УПД)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sz w:val="24"/>
                <w:szCs w:val="24"/>
              </w:rPr>
              <w:t>Форма документа, рекомендованная для применения письмом ФНС России от 21.10.2013 № ММВ-20-3/96@ (объединяет реквизиты счета-фактуры и первичного документа о передаче товаров, работ, услуг).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4" w:name="_Toc240982851"/>
      <w:bookmarkStart w:id="5" w:name="_Toc46743506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Blk"/>
        </w:rPr>
      </w:pPr>
      <w:r>
        <w:rPr>
          <w:rStyle w:val="Blk"/>
          <w:rFonts w:eastAsia="Calibri"/>
        </w:rPr>
        <w:t>«ОКДП Разработка проектного решения для единой системы управления жизненным циклом средств криптографической защиты информации, приобретение и внедрение ПО для повышения информационной безопасности в рамках выполнения инвестиционного проекта»</w:t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6" w:name="_Toc240982852"/>
      <w:bookmarkStart w:id="7" w:name="_Toc46743507"/>
      <w:r>
        <w:rPr/>
        <w:t xml:space="preserve">Цель </w:t>
      </w:r>
      <w:bookmarkEnd w:id="7"/>
      <w:r>
        <w:rPr>
          <w:lang w:val="ru-RU"/>
        </w:rPr>
        <w:t>выполнения работ</w:t>
      </w:r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Целью выполнения работ является повышение уровня информационной безопасности Заказчика посредством разработки проектного решения, приобретения и внедрения ПО для создания единой централизованной системы управления жизненным циклом СКЗИ, обеспечивающей автоматизацию процессов их учета, контроля состояния и использования на всех этапах жизненного цикла.</w:t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8" w:name="_Toc240982853"/>
      <w:bookmarkStart w:id="9" w:name="_Toc46743508"/>
      <w:r>
        <w:rPr/>
        <w:t>Существующее положение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На момент подготовки настоящих технических требований Заказчиком эксплуатируется значительное количество СКЗИ различных типов и функционального назначения, включая программные СКЗИ, применяемые в том числе для работы с электронной подписью, а также аппаратные и программно-аппаратные комплексы СКЗИ. Инфраструктура Заказчика является территориально распределённой и включает 18 филиалов. В отношении эксплуатируемых СКЗИ Заказчиком выполняются установленные мероприятия по их учету и контролю. При этом единый централизованный реестр, содержащий консолидированные сведения о СКЗИ (в том числе о событиях их жизненного цикла), отсутствует. Существующее положение затрудняет оперативное получение полной и актуальной информации, а также осуществление централизованного контроля мероприятий, выполняемых на этапах их жизненного цикла. Изложенные обстоятельства свидетельствуют о необходимости создания предусмотренной пунктом 1.3 настоящих технических требований единой системы управления жизненным циклом СКЗИ. При разработке проектного решения и внедрении ПО Подрядчик должен учитывать разнородность эксплуатируемых СКЗИ и необходимость формирования единого централизованного реестра на основании исходных данных, предоставляемых Заказчиком.</w:t>
      </w:r>
    </w:p>
    <w:p>
      <w:pPr>
        <w:pStyle w:val="Style29"/>
        <w:spacing w:before="238" w:after="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 Перечень объектов заказчика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61"/>
        <w:gridCol w:w="1846"/>
        <w:gridCol w:w="439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Исполнительный аппарат ПАО «РусГидро», Центр обработки данных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655619, Российская Федерация, Республика Хакасия, пгт. Черемушки, Саяно-Шушенская ГЭС им. П. С. Непорожнего, здание щитового блока ОРУ-500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hanging="556" w:left="1276"/>
        <w:rPr/>
      </w:pPr>
      <w:bookmarkStart w:id="10" w:name="_Toc240982854"/>
      <w:bookmarkStart w:id="11" w:name="_Hlk49857604"/>
      <w:bookmarkStart w:id="12" w:name="_Toc46743509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0"/>
      <w:bookmarkEnd w:id="11"/>
      <w:bookmarkEnd w:id="1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Заказчик в ходе исполнения обязательств по договору обеспечивает:</w:t>
      </w:r>
    </w:p>
    <w:p>
      <w:pPr>
        <w:pStyle w:val="Normal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своевременное предоставление имеющихся у Заказчика исходных данных и материалов, необходимых для выполнения работ, включая сведения о составе и применении СКЗИ, сканированные копии документов, заполненные опросные листы и анкеты, а также схемы и сведения о конфигурации информационной инфраструктуры в объеме, необходимом для выполнения работ;</w:t>
      </w:r>
    </w:p>
    <w:p>
      <w:pPr>
        <w:pStyle w:val="Normal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организацию дистанционных интервью, совещаний и консультаций с ответственными работниками и профильными специалистами Заказчика;</w:t>
      </w:r>
    </w:p>
    <w:p>
      <w:pPr>
        <w:pStyle w:val="Normal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организацию защищенного удаленного доступа специалистов Подрядчика к информационной инфраструктуре Заказчика в объеме, необходимом для выполнения работ, в соответствии с установленным у Заказчика порядком предоставления доступа;</w:t>
      </w:r>
    </w:p>
    <w:p>
      <w:pPr>
        <w:pStyle w:val="Normal"/>
        <w:widowControl w:val="false"/>
        <w:numPr>
          <w:ilvl w:val="0"/>
          <w:numId w:val="11"/>
        </w:numPr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первоначальную настройку (при необходимости) сетевого и серверного оборудования, на котором планируется разворачивание Системы, выделение необходимых учетных записей для осуществления интеграции.</w:t>
      </w:r>
      <w:bookmarkStart w:id="14" w:name="_Hlk48209761"/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15" w:name="_Toc50125126"/>
      <w:bookmarkStart w:id="16" w:name="_Toc240982855"/>
      <w:bookmarkStart w:id="17" w:name="_Toc46743510"/>
      <w:bookmarkEnd w:id="14"/>
      <w:bookmarkEnd w:id="17"/>
      <w:r>
        <w:rPr/>
        <w:t>Иные требования и сведения общего характера</w:t>
      </w:r>
      <w:bookmarkEnd w:id="1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Blk"/>
        </w:rPr>
      </w:pPr>
      <w:r>
        <w:rPr>
          <w:rStyle w:val="Blk"/>
        </w:rPr>
        <w:t>Все работы проводятся дистанционно, без физического присутствия специалистов Подрядчика на субъектах Заказчика.</w:t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  <w:lang w:val="ru-RU"/>
        </w:rPr>
      </w:pPr>
      <w:bookmarkStart w:id="18" w:name="_Toc240982856"/>
      <w:bookmarkStart w:id="19" w:name="_Toc51339693"/>
      <w:r>
        <w:rPr/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20" w:name="_Toc240982857"/>
      <w:r>
        <w:rPr/>
        <w:t xml:space="preserve">Требования к объемам и срокам </w:t>
      </w:r>
      <w:r>
        <w:rPr>
          <w:lang w:val="ru-RU"/>
        </w:rPr>
        <w:t>выполнения работ</w:t>
      </w:r>
      <w:bookmarkEnd w:id="20"/>
    </w:p>
    <w:p>
      <w:pPr>
        <w:pStyle w:val="Heading3"/>
        <w:numPr>
          <w:ilvl w:val="2"/>
          <w:numId w:val="3"/>
        </w:numPr>
        <w:ind w:hanging="556" w:left="1276"/>
        <w:rPr/>
      </w:pPr>
      <w:bookmarkStart w:id="21" w:name="_Toc240982858"/>
      <w:r>
        <w:rPr/>
        <w:t>Требования к видам и объемам работ</w:t>
      </w:r>
      <w:bookmarkEnd w:id="21"/>
    </w:p>
    <w:p>
      <w:pPr>
        <w:pStyle w:val="Style29"/>
        <w:spacing w:before="238" w:after="62"/>
        <w:jc w:val="both"/>
        <w:rPr/>
      </w:pPr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2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 Перечень и объем выполняемых работ</w:t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849"/>
        <w:gridCol w:w="1991"/>
        <w:gridCol w:w="2120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Проведение обследования и разработка технорабочего проекта по созданию Системы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Развертывание и функциональная настройка Системы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Настройка интеграций с эксплуатируемыми системами Заказчика.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Проведение испытаний, опытной эксплуатации, обучения и ввод Системы в эксплуатацию</w:t>
            </w:r>
          </w:p>
        </w:tc>
        <w:tc>
          <w:tcPr>
            <w:tcW w:w="1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Style29"/>
        <w:spacing w:before="238" w:after="62"/>
        <w:jc w:val="both"/>
        <w:rPr>
          <w:sz w:val="28"/>
          <w:szCs w:val="28"/>
        </w:rPr>
      </w:pPr>
      <w:bookmarkStart w:id="22" w:name="_GoBack"/>
      <w:bookmarkEnd w:id="22"/>
      <w:r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SEQ Таблица \* ARABIC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3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 Перечень и объем закупаемых МТР</w:t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4849"/>
        <w:gridCol w:w="1991"/>
        <w:gridCol w:w="2121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МТР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ind w:left="0"/>
              <w:rPr/>
            </w:pPr>
            <w:r>
              <w:rPr/>
              <w:t>1.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9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Передача прав использования ПО (бессрочная лицензия), либо эквивалент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Конкретный объем закупаемых МТР будет определен по результатам разработки технорабочего проекта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556" w:left="1276"/>
        <w:rPr/>
      </w:pPr>
      <w:bookmarkStart w:id="23" w:name="_Toc240982859"/>
      <w:bookmarkStart w:id="24" w:name="_Toc51339696"/>
      <w:r>
        <w:rPr/>
        <w:t xml:space="preserve">Требования </w:t>
      </w:r>
      <w:bookmarkEnd w:id="24"/>
      <w:r>
        <w:rPr/>
        <w:t>к срокам выполнения работ</w:t>
      </w:r>
      <w:bookmarkEnd w:id="15"/>
      <w:bookmarkEnd w:id="23"/>
    </w:p>
    <w:p>
      <w:pPr>
        <w:pStyle w:val="Style29"/>
        <w:spacing w:before="238" w:after="62"/>
        <w:jc w:val="left"/>
        <w:rPr/>
      </w:pPr>
      <w:r>
        <w:rPr/>
        <w:t xml:space="preserve">Таблица </w:t>
      </w:r>
      <w:r>
        <w:rPr/>
        <w:fldChar w:fldCharType="begin"/>
      </w:r>
      <w:r>
        <w:rPr/>
        <w:instrText xml:space="preserve"> SEQ Таблица \* ARABIC </w:instrText>
      </w:r>
      <w:r>
        <w:rPr/>
        <w:fldChar w:fldCharType="separate"/>
      </w:r>
      <w:r>
        <w:rPr/>
        <w:t>4</w:t>
      </w:r>
      <w:r>
        <w:rPr/>
        <w:fldChar w:fldCharType="end"/>
      </w:r>
      <w:r>
        <w:rPr/>
        <w:t>. Требования по срокам выполнения работ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10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Проведение обследования и разработка технорабочего проекта по созданию Системы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Х+3 месяца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Развертывание и функциональная настройка Системы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Х+3 месяца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Х+4 месяца</w:t>
            </w:r>
          </w:p>
        </w:tc>
      </w:tr>
      <w:tr>
        <w:trPr/>
        <w:tc>
          <w:tcPr>
            <w:tcW w:w="11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Настройка интеграций с эксплуатируемыми системами Заказчика.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Х+3 месяца</w:t>
            </w:r>
          </w:p>
        </w:tc>
        <w:tc>
          <w:tcPr>
            <w:tcW w:w="3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Х+4 месяца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Проведение испытаний, опытной эксплуатации, обучения и ввод Системы в эксплуатацию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Х+4 месяца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Х+6 месяца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Caption1"/>
        <w:spacing w:before="238" w:after="62"/>
        <w:rPr>
          <w:b/>
          <w:i w:val="false"/>
          <w:i w:val="false"/>
        </w:rPr>
      </w:pPr>
      <w:r>
        <w:rPr>
          <w:b/>
          <w:i w:val="false"/>
        </w:rPr>
        <w:t xml:space="preserve">Таблица </w:t>
      </w:r>
      <w:r>
        <w:rPr>
          <w:b/>
          <w:i w:val="false"/>
        </w:rPr>
        <w:fldChar w:fldCharType="begin"/>
      </w:r>
      <w:r>
        <w:rPr>
          <w:i w:val="false"/>
          <w:b/>
        </w:rPr>
        <w:instrText xml:space="preserve"> SEQ Таблица \* ARABIC </w:instrText>
      </w:r>
      <w:r>
        <w:rPr>
          <w:i w:val="false"/>
          <w:b/>
        </w:rPr>
        <w:fldChar w:fldCharType="separate"/>
      </w:r>
      <w:r>
        <w:rPr>
          <w:i w:val="false"/>
          <w:b/>
        </w:rPr>
        <w:t>5</w:t>
      </w:r>
      <w:r>
        <w:rPr>
          <w:i w:val="false"/>
          <w:b/>
        </w:rPr>
        <w:fldChar w:fldCharType="end"/>
      </w:r>
      <w:r>
        <w:rPr>
          <w:b/>
          <w:i w:val="false"/>
        </w:rPr>
        <w:t>. Требования к срокам поставки лицензий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лицензии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лицензии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ind w:left="360"/>
              <w:jc w:val="both"/>
              <w:rPr/>
            </w:pPr>
            <w:r>
              <w:rPr>
                <w:lang w:val="en-US"/>
              </w:rPr>
              <w:t>1</w:t>
            </w:r>
            <w:r>
              <w:rPr/>
              <w:t>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29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Передача прав использования ПО (бессрочная лицензия), либо эквивалент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Х+3 месяца</w:t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headerReference w:type="even" r:id="rId2"/>
          <w:headerReference w:type="default" r:id="rId3"/>
          <w:headerReference w:type="first" r:id="rId4"/>
          <w:footnotePr>
            <w:numFmt w:val="decimal"/>
          </w:footnotePr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556" w:left="1276"/>
        <w:rPr/>
      </w:pPr>
      <w:bookmarkStart w:id="25" w:name="_Toc51339698"/>
      <w:bookmarkStart w:id="26" w:name="_Toc240982860"/>
      <w:r>
        <w:rPr/>
        <w:t xml:space="preserve">Требования к </w:t>
      </w:r>
      <w:r>
        <w:rPr>
          <w:lang w:val="ru-RU"/>
        </w:rPr>
        <w:t>качеству продукции</w:t>
      </w:r>
      <w:bookmarkEnd w:id="26"/>
    </w:p>
    <w:p>
      <w:pPr>
        <w:pStyle w:val="Heading1"/>
        <w:numPr>
          <w:ilvl w:val="0"/>
          <w:numId w:val="0"/>
        </w:numPr>
        <w:ind w:hanging="0" w:left="0"/>
        <w:rPr/>
      </w:pPr>
      <w:bookmarkStart w:id="27" w:name="_Toc240982861"/>
      <w:r>
        <w:rPr/>
        <w:t>Таблица </w:t>
      </w:r>
      <w:r>
        <w:rPr>
          <w:lang w:val="ru-RU"/>
        </w:rPr>
        <w:t>6</w:t>
      </w:r>
      <w:r>
        <w:rPr/>
        <w:t xml:space="preserve">. Требования к </w:t>
      </w:r>
      <w:bookmarkEnd w:id="25"/>
      <w:r>
        <w:rPr>
          <w:lang w:val="ru-RU"/>
        </w:rPr>
        <w:t>качеству продукции</w:t>
      </w:r>
      <w:bookmarkEnd w:id="27"/>
    </w:p>
    <w:p>
      <w:pPr>
        <w:pStyle w:val="Normal"/>
        <w:jc w:val="both"/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Normal"/>
        <w:snapToGrid w:val="false"/>
        <w:spacing w:before="0" w:after="120"/>
        <w:rPr>
          <w:rStyle w:val="Style8"/>
          <w:b w:val="false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работ/этапа работ (МТР, работ, этапа работ): </w:t>
      </w:r>
      <w:r>
        <w:rPr>
          <w:bCs/>
          <w:sz w:val="24"/>
          <w:szCs w:val="24"/>
        </w:rPr>
        <w:t>все позиции Таблиц 2 и 3.</w:t>
      </w:r>
    </w:p>
    <w:tbl>
      <w:tblPr>
        <w:tblStyle w:val="affff9"/>
        <w:tblW w:w="1502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68"/>
        <w:gridCol w:w="1826"/>
        <w:gridCol w:w="25"/>
        <w:gridCol w:w="3802"/>
        <w:gridCol w:w="2692"/>
        <w:gridCol w:w="2926"/>
        <w:gridCol w:w="2886"/>
      </w:tblGrid>
      <w:tr>
        <w:trPr/>
        <w:tc>
          <w:tcPr>
            <w:tcW w:w="86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5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802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1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8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6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5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802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8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51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8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8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выполнению работ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перечню и объему выполняемых Работ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Перечень и объём выполняемых Работ указан в таблице 2 настоящих ТТ.</w:t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перечню и объему закупаемых МТР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Перечень и объем закупаемых МТР указан в таблице  3 настоящих ТТ.</w:t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контролю за выполнением работ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Предоставляет по запросу Заказчика необходимые материалы, относящиеся к выполняемым работам, и создает условия для проверки хода выполнения работ.</w:t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ЛНД (А) Заказчика: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 xml:space="preserve">Политикой ПАО «РусГидро» в отношении обработки персональных данных, утвержденной приказом ПАО «РусГидро» от 11.11.2024, размещенной на сайте под названием Политика ПАО «РусГидро» в Отношении обработки Персональных Данных; 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Положением об охране конфиденциальности информации, составляющей коммерческую тайну, в ПАО «РусГидро», утвержденной приказом ПАО «РусГидро» от 07.12.2023 №888 (Приложение № 3 к ТТ)</w:t>
            </w:r>
            <w:r>
              <w:rPr>
                <w:rStyle w:val="FootnoteReference"/>
                <w:rFonts w:cs="Times New Roman"/>
                <w:kern w:val="0"/>
                <w:lang w:val="ru-RU" w:eastAsia="ru-RU" w:bidi="ar-SA"/>
              </w:rPr>
              <w:footnoteReference w:id="4"/>
            </w:r>
            <w:r>
              <w:rPr>
                <w:rFonts w:cs="Times New Roman"/>
                <w:kern w:val="0"/>
                <w:lang w:val="ru-RU" w:eastAsia="ru-RU" w:bidi="ar-SA"/>
              </w:rPr>
              <w:t>;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Приказ ПАО «РусГидро» от 02.09.2022 №654 «Об утверждении Положения о порядке приемки в эксплуатацию информационных систем»;</w:t>
            </w:r>
          </w:p>
        </w:tc>
        <w:tc>
          <w:tcPr>
            <w:tcW w:w="269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при выполнении работ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выполнении работ Исполнитель должен соблюдать требования в отношении соблюдения конфиденциальности, правил пропускного и внутриобъектового режима заказчика, техники безопасности, пожарной и промышленной и информационной безопасности, охраны окружающей среды при выполнении работ.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Организационно-технические мероприятия по предоставлению работникам Подрядчика удаленного доступа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при выполнении работ гарантирует соблюдение требований по обеспечению информационной безопасности при предоставлении контрагентам удаленного доступа к информационным ресурсам ПАО «РусГидро» (Приложение 1 к порядку предоставления удаленного доступа к информационным ресурсам ПАО «РусГидро»)</w:t>
            </w:r>
            <w:r>
              <w:rPr>
                <w:rFonts w:eastAsia="Times New Roman" w:cs="Times New Roman"/>
                <w:kern w:val="0"/>
                <w:sz w:val="24"/>
                <w:szCs w:val="24"/>
                <w:vertAlign w:val="superscript"/>
                <w:lang w:val="ru-RU" w:eastAsia="ru-RU" w:bidi="ar-SA"/>
              </w:rPr>
              <w:t>2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коммуникации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Назначаются ответственные лица от Подрядчика и Заказчика для оперативного взаимодействия. Определяются каналы и периодичность совещаний.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обмена с Заказчиком документами/сообщениями в цифровом (электронном) виде Подрядчик обязан использовать только корпоративные адреса электронной почты и корпоративные файлообменные сервисы, Подрядчиком должно быть исключено использование личных и/или общедоступных адресов электронной почты и/или файлообменных сервисов сотрудников Подрядчика.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Передача документации для согласования через открытые каналы связи без шифрования – запрещена.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уведомить Заказчика (в письменном виде в течении 3 рабочих дней с момента выявления) обо всех инцидентах информационной безопасности (в т.ч. факты несанкционированных доступа, ознакомления, изменения, распространения и/или разглашения) связанных с любой информацией (вне зависимости от вида ее носителя) полученной от Заказчика и/или образованной в ходе выполнения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Публикация или передача третьим лицам любой информации (вне зависимости от вида ее носителя) полученной от Заказчика и/или образующейся в ходе выполнения работ (за исключением случаев предусмотренных законодательством РФ) без согласования с Заказчиком запрещена.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оборудования и программному обеспечению, используемому для выполнения Работ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Для разработки документации в ходе выполнения работ Подрядчик должен использовать оборудование и программное обеспечение, принадлежащее ему на законном основании, лицензионные ограничения соответствующих правообладателей не должны препятствовать выполнению работ на объектах Заказчика.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Подрядчиком должно быть исключено применение личного оборудования и программного обеспечения, принадлежащего работникам Подрядчика.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работ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проведению обследования и разработке технорабочего проекта по созданию Системы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Должна быть разработана технорабочий проект на Систему, содержащая следующие обязательные тома (разделы):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Пояснительная записка к технорабочему проекту;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Спецификация оборудования и программного обеспечения;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Техническое задание;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План производства работ (в т.ч. схемы L2 и L3);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Программа и методика испытаний;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настройке интеграций с эксплуатируемыми системами Заказчика.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должна быть интегрирована с: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Служба каталогов;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Почтовый сервер;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Крипторовайдер;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Удостоверяющий центр.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результату выполнения ПНР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результатам выполненных работ ПО, должно функционировать согласно технорабочего проекта.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Проведение ПНР оборудования Системы не должно оказывать влияния на иные системы (подсистемы).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исполнительной и эксплуатационной документации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проведения ПНР, а также имеющиеся отклонения от технорабочего проекта должны быть предоставлены Заказчику в виде исполнительной документации в составе: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Схему развертывания Системы;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Схему интеграций;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Список установленных агентов;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Журналы развертываний.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Протокол ПСИ с указанием по ИА, ЦОД СШГЭС и филиалам соответствующих испытаний;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Акт ввода в опытную эксплуатацию;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Акт ввода в промышленную эксплуатацию;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Заключение;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Должна быть разработана и согласована с Заказчиком эксплуатационная документация в составе: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Регламент резервного копирования;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Регламент штатного обслуживания;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Регламент аварийного обслуживания;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инструкция пользователя;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инструкция администратора;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инструкция администратора СКЗИ.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приемо-сдаточным испытаниям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 быть проведены ПСИ согласно разработанной Подрядчиком ПМИ.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опытной эксплуатации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Должна быть проведена опытная эксплуатация продолжительностью не менее 1 (одного) месяца.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(Система считается принятой в опытную эксплуатацию при подключении ее к системе мониторинга и к системе резервного копирования).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МТР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происхождению поставляемой продукции</w:t>
            </w:r>
          </w:p>
        </w:tc>
        <w:tc>
          <w:tcPr>
            <w:tcW w:w="38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должно быть включено в «Единый реестр российских программ для электронных вычислительных машин и баз данных», предусмотренный постановлением Правительства РФ от 16.11.2015 №1236 «Об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нужд».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наличию лицензии</w:t>
            </w:r>
          </w:p>
        </w:tc>
        <w:tc>
          <w:tcPr>
            <w:tcW w:w="3827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Поставляемое программное обеспечение Системы учёта СКЗИ должно предоставляться Заказчику на условиях простой (неисключительной) лицензии. Срок действия лицензии — бессрочно.</w:t>
            </w:r>
          </w:p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Количество лицензий должно обеспечивать возможность одновременной работы 20 пользователей.</w:t>
            </w:r>
            <w:r>
              <w:rPr>
                <w:rStyle w:val="FootnoteReference"/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footnoteReference w:id="5"/>
            </w:r>
          </w:p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Лицензия должна обеспечивать полный функционал Системы учёта СКЗИ.</w:t>
            </w:r>
          </w:p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срок действия лицензии должно входить право получения обновлений и технической поддержки от правообладателя не менее 12 месяцев с момента поставки.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/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  <w:r>
              <w:rPr>
                <w:rStyle w:val="Style8"/>
                <w:rFonts w:eastAsia="Times New Roman" w:cs="Times New Roman"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функционалу Системы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Система должна обладать следующим функционалом (включая, но не ограничиваясь):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Формирование документов в соответствии с Приказом ФАПСИ от 13.06.2001 №152: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Журналы поэкземплярного учета;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Акты уничтожения;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Заключение об эксплуатации;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Технический аппаратный журнал.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Лицензии на СКЗИ: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Учет лицензий на СКЗИ;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Отслеживание свободных лицензий;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Контроль сроков действий лицензий;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Обнаружение лицензий на АРМ.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Уведомления: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 необходимости пройти обучение;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 выдаче СКЗИ;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Об окончании срока действия СКЗИ и ключевых документов;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 необходимости изъятия СКЗИ у уволенных сотрудников;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 необходимости перевыпуска МЧД.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Учет обучения: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База курсов;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Формирование комиссии по требованиям регуляторов;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Назначение обучения;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Составление заключений о допуске к работе с СКЗИ.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 Инвентаризация: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Сбор данных об установленных сертификатах с АРМ (AlterOS/Windows);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Сбор данных об установленных СКЗИ и лицензиях с АРМ (AlterOS/Windows);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Сбор данных с токенов Jacarta (AlterOS/Windows);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Сбор данных с токенов Рутокен (Linux/AlterOS/Windows).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 Распространение СКЗИ: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Создание копий экземпляров СКЗИ;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Автоматический выбор и назначение лицензий пользователю СКЗИ;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Передача необходимого количества лицензий в сторонние организации.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результатов работ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комплекты документов, разрабатываемые Подрядчиком в рамках всех этапов работ, указанных в п. 2.1. настоящей таблицы, должны быть согласованы с Заказчиком, все замечания на момент приемки должны быть устранены.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выявленные замечания на этапах внедрения проектных решений единой системы управления жизненным циклом средств криптографической защиты информации должны быть устранены, при необходимости в проектные решения должны быть внесены соответствующие изменения, согласованные с Заказчиком.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Все виды испытаний поставленных и развернутых программных средств в составе проектных решений внедрения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единой системы управления жизненным циклом средств криптографической защиты информации должны быть выполнены в соответствии с разработанными (п. 2.1.2 настоящей таблицы) Подрядчиком и согласованными Заказчиком программами и методиками испытаний, все замечания выявленные в рамках испытаний на момент приемки работ должны быть устранены.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оформлению документации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оформлению</w:t>
            </w:r>
          </w:p>
        </w:tc>
        <w:tc>
          <w:tcPr>
            <w:tcW w:w="38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технорабочий проект выполняется с учетом требований ГОСТ 34.201-2020 и ГОСТ 59795-2021.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ПМИ выполняется с учетом требований ГОСТ 59795-2021 и ГОСТ Р 59792–2021.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Допускается ссылка на документацию, свободно доступную, либо поставляемую разработчиком или производителем в комплекте с оборудованием и ПО.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−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Вся разрабатываемая документация должна быть выполнена на русском языке. Электронные форматы предоставляемых документов: для документации (кроме схем) - Open Document Text (.ODT), для схем - MS Visio (.VSDX). Также вся документация предоставляется в Portable Document Format (.PDF).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выполненных работ</w:t>
            </w:r>
          </w:p>
        </w:tc>
        <w:tc>
          <w:tcPr>
            <w:tcW w:w="380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 результатам работ должна быть предоставлена следующая документация (в электронном виде 1 экз., на бумажном носителе 2 экз.):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Пояснительная записка к технорабочего проекта;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Техническое задание;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План производства работ (в т.ч. схемы L2 и L3);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Программа и методика испытаний;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Исполнительная документация;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Эксплуатационная документация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  <w:shd w:color="auto" w:fill="auto" w:val="clear"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  <w:t>Соблюдение требований при выполнении Работ</w:t>
            </w:r>
          </w:p>
        </w:tc>
        <w:tc>
          <w:tcPr>
            <w:tcW w:w="3802" w:type="dxa"/>
            <w:tcBorders/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ГОСТ 34.201-2020. Межгосударственный стандарт. 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bCs/>
              </w:rPr>
            </w:pPr>
            <w:r>
              <w:rPr>
                <w:rFonts w:cs="Times New Roman"/>
                <w:bCs/>
                <w:kern w:val="0"/>
                <w:lang w:val="ru-RU" w:eastAsia="ru-RU" w:bidi="ar-SA"/>
              </w:rPr>
              <w:t>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      </w:r>
          </w:p>
        </w:tc>
        <w:tc>
          <w:tcPr>
            <w:tcW w:w="2692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26" w:type="dxa"/>
            <w:tcBorders/>
            <w:shd w:color="auto" w:fill="auto" w:val="clear"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  <w:shd w:color="auto" w:fill="auto" w:val="clear"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подрядчика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Гарантии качества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гарантирует выполнение всех работ в соответствии с таблицей 2 в сроки указанные в таблице 4.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8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результат работ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результат выполнения работ (в т.ч. на электронные носители информации) должен составлять не менее 36 месяцев с даты подписания универсально-передаточных документов.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Гарантия не предполагает выполнение дополнительных работ по актуализации проектной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акта о приемке выполненных работ.</w:t>
            </w:r>
          </w:p>
        </w:tc>
        <w:tc>
          <w:tcPr>
            <w:tcW w:w="2692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8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653" w:type="dxa"/>
            <w:gridSpan w:val="3"/>
            <w:tcBorders/>
            <w:vAlign w:val="center"/>
          </w:tcPr>
          <w:p>
            <w:pPr>
              <w:pStyle w:val="Normal"/>
              <w:keepNext w:val="true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подрядчику (и субподрядчикам) и его обязательствам, влияющим на исполнение договора</w:t>
            </w:r>
          </w:p>
        </w:tc>
        <w:tc>
          <w:tcPr>
            <w:tcW w:w="269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9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8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период выполнения работ Подрядчик должен обладать действующей лицензией на выполнение соответствующих работ п. 4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6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5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3802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</w:t>
            </w:r>
          </w:p>
        </w:tc>
        <w:tc>
          <w:tcPr>
            <w:tcW w:w="26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92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886" w:type="dxa"/>
            <w:tcBorders/>
          </w:tcPr>
          <w:p>
            <w:pPr>
              <w:pStyle w:val="Style29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footnotePr>
            <w:numFmt w:val="decimal"/>
          </w:footnotePr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28" w:name="_Toc240982862"/>
      <w:bookmarkStart w:id="29" w:name="_Toc53393312"/>
      <w:r>
        <w:rPr/>
        <w:t>Требования к документации по ценообразованию</w:t>
      </w:r>
      <w:bookmarkEnd w:id="29"/>
      <w:r>
        <w:rPr/>
        <w:t xml:space="preserve"> на этапе закупки</w:t>
      </w:r>
      <w:bookmarkEnd w:id="28"/>
    </w:p>
    <w:p>
      <w:pPr>
        <w:pStyle w:val="ListParagraph"/>
        <w:numPr>
          <w:ilvl w:val="0"/>
          <w:numId w:val="15"/>
        </w:numPr>
        <w:ind w:firstLine="709" w:left="0"/>
        <w:jc w:val="both"/>
        <w:rPr/>
      </w:pPr>
      <w:r>
        <w:rPr/>
        <w:t>В обоснование стоимости своей заявки Подрядчик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numPr>
          <w:ilvl w:val="0"/>
          <w:numId w:val="15"/>
        </w:numPr>
        <w:ind w:firstLine="709" w:left="0"/>
        <w:jc w:val="both"/>
        <w:rPr/>
      </w:pPr>
      <w:r>
        <w:rPr/>
        <w:t>Цена предложения должна включать все затраты Подрядчика, уплату всех налогов, пошлин и сборов, предусмотренных законодательством Российской Федерации, в том числе НДС, страхование.</w:t>
      </w:r>
    </w:p>
    <w:p>
      <w:pPr>
        <w:pStyle w:val="ListParagraph"/>
        <w:numPr>
          <w:ilvl w:val="0"/>
          <w:numId w:val="15"/>
        </w:numPr>
        <w:ind w:firstLine="709" w:left="0"/>
        <w:jc w:val="both"/>
        <w:rPr/>
      </w:pPr>
      <w:r>
        <w:rPr/>
        <w:t>Стоимость предложения должна быть указана без учета НДС и с учетом НДС (если НДС предусмотрено налоговым законодательством) или должно быть указание на то, что «НДС не облагается».</w:t>
      </w:r>
    </w:p>
    <w:p>
      <w:pPr>
        <w:pStyle w:val="ListParagraph"/>
        <w:numPr>
          <w:ilvl w:val="0"/>
          <w:numId w:val="15"/>
        </w:numPr>
        <w:ind w:firstLine="709" w:left="0"/>
        <w:jc w:val="both"/>
        <w:rPr/>
      </w:pPr>
      <w:r>
        <w:rPr/>
        <w:t>Цена предложения определяется в российских рублях и указывается с точностью до копеек.</w:t>
      </w:r>
    </w:p>
    <w:p>
      <w:pPr>
        <w:pStyle w:val="Normal"/>
        <w:rPr/>
      </w:pPr>
      <w:r>
        <w:rPr/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/>
      </w:pPr>
      <w:bookmarkStart w:id="30" w:name="_Toc240982863"/>
      <w:r>
        <w:rPr/>
        <w:t>Требования к документации по ценообразованию на этапе заключения (исполнения) договора</w:t>
      </w:r>
      <w:bookmarkEnd w:id="30"/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При подписании договора разработка сметной документации осуществляется в соответствии с Приложением № 1 к настоящим ТТ.</w:t>
      </w:r>
    </w:p>
    <w:p>
      <w:pPr>
        <w:pStyle w:val="Normal"/>
        <w:rPr>
          <w:rFonts w:eastAsia="Calibri"/>
          <w:b/>
          <w:iCs/>
          <w:lang w:val="x-none" w:eastAsia="x-none"/>
        </w:rPr>
      </w:pPr>
      <w:r>
        <w:rPr>
          <w:rFonts w:eastAsia="Calibri"/>
          <w:b/>
          <w:iCs/>
          <w:lang w:val="x-none" w:eastAsia="x-none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caps/>
        </w:rPr>
      </w:pPr>
      <w:bookmarkStart w:id="31" w:name="_Toc240982864"/>
      <w:bookmarkStart w:id="32" w:name="_Toc51339699"/>
      <w:bookmarkStart w:id="33" w:name="_Toc46743519"/>
      <w:r>
        <w:rPr/>
        <w:t>Приложения</w:t>
      </w:r>
      <w:bookmarkEnd w:id="31"/>
      <w:bookmarkEnd w:id="32"/>
      <w:bookmarkEnd w:id="33"/>
    </w:p>
    <w:p>
      <w:pPr>
        <w:sectPr>
          <w:headerReference w:type="default" r:id="rId7"/>
          <w:headerReference w:type="first" r:id="rId8"/>
          <w:footnotePr>
            <w:numFmt w:val="decimal"/>
          </w:footnotePr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Blk"/>
          <w:szCs w:val="24"/>
        </w:rPr>
      </w:pPr>
      <w:r>
        <w:rPr>
          <w:rStyle w:val="Blk"/>
          <w:szCs w:val="24"/>
        </w:rPr>
        <w:t>Приложение № 1. Требования к оформлению и составлению сметной документации по ценообразованию на Работы (Услуги).</w:t>
      </w:r>
      <w:r>
        <w:br w:type="page"/>
      </w:r>
    </w:p>
    <w:p>
      <w:pPr>
        <w:pStyle w:val="Standard"/>
        <w:spacing w:before="0" w:after="120"/>
        <w:jc w:val="right"/>
        <w:rPr/>
      </w:pPr>
      <w:r>
        <w:rPr>
          <w:bCs/>
        </w:rPr>
        <w:t>Приложение №1 к Техническим требованиям</w:t>
      </w:r>
    </w:p>
    <w:p>
      <w:pPr>
        <w:pStyle w:val="Standard"/>
        <w:keepNext w:val="true"/>
        <w:keepLines/>
        <w:numPr>
          <w:ilvl w:val="0"/>
          <w:numId w:val="0"/>
        </w:numPr>
        <w:spacing w:before="120" w:after="60"/>
        <w:ind w:hanging="0" w:left="357"/>
        <w:jc w:val="center"/>
        <w:outlineLvl w:val="0"/>
        <w:rPr/>
      </w:pPr>
      <w:bookmarkStart w:id="34" w:name="__RefHeading___Toc88565_8850083"/>
      <w:bookmarkStart w:id="35" w:name="_Toc240982865"/>
      <w:bookmarkStart w:id="36" w:name="_Toc235181593"/>
      <w:bookmarkStart w:id="37" w:name="_Toc240465403"/>
      <w:bookmarkEnd w:id="34"/>
      <w:r>
        <w:rPr>
          <w:rFonts w:eastAsia="Calibri"/>
          <w:b/>
        </w:rPr>
        <w:t>Требования к оформлению и составлению документации по ценообразованию</w:t>
      </w:r>
      <w:bookmarkEnd w:id="35"/>
      <w:bookmarkEnd w:id="36"/>
      <w:bookmarkEnd w:id="37"/>
    </w:p>
    <w:p>
      <w:pPr>
        <w:pStyle w:val="Standard"/>
        <w:widowControl w:val="false"/>
        <w:numPr>
          <w:ilvl w:val="0"/>
          <w:numId w:val="68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Настоящие требования разработаны для единого подхода к определению стоимости выполнения работ (оказания услуг) (далее – «Работы» («Услуги»)).</w:t>
      </w:r>
    </w:p>
    <w:p>
      <w:pPr>
        <w:pStyle w:val="Standard"/>
        <w:numPr>
          <w:ilvl w:val="0"/>
          <w:numId w:val="69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Сметы или расчеты на Работы (Услуги) составлять на основании технических требований (технического задания) заказчика, графиков производства работ.</w:t>
      </w:r>
    </w:p>
    <w:p>
      <w:pPr>
        <w:pStyle w:val="Standard"/>
        <w:numPr>
          <w:ilvl w:val="0"/>
          <w:numId w:val="70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Стоимость Работ (Услуг) определяется на основе Справочников базовых цен на соответствующие работы, входящих в ФРСН, «Методических указаний по применению Справочников базовых цен на проектные работы в строительстве», утвержденных Приказом Министерства регионального развития РФ от 29.12.2009 №620 (далее - Методика №620) и Методики определения стоимости работ по подготовке проектной документации, утвержденной Приказом Министерства строительства и жилищно-коммунального хозяйства РФ от 1 октября 2021 г. №707/пр. (далее – Методика №707) не противоречащим положениям Методики №620 и Справочникам базовых цен (далее – СБЦ) на проектные работы в строительстве.</w:t>
      </w:r>
    </w:p>
    <w:p>
      <w:pPr>
        <w:pStyle w:val="Standard"/>
        <w:numPr>
          <w:ilvl w:val="0"/>
          <w:numId w:val="71"/>
        </w:numPr>
        <w:tabs>
          <w:tab w:val="clear" w:pos="708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При определении стоимости Работ (Услуг) в сметных расчетах указывать полное наименование нормативного документа, на основании которого составляется сметная документация с указанием всех реквизитов документа.</w:t>
      </w:r>
    </w:p>
    <w:p>
      <w:pPr>
        <w:pStyle w:val="Standard"/>
        <w:numPr>
          <w:ilvl w:val="0"/>
          <w:numId w:val="72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При использовании в сметах коэффициентов (доплат, процентов и т.д.) в графе «Номер частей, глав, таблиц, процентов…» указывать обоснование из методических указаний, общих положений сборников или других нормативных документов и приложений к ним.</w:t>
      </w:r>
    </w:p>
    <w:p>
      <w:pPr>
        <w:pStyle w:val="Standard"/>
        <w:numPr>
          <w:ilvl w:val="0"/>
          <w:numId w:val="73"/>
        </w:numPr>
        <w:tabs>
          <w:tab w:val="clear" w:pos="708"/>
          <w:tab w:val="left" w:pos="284" w:leader="none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Пересчет сметной стоимости Работ (Услуг) по состоянию на 01.01.2001, 01.01.1995. (1991 г.) следует производить согласно индексам на указанные работы, рекомендованным к применению письмом соответствующего органа исполнительной власти, уполномоченного в области сметного нормирования и ценообразования в сфере градостроительной деятельности.</w:t>
      </w:r>
    </w:p>
    <w:p>
      <w:pPr>
        <w:pStyle w:val="Standard"/>
        <w:numPr>
          <w:ilvl w:val="0"/>
          <w:numId w:val="74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Calibri"/>
          <w:lang w:eastAsia="en-US"/>
        </w:rPr>
        <w:t xml:space="preserve">При определении стоимости Работ (Услуг), затраты организации, расположенной в районах, в которых, в соответствии с действующим законодательством производятся выплаты, обусловленные районным регулированием оплаты труда, в т.ч. выплаты по районным коэффициентам, а также надбавки за непрерывный стаж и других льгот, предусмотренных законодательством в районах Крайнего Севера и приравненных к ним местностям на основании: «Рекомендаций по определению коэффициента к базовым ценам на соответствующие работы, учитывающего дополнительные затраты организаций на льготные выплаты по заработной плате», одобренных и рекомендованных к применению письмом Госстроя России от 30.06.98 N 9-10-17/40 учитываются путем введения к итогу базовой цены повышающих </w:t>
      </w:r>
      <w:r>
        <w:rPr>
          <w:lang w:eastAsia="en-US"/>
        </w:rPr>
        <w:t>коэффициентов. Размер примененных коэффициентов, доплат и т.д. указывать с обоснованиями из технической части, вводных указаний сборников или других нормативных документов</w:t>
      </w:r>
    </w:p>
    <w:p>
      <w:pPr>
        <w:pStyle w:val="Standard"/>
        <w:widowControl w:val="false"/>
        <w:numPr>
          <w:ilvl w:val="0"/>
          <w:numId w:val="75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Calibri"/>
          <w:lang w:eastAsia="en-US"/>
        </w:rPr>
        <w:t>Стоимость Работ (Услуг), цены на которые отсутствуют в СБЦ и СЦ, внесенных в ФРСН, возможно определять сметным расчетом по себестоимости и сложившемуся уровню рентабельности (форма №</w:t>
      </w:r>
      <w:hyperlink r:id="rId9">
        <w:r>
          <w:rPr>
            <w:rStyle w:val="Hyperlink"/>
            <w:rFonts w:eastAsia="Calibri"/>
            <w:color w:val="000000"/>
            <w:lang w:eastAsia="en-US"/>
          </w:rPr>
          <w:t>3п</w:t>
        </w:r>
      </w:hyperlink>
      <w:r>
        <w:rPr>
          <w:rFonts w:eastAsia="Calibri"/>
          <w:lang w:eastAsia="en-US"/>
        </w:rPr>
        <w:t>) по согласованию с Заказчиком.</w:t>
      </w:r>
    </w:p>
    <w:p>
      <w:pPr>
        <w:pStyle w:val="Standard"/>
        <w:widowControl w:val="false"/>
        <w:numPr>
          <w:ilvl w:val="0"/>
          <w:numId w:val="76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Calibri"/>
          <w:lang w:eastAsia="en-US"/>
        </w:rPr>
        <w:t>Пояснительная записка по заполнению сметного расчета по трудозатратам (форма №3п) и образец формы №3п отражены в Приложении № 1 и в Приложении № 2 к Требованиям к оформлению и составлению документации по ценообразованию на Работы (Услуги), соответственно.</w:t>
      </w:r>
    </w:p>
    <w:p>
      <w:pPr>
        <w:pStyle w:val="Standard"/>
        <w:numPr>
          <w:ilvl w:val="0"/>
          <w:numId w:val="77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SimSun"/>
        </w:rPr>
        <w:t>Средства на оказание Работ (Услуг) определяются отдельными расчетами в соответствии с видом выполняемых работ (оказываемых услуг) и включаются (по необходимости) в сводную смету (Приложение №3 к Требованиям к оформлению и составлению документации по ценообразованию на Работы (Услуги).</w:t>
      </w:r>
    </w:p>
    <w:p>
      <w:pPr>
        <w:pStyle w:val="Standard"/>
        <w:numPr>
          <w:ilvl w:val="0"/>
          <w:numId w:val="78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SimSun"/>
        </w:rPr>
        <w:t>Сметы / расчеты на Работы (Услуги) предоставляются в форматах: «Excel» и «pdf» (с подписями и печатью).</w:t>
      </w:r>
    </w:p>
    <w:p>
      <w:pPr>
        <w:pStyle w:val="Standard"/>
        <w:widowControl w:val="false"/>
        <w:numPr>
          <w:ilvl w:val="0"/>
          <w:numId w:val="79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Calibri"/>
          <w:lang w:eastAsia="en-US"/>
        </w:rPr>
        <w:t>Результаты вычислений (построчные) и итоговые данные в сметах / расчетах, приводятся в рублях, в сводной смете - в рублях с округлением до целых рублей.</w:t>
      </w:r>
    </w:p>
    <w:p>
      <w:pPr>
        <w:pStyle w:val="Standard"/>
        <w:numPr>
          <w:ilvl w:val="0"/>
          <w:numId w:val="80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Calibri"/>
          <w:lang w:eastAsia="en-US"/>
        </w:rPr>
        <w:t>Результаты вычислений (построчные) и итоговые данные округляются до целых рублей:</w:t>
      </w:r>
    </w:p>
    <w:p>
      <w:pPr>
        <w:pStyle w:val="Standard"/>
        <w:numPr>
          <w:ilvl w:val="0"/>
          <w:numId w:val="16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SimSun"/>
        </w:rPr>
        <w:t xml:space="preserve"> </w:t>
      </w:r>
      <w:r>
        <w:rPr>
          <w:rFonts w:eastAsia="SimSun"/>
        </w:rPr>
        <w:t>графа 5 «Стоимость»;</w:t>
      </w:r>
    </w:p>
    <w:p>
      <w:pPr>
        <w:pStyle w:val="Standard"/>
        <w:numPr>
          <w:ilvl w:val="0"/>
          <w:numId w:val="81"/>
        </w:numPr>
        <w:tabs>
          <w:tab w:val="clear" w:pos="708"/>
          <w:tab w:val="left" w:pos="1134" w:leader="none"/>
        </w:tabs>
        <w:ind w:firstLine="709" w:left="0"/>
        <w:rPr/>
      </w:pPr>
      <w:r>
        <w:rPr>
          <w:rFonts w:eastAsia="SimSun"/>
        </w:rPr>
        <w:t xml:space="preserve"> </w:t>
      </w:r>
      <w:r>
        <w:rPr>
          <w:rFonts w:eastAsia="SimSun"/>
        </w:rPr>
        <w:t>графа 7 «Оплата труда (всего)» (образец формы № 3П приложения 1 к Требованиям к оформлению и составлению документации по ценообразованию на Работы (Услуги).</w:t>
      </w:r>
    </w:p>
    <w:p>
      <w:pPr>
        <w:pStyle w:val="Standard"/>
        <w:tabs>
          <w:tab w:val="clear" w:pos="708"/>
          <w:tab w:val="left" w:pos="1134" w:leader="none"/>
        </w:tabs>
        <w:ind w:firstLine="709"/>
        <w:rPr/>
      </w:pPr>
      <w:r>
        <w:rPr>
          <w:rFonts w:eastAsia="SimSun"/>
        </w:rPr>
        <w:t>Результаты вычислений (построчные) и итоговые данные в расчетах, (сметах), приводятся в рублях,</w:t>
      </w:r>
    </w:p>
    <w:p>
      <w:pPr>
        <w:pStyle w:val="Standard"/>
        <w:tabs>
          <w:tab w:val="clear" w:pos="708"/>
          <w:tab w:val="left" w:pos="567" w:leader="none"/>
          <w:tab w:val="left" w:pos="1134" w:leader="none"/>
        </w:tabs>
        <w:ind w:firstLine="709"/>
        <w:rPr/>
      </w:pPr>
      <w:r>
        <w:rPr>
          <w:rFonts w:eastAsia="SimSun"/>
        </w:rPr>
        <w:t>-при базисно-индексном методе, с округлением до целых рублей;</w:t>
      </w:r>
    </w:p>
    <w:p>
      <w:pPr>
        <w:pStyle w:val="Standard"/>
        <w:tabs>
          <w:tab w:val="clear" w:pos="708"/>
          <w:tab w:val="left" w:pos="1134" w:leader="none"/>
        </w:tabs>
        <w:ind w:firstLine="709"/>
        <w:rPr/>
      </w:pPr>
      <w:r>
        <w:rPr>
          <w:rFonts w:eastAsia="SimSun"/>
        </w:rPr>
        <w:t>-при ресурсно-индексном и ресурсным методах, а также сметных расчетах на отдельные виды затрат - с округлением до целых единиц;</w:t>
      </w:r>
    </w:p>
    <w:p>
      <w:pPr>
        <w:pStyle w:val="Standard"/>
        <w:tabs>
          <w:tab w:val="clear" w:pos="708"/>
          <w:tab w:val="left" w:pos="1134" w:leader="none"/>
        </w:tabs>
        <w:ind w:firstLine="709"/>
        <w:rPr/>
      </w:pPr>
      <w:r>
        <w:rPr>
          <w:rFonts w:eastAsia="SimSun"/>
        </w:rPr>
        <w:t>- в сводной смете - в рублях с округлением до целых рублей.</w:t>
      </w:r>
    </w:p>
    <w:p>
      <w:pPr>
        <w:pStyle w:val="Standard"/>
        <w:numPr>
          <w:ilvl w:val="0"/>
          <w:numId w:val="82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В случае применения понижающего коэффициента к итогу смет или расчетов, корректирующего их стоимость в меньшую сторону, величину данного коэффициента необходимо учитывать с округлением до 8-и знаков после запятой.</w:t>
      </w:r>
    </w:p>
    <w:p>
      <w:pPr>
        <w:pStyle w:val="Standard"/>
        <w:numPr>
          <w:ilvl w:val="0"/>
          <w:numId w:val="83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Командировочные расходы, учтенные в смете, подтверждаются отдельным расчетом.</w:t>
      </w:r>
    </w:p>
    <w:p>
      <w:pPr>
        <w:pStyle w:val="Standard"/>
        <w:numPr>
          <w:ilvl w:val="1"/>
          <w:numId w:val="84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Лимиты командировочных расходов при производстве Работ (Услуг) при командировании на территории, не относящиеся к районам Крайнего Севера и приравненных к ним местностям, принимать в размере не более:</w:t>
      </w:r>
    </w:p>
    <w:p>
      <w:pPr>
        <w:pStyle w:val="Standard"/>
        <w:numPr>
          <w:ilvl w:val="0"/>
          <w:numId w:val="17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суточные - 700 руб./сутки;</w:t>
      </w:r>
    </w:p>
    <w:p>
      <w:pPr>
        <w:pStyle w:val="Standard"/>
        <w:numPr>
          <w:ilvl w:val="0"/>
          <w:numId w:val="85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проживание – 5000 руб./сутки;</w:t>
      </w:r>
    </w:p>
    <w:p>
      <w:pPr>
        <w:pStyle w:val="Standard"/>
        <w:numPr>
          <w:ilvl w:val="0"/>
          <w:numId w:val="86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Standard"/>
        <w:numPr>
          <w:ilvl w:val="1"/>
          <w:numId w:val="87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Лимиты командировочных расходов при производстве ПИР при командировании на территории, относящейся к местностям, приравненным к районам Крайнего Севера, принимать в размере не более:</w:t>
      </w:r>
    </w:p>
    <w:p>
      <w:pPr>
        <w:pStyle w:val="Standard"/>
        <w:numPr>
          <w:ilvl w:val="0"/>
          <w:numId w:val="18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суточные – 945 руб./сутки</w:t>
      </w:r>
    </w:p>
    <w:p>
      <w:pPr>
        <w:pStyle w:val="Standard"/>
        <w:numPr>
          <w:ilvl w:val="0"/>
          <w:numId w:val="88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проживание – 750 руб./сутки;</w:t>
      </w:r>
    </w:p>
    <w:p>
      <w:pPr>
        <w:pStyle w:val="Standard"/>
        <w:numPr>
          <w:ilvl w:val="0"/>
          <w:numId w:val="89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проезд: поезд (купе) или самолет (класс–эконом с багажом до 20 (двадцати) кг, ручная кладь до 10 (десяти) кг)</w:t>
      </w:r>
    </w:p>
    <w:p>
      <w:pPr>
        <w:pStyle w:val="Standard"/>
        <w:numPr>
          <w:ilvl w:val="1"/>
          <w:numId w:val="90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При учете командировочных расходов стоимость проезда (авиа-, ж/д, …) определяется Методом анализа ТКП в соответствии со следующими требованиями: необходимо предоставить три источника информации, подтверждающие стоимость расходов, сформировав при этом конъюнктурный анализ, и к учёту приняв среднерыночную стоимость по приложенным источникам. Для обоснования затрат предоставить информацию из открытых источников официальных перевозчиков в виде скриншота, счета, квитанции, ТКП и т.п. с указанием даты.</w:t>
      </w:r>
    </w:p>
    <w:p>
      <w:pPr>
        <w:pStyle w:val="Standard"/>
        <w:numPr>
          <w:ilvl w:val="1"/>
          <w:numId w:val="91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При наличии командированных расходов необходимо составлять общий реестр стоимости проездных билетов с разбивкой по сметам, к которым они относятся</w:t>
      </w:r>
    </w:p>
    <w:p>
      <w:pPr>
        <w:pStyle w:val="Standard"/>
        <w:numPr>
          <w:ilvl w:val="0"/>
          <w:numId w:val="92"/>
        </w:numPr>
        <w:tabs>
          <w:tab w:val="clear" w:pos="708"/>
          <w:tab w:val="left" w:pos="0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SimSun"/>
        </w:rPr>
        <w:t>Стоимость субподрядных работ (в случае наличия таковых) следует отразить отдельной строкой (образец Приложение № 3 к Требованиям к оформлению и составлению документации по ценообразованию на Работ (Услуги)) с представлением соответствующих расчетов.</w:t>
      </w:r>
    </w:p>
    <w:p>
      <w:pPr>
        <w:pStyle w:val="Standard"/>
        <w:widowControl w:val="false"/>
        <w:numPr>
          <w:ilvl w:val="0"/>
          <w:numId w:val="93"/>
        </w:numPr>
        <w:tabs>
          <w:tab w:val="clear" w:pos="708"/>
          <w:tab w:val="left" w:pos="0" w:leader="none"/>
          <w:tab w:val="left" w:pos="284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случае заключений дополнительных соглашений к договору (далее - «д/с»), Сводную смету необходимо выполнять в накопительной форме с учетом ЛСР (ЛС) к основному договору и ко всем заключенным д/с к нему. В итогах Сводной сметы в накопительной форме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Сводной сметы в накопительной форме очередного д/с и стоимостью основного договора. Форма Сводной сметы в накопительной (образец в Приложение № 4 к Требованиям к оформлению и составлению документации по ценообразованию на Работы (Услуги) ЛСР (ЛС) разрабатываются отдельно на исключаемые и дополнительные объемы Работ (Услуг).</w:t>
      </w:r>
    </w:p>
    <w:p>
      <w:pPr>
        <w:pStyle w:val="Standard"/>
        <w:widowControl w:val="false"/>
        <w:numPr>
          <w:ilvl w:val="1"/>
          <w:numId w:val="94"/>
        </w:numPr>
        <w:tabs>
          <w:tab w:val="clear" w:pos="708"/>
          <w:tab w:val="left" w:pos="284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ЛС являются приложениями к Сводной смете в накопительной форме. Нумерация приложений указывается по мере включения ЛС в Сводную смету в накопительной форме - по порядку.</w:t>
      </w:r>
    </w:p>
    <w:p>
      <w:pPr>
        <w:pStyle w:val="Standard"/>
        <w:widowControl w:val="false"/>
        <w:numPr>
          <w:ilvl w:val="1"/>
          <w:numId w:val="95"/>
        </w:numPr>
        <w:tabs>
          <w:tab w:val="clear" w:pos="708"/>
          <w:tab w:val="left" w:pos="284" w:leader="none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ЛС являются приложениями к ССР (СС). Нумерация приложений указывается по мере включения ЛС в ССР в накопительной форме - по порядку.</w:t>
      </w:r>
    </w:p>
    <w:p>
      <w:pPr>
        <w:pStyle w:val="Standard"/>
        <w:spacing w:before="280" w:after="280"/>
        <w:rPr>
          <w:rFonts w:eastAsia="Calibri"/>
          <w:lang w:eastAsia="en-US"/>
        </w:rPr>
      </w:pPr>
      <w:r>
        <w:rPr>
          <w:rFonts w:eastAsia="Calibri"/>
          <w:lang w:eastAsia="en-US"/>
        </w:rPr>
      </w:r>
    </w:p>
    <w:p>
      <w:pPr>
        <w:pStyle w:val="Standard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br w:type="page"/>
      </w:r>
    </w:p>
    <w:p>
      <w:pPr>
        <w:pStyle w:val="Standard"/>
        <w:ind w:firstLine="1" w:left="5811"/>
        <w:rPr/>
      </w:pPr>
      <w:r>
        <w:rPr>
          <w:rFonts w:eastAsia="SimSun"/>
        </w:rPr>
        <w:t>Приложение № 1</w:t>
      </w:r>
    </w:p>
    <w:p>
      <w:pPr>
        <w:pStyle w:val="Standard"/>
        <w:ind w:firstLine="1" w:left="5811"/>
        <w:rPr/>
      </w:pPr>
      <w:r>
        <w:rPr>
          <w:rFonts w:eastAsia="SimSun"/>
        </w:rPr>
        <w:t>к Требованиям к оформлению и составлению документации по ценообразованию на Работы (Услуги)</w:t>
      </w:r>
    </w:p>
    <w:p>
      <w:pPr>
        <w:pStyle w:val="Standard"/>
        <w:ind w:firstLine="709" w:left="5811"/>
        <w:rPr>
          <w:rFonts w:eastAsia="SimSun"/>
          <w:b/>
        </w:rPr>
      </w:pPr>
      <w:r>
        <w:rPr>
          <w:rFonts w:eastAsia="SimSun"/>
          <w:b/>
        </w:rPr>
      </w:r>
    </w:p>
    <w:p>
      <w:pPr>
        <w:pStyle w:val="Standard"/>
        <w:ind w:firstLine="709"/>
        <w:jc w:val="center"/>
        <w:rPr/>
      </w:pPr>
      <w:r>
        <w:rPr>
          <w:rFonts w:eastAsia="SimSun"/>
          <w:b/>
        </w:rPr>
        <w:t>ПОЯСНИТЕЛЬНАЯ ЗАПИСКА</w:t>
      </w:r>
    </w:p>
    <w:p>
      <w:pPr>
        <w:pStyle w:val="Standard"/>
        <w:ind w:firstLine="709"/>
        <w:jc w:val="center"/>
        <w:rPr/>
      </w:pPr>
      <w:r>
        <w:rPr>
          <w:rFonts w:eastAsia="SimSun"/>
          <w:b/>
        </w:rPr>
        <w:t>по заполнению формы №3п</w:t>
      </w:r>
    </w:p>
    <w:p>
      <w:pPr>
        <w:pStyle w:val="Standard"/>
        <w:ind w:firstLine="709"/>
        <w:jc w:val="center"/>
        <w:rPr/>
      </w:pPr>
      <w:r>
        <w:rPr>
          <w:rFonts w:eastAsia="SimSun"/>
          <w:b/>
        </w:rPr>
        <w:t>при составлении смет или расчетов на Работы (Услуги)</w:t>
      </w:r>
    </w:p>
    <w:p>
      <w:pPr>
        <w:pStyle w:val="Standard"/>
        <w:tabs>
          <w:tab w:val="clear" w:pos="708"/>
          <w:tab w:val="left" w:pos="1080" w:leader="none"/>
        </w:tabs>
        <w:ind w:firstLine="709"/>
        <w:rPr>
          <w:rFonts w:eastAsia="SimSun"/>
        </w:rPr>
      </w:pPr>
      <w:r>
        <w:rPr>
          <w:rFonts w:eastAsia="SimSun"/>
        </w:rPr>
      </w:r>
    </w:p>
    <w:p>
      <w:pPr>
        <w:pStyle w:val="Standard"/>
        <w:numPr>
          <w:ilvl w:val="0"/>
          <w:numId w:val="96"/>
        </w:numPr>
        <w:tabs>
          <w:tab w:val="clear" w:pos="708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При составлении сметного расчета по трудозатратам (форма №3п), разработанным организацией, выполняющей Работы (оказывающей Услуги), обоснование расчета трудозатрат представляется заказчику по его просьбе. Сметы / расчеты составляются в ценах текущего периода.</w:t>
      </w:r>
    </w:p>
    <w:p>
      <w:pPr>
        <w:pStyle w:val="Standard"/>
        <w:numPr>
          <w:ilvl w:val="0"/>
          <w:numId w:val="97"/>
        </w:numPr>
        <w:tabs>
          <w:tab w:val="clear" w:pos="708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Standard"/>
        <w:numPr>
          <w:ilvl w:val="0"/>
          <w:numId w:val="98"/>
        </w:numPr>
        <w:tabs>
          <w:tab w:val="clear" w:pos="708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Форма расчета для определения затрат по себестоимости и уровню рентабельности (форма 3п) приведена в образце 3П Приложения 2 к Требованиям к оформлению и составлению документации по ценообразованию на Работы (Услуги).</w:t>
      </w:r>
    </w:p>
    <w:p>
      <w:pPr>
        <w:pStyle w:val="Standard"/>
        <w:numPr>
          <w:ilvl w:val="0"/>
          <w:numId w:val="99"/>
        </w:numPr>
        <w:tabs>
          <w:tab w:val="clear" w:pos="708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>Результаты сметных расчетов (расчетов стоимости услуг) включаются в сводную смету (Приложение 3 к Требованиям к оформлению и составлению документации по ценообразованию).</w:t>
      </w:r>
    </w:p>
    <w:p>
      <w:pPr>
        <w:pStyle w:val="Standard"/>
        <w:numPr>
          <w:ilvl w:val="0"/>
          <w:numId w:val="100"/>
        </w:numPr>
        <w:tabs>
          <w:tab w:val="clear" w:pos="708"/>
          <w:tab w:val="left" w:pos="993" w:leader="none"/>
        </w:tabs>
        <w:ind w:firstLine="709" w:left="0"/>
        <w:rPr/>
      </w:pPr>
      <w:r>
        <w:rPr>
          <w:rFonts w:eastAsia="Calibri"/>
          <w:lang w:eastAsia="en-US"/>
        </w:rPr>
        <w:t xml:space="preserve">Результаты вычислений и итоговые данные по разделам расчета </w:t>
      </w:r>
      <w:r>
        <w:rPr>
          <w:rFonts w:eastAsia="Calibri"/>
          <w:u w:val="single"/>
          <w:lang w:eastAsia="en-US"/>
        </w:rPr>
        <w:t>округлять до целых рублей.</w:t>
      </w:r>
    </w:p>
    <w:p>
      <w:pPr>
        <w:pStyle w:val="Standard"/>
        <w:numPr>
          <w:ilvl w:val="0"/>
          <w:numId w:val="101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Особенности заполнения формы №3п.</w:t>
      </w:r>
    </w:p>
    <w:p>
      <w:pPr>
        <w:pStyle w:val="Standard"/>
        <w:tabs>
          <w:tab w:val="clear" w:pos="708"/>
          <w:tab w:val="left" w:pos="993" w:leader="none"/>
        </w:tabs>
        <w:ind w:firstLine="709"/>
        <w:rPr/>
      </w:pPr>
      <w:r>
        <w:rPr>
          <w:rFonts w:eastAsia="SimSun"/>
          <w:u w:val="single"/>
        </w:rPr>
        <w:t>Раздел 1. Расчет заработной платы:</w:t>
      </w:r>
    </w:p>
    <w:p>
      <w:pPr>
        <w:pStyle w:val="Standard"/>
        <w:numPr>
          <w:ilvl w:val="0"/>
          <w:numId w:val="19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1 приводится нумерация выполняемых работ (оказываемых услуг);</w:t>
      </w:r>
    </w:p>
    <w:p>
      <w:pPr>
        <w:pStyle w:val="Standard"/>
        <w:numPr>
          <w:ilvl w:val="0"/>
          <w:numId w:val="102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2 приводится наименование выполняемых работ (оказываемых услуг);</w:t>
      </w:r>
    </w:p>
    <w:p>
      <w:pPr>
        <w:pStyle w:val="Standard"/>
        <w:numPr>
          <w:ilvl w:val="0"/>
          <w:numId w:val="103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3 указывается количество привлекаемых работников (оказываемых услуг);</w:t>
      </w:r>
    </w:p>
    <w:p>
      <w:pPr>
        <w:pStyle w:val="Standard"/>
        <w:numPr>
          <w:ilvl w:val="0"/>
          <w:numId w:val="104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Standard"/>
        <w:numPr>
          <w:ilvl w:val="0"/>
          <w:numId w:val="105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 (в оказании данной услуги), указывается общее количество рабочих дней, необходимых данной квалификационной группе для её выполнения (ее оказания); рабочее время не должно превышать значений, определенных по временным нормам;</w:t>
      </w:r>
    </w:p>
    <w:p>
      <w:pPr>
        <w:pStyle w:val="Standard"/>
        <w:numPr>
          <w:ilvl w:val="0"/>
          <w:numId w:val="106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Standard"/>
        <w:numPr>
          <w:ilvl w:val="0"/>
          <w:numId w:val="107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графе 7 указывается заработная плата в рублях (</w:t>
      </w:r>
      <w:r>
        <w:rPr>
          <w:rFonts w:eastAsia="Calibri"/>
          <w:b/>
          <w:u w:val="single"/>
          <w:lang w:eastAsia="en-US"/>
        </w:rPr>
        <w:t>результат перемножения граф 5 и 6</w:t>
      </w:r>
      <w:r>
        <w:rPr>
          <w:rFonts w:eastAsia="Calibri"/>
          <w:lang w:eastAsia="en-US"/>
        </w:rPr>
        <w:t>);</w:t>
      </w:r>
    </w:p>
    <w:p>
      <w:pPr>
        <w:pStyle w:val="Standard"/>
        <w:tabs>
          <w:tab w:val="clear" w:pos="708"/>
          <w:tab w:val="left" w:pos="993" w:leader="none"/>
          <w:tab w:val="left" w:pos="1080" w:leader="none"/>
        </w:tabs>
        <w:ind w:firstLine="709"/>
        <w:rPr/>
      </w:pPr>
      <w:r>
        <w:rPr>
          <w:rFonts w:eastAsia="Calibri"/>
          <w:lang w:eastAsia="en-US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(услуг), выполненных главным инженером проекта, или на базе имеющихся в организации проработок, определяющих нормативы их трудоемкости.</w:t>
      </w:r>
    </w:p>
    <w:p>
      <w:pPr>
        <w:pStyle w:val="Standard"/>
        <w:tabs>
          <w:tab w:val="clear" w:pos="708"/>
          <w:tab w:val="left" w:pos="993" w:leader="none"/>
          <w:tab w:val="left" w:pos="1080" w:leader="none"/>
        </w:tabs>
        <w:ind w:firstLine="709"/>
        <w:rPr/>
      </w:pPr>
      <w:r>
        <w:rPr>
          <w:rFonts w:eastAsia="SimSun"/>
          <w:u w:val="single"/>
        </w:rPr>
        <w:t>Раздел 2. Расчет стоимости выполнения работ (оказания услуг)</w:t>
      </w:r>
    </w:p>
    <w:p>
      <w:pPr>
        <w:pStyle w:val="Standard"/>
        <w:numPr>
          <w:ilvl w:val="0"/>
          <w:numId w:val="20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пункте 2.1 указывается процент заработной платы производственного персонала в составе себестоимости (</w:t>
      </w:r>
      <w:r>
        <w:rPr>
          <w:rFonts w:eastAsia="Calibri"/>
          <w:b/>
          <w:u w:val="single"/>
          <w:lang w:eastAsia="en-US"/>
        </w:rPr>
        <w:t>без учета субподрядных работ</w:t>
      </w:r>
      <w:r>
        <w:rPr>
          <w:rFonts w:eastAsia="Calibri"/>
          <w:lang w:eastAsia="en-US"/>
        </w:rPr>
        <w:t>), находящийся в пределах не менее 30%–уточняется по данным организации в соответствии с бизнес-планом. Данные по оплате труда, процент заработной платы в составе себестоимости, уровень рентабельности организации принимаются в соответствии с плановыми показателями на соответствующий период выполнения работ (оказания услуг) и утверждаются внутренним документом организации.</w:t>
      </w:r>
    </w:p>
    <w:p>
      <w:pPr>
        <w:pStyle w:val="Standard"/>
        <w:numPr>
          <w:ilvl w:val="0"/>
          <w:numId w:val="108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пункте 2.2 производится расчет себестоимости работ (услуг) на основании выполненного в разделе 1 расчета заработной платы и ее процента в составе себестоимости работ (услуг) (отношение итога графы 7 раздела 1 к пункту 2.1);</w:t>
      </w:r>
    </w:p>
    <w:p>
      <w:pPr>
        <w:pStyle w:val="Standard"/>
        <w:numPr>
          <w:ilvl w:val="0"/>
          <w:numId w:val="109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Standard"/>
        <w:numPr>
          <w:ilvl w:val="0"/>
          <w:numId w:val="110"/>
        </w:numPr>
        <w:tabs>
          <w:tab w:val="clear" w:pos="708"/>
          <w:tab w:val="left" w:pos="993" w:leader="none"/>
          <w:tab w:val="left" w:pos="1080" w:leader="none"/>
        </w:tabs>
        <w:ind w:firstLine="709" w:left="0"/>
        <w:rPr/>
      </w:pPr>
      <w:r>
        <w:rPr>
          <w:rFonts w:eastAsia="Calibri"/>
          <w:lang w:eastAsia="en-US"/>
        </w:rPr>
        <w:t>уровень рентабельности по отношению к себестоимости может составлять до 15%.</w:t>
      </w:r>
    </w:p>
    <w:p>
      <w:pPr>
        <w:sectPr>
          <w:headerReference w:type="default" r:id="rId10"/>
          <w:headerReference w:type="first" r:id="rId11"/>
          <w:footnotePr>
            <w:numFmt w:val="decimal"/>
          </w:footnotePr>
          <w:type w:val="nextPage"/>
          <w:pgSz w:w="11906" w:h="16838"/>
          <w:pgMar w:left="1701" w:right="567" w:gutter="0" w:header="720" w:top="777" w:footer="0" w:bottom="1134"/>
          <w:pgNumType w:fmt="decimal"/>
          <w:formProt w:val="false"/>
          <w:textDirection w:val="lrTb"/>
          <w:docGrid w:type="default" w:linePitch="100" w:charSpace="0"/>
        </w:sectPr>
        <w:pStyle w:val="Standard"/>
        <w:tabs>
          <w:tab w:val="clear" w:pos="708"/>
          <w:tab w:val="left" w:pos="993" w:leader="none"/>
          <w:tab w:val="left" w:pos="1080" w:leader="none"/>
        </w:tabs>
        <w:ind w:firstLine="709"/>
        <w:rPr/>
      </w:pPr>
      <w:r>
        <w:rPr>
          <w:rFonts w:eastAsia="SimSun"/>
        </w:rPr>
        <w:t>К сметной документации необходимо приложить все справочные данные по вышеуказанным экономическим характеристикам предприятия в виде официальной справки (образец в Приложении №1 к пояснительной записке по заполнению формы №3П).</w:t>
      </w:r>
    </w:p>
    <w:p>
      <w:pPr>
        <w:pStyle w:val="Standard"/>
        <w:ind w:left="5811"/>
        <w:jc w:val="right"/>
        <w:rPr/>
      </w:pPr>
      <w:r>
        <w:rPr>
          <w:rFonts w:eastAsia="SimSun"/>
          <w:sz w:val="20"/>
          <w:szCs w:val="20"/>
        </w:rPr>
        <w:t>Приложение №1</w:t>
      </w:r>
    </w:p>
    <w:p>
      <w:pPr>
        <w:pStyle w:val="Standard"/>
        <w:ind w:left="5811"/>
        <w:jc w:val="right"/>
        <w:rPr/>
      </w:pPr>
      <w:r>
        <w:rPr>
          <w:rFonts w:eastAsia="SimSun"/>
          <w:sz w:val="20"/>
          <w:szCs w:val="20"/>
        </w:rPr>
        <w:t>к пояснительной записке</w:t>
      </w:r>
    </w:p>
    <w:p>
      <w:pPr>
        <w:pStyle w:val="Standard"/>
        <w:ind w:left="5811"/>
        <w:jc w:val="right"/>
        <w:rPr/>
      </w:pPr>
      <w:r>
        <w:rPr>
          <w:rFonts w:eastAsia="SimSun"/>
          <w:sz w:val="20"/>
          <w:szCs w:val="20"/>
        </w:rPr>
        <w:t xml:space="preserve"> </w:t>
      </w:r>
      <w:r>
        <w:rPr>
          <w:rFonts w:eastAsia="SimSun"/>
          <w:sz w:val="20"/>
          <w:szCs w:val="20"/>
        </w:rPr>
        <w:t>по заполнению формы 3П</w:t>
      </w:r>
    </w:p>
    <w:p>
      <w:pPr>
        <w:pStyle w:val="Standard"/>
        <w:ind w:left="5811"/>
        <w:jc w:val="center"/>
        <w:rPr>
          <w:rFonts w:eastAsia="SimSun"/>
          <w:b/>
        </w:rPr>
      </w:pPr>
      <w:r>
        <w:rPr>
          <w:rFonts w:eastAsia="SimSun"/>
          <w:b/>
        </w:rPr>
      </w:r>
    </w:p>
    <w:p>
      <w:pPr>
        <w:pStyle w:val="Standard"/>
        <w:jc w:val="center"/>
        <w:rPr/>
      </w:pPr>
      <w:r>
        <w:rPr>
          <w:rFonts w:eastAsia="SimSun"/>
          <w:b/>
          <w:sz w:val="20"/>
          <w:szCs w:val="20"/>
        </w:rPr>
        <w:t>СПРАВКА от______________ (указать дату составления справки) (Образец)</w:t>
      </w:r>
    </w:p>
    <w:p>
      <w:pPr>
        <w:pStyle w:val="Standard"/>
        <w:rPr/>
      </w:pPr>
      <w:r>
        <w:rPr>
          <w:rFonts w:eastAsia="SimSun"/>
          <w:sz w:val="20"/>
          <w:szCs w:val="20"/>
        </w:rPr>
        <w:t>Настоящим (краткое/полное наименование организации исполнителя) сообщает о том, что средняя оплата труда специалистов за рабочий день составляет:</w:t>
      </w:r>
    </w:p>
    <w:p>
      <w:pPr>
        <w:pStyle w:val="Standard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</w:r>
    </w:p>
    <w:tbl>
      <w:tblPr>
        <w:tblW w:w="9517" w:type="dxa"/>
        <w:jc w:val="left"/>
        <w:tblInd w:w="21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47"/>
        <w:gridCol w:w="4203"/>
        <w:gridCol w:w="3567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 xml:space="preserve">№ </w:t>
            </w:r>
            <w:r>
              <w:rPr>
                <w:rFonts w:eastAsia="SimSun"/>
                <w:sz w:val="20"/>
                <w:szCs w:val="20"/>
              </w:rPr>
              <w:t>п/п</w:t>
            </w:r>
          </w:p>
        </w:tc>
        <w:tc>
          <w:tcPr>
            <w:tcW w:w="42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Должность специалиста</w:t>
            </w:r>
          </w:p>
        </w:tc>
        <w:tc>
          <w:tcPr>
            <w:tcW w:w="3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1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2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3</w:t>
            </w:r>
          </w:p>
        </w:tc>
        <w:tc>
          <w:tcPr>
            <w:tcW w:w="42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(указать должность)</w:t>
            </w:r>
          </w:p>
        </w:tc>
        <w:tc>
          <w:tcPr>
            <w:tcW w:w="3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SimSun"/>
                <w:sz w:val="20"/>
                <w:szCs w:val="20"/>
              </w:rPr>
              <w:t>-</w:t>
            </w:r>
          </w:p>
        </w:tc>
      </w:tr>
    </w:tbl>
    <w:p>
      <w:pPr>
        <w:pStyle w:val="Standard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</w:r>
    </w:p>
    <w:p>
      <w:pPr>
        <w:pStyle w:val="Standard"/>
        <w:rPr/>
      </w:pPr>
      <w:r>
        <w:rPr>
          <w:rFonts w:eastAsia="SimSun"/>
          <w:sz w:val="20"/>
          <w:szCs w:val="20"/>
        </w:rPr>
        <w:t>Доля заработной платы в себестоимости работ, выполняемых собственными /силами___ (%)</w:t>
      </w:r>
    </w:p>
    <w:p>
      <w:pPr>
        <w:pStyle w:val="Standard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</w:r>
    </w:p>
    <w:p>
      <w:pPr>
        <w:pStyle w:val="Standard"/>
        <w:rPr/>
      </w:pPr>
      <w:r>
        <w:rPr>
          <w:rFonts w:eastAsia="SimSun"/>
          <w:sz w:val="20"/>
          <w:szCs w:val="20"/>
        </w:rPr>
        <w:t>Рентабельность предприятия_______ (%)</w:t>
      </w:r>
    </w:p>
    <w:p>
      <w:pPr>
        <w:pStyle w:val="Standard"/>
        <w:rPr>
          <w:rFonts w:eastAsia="SimSun"/>
          <w:b/>
          <w:sz w:val="20"/>
          <w:szCs w:val="20"/>
        </w:rPr>
      </w:pPr>
      <w:r>
        <w:rPr>
          <w:rFonts w:eastAsia="SimSun"/>
          <w:b/>
          <w:sz w:val="20"/>
          <w:szCs w:val="20"/>
        </w:rPr>
      </w:r>
    </w:p>
    <w:p>
      <w:pPr>
        <w:pStyle w:val="Standard"/>
        <w:rPr/>
      </w:pPr>
      <w:r>
        <w:rPr>
          <w:rFonts w:eastAsia="SimSun"/>
          <w:sz w:val="20"/>
          <w:szCs w:val="20"/>
        </w:rPr>
        <w:t>(Должность единоличного исполнительного органа контрагента/исполнителя)</w:t>
        <w:tab/>
        <w:tab/>
      </w:r>
    </w:p>
    <w:p>
      <w:pPr>
        <w:pStyle w:val="Standard"/>
        <w:rPr/>
      </w:pPr>
      <w:r>
        <w:rPr>
          <w:rFonts w:eastAsia="SimSun"/>
          <w:sz w:val="20"/>
          <w:szCs w:val="20"/>
        </w:rPr>
        <w:t>(краткое/полное наименование организации) ________________ (ФИО)</w:t>
      </w:r>
    </w:p>
    <w:p>
      <w:pPr>
        <w:pStyle w:val="Standard"/>
        <w:rPr/>
      </w:pPr>
      <w:r>
        <w:rPr>
          <w:rFonts w:eastAsia="SimSun"/>
          <w:sz w:val="20"/>
          <w:szCs w:val="20"/>
        </w:rPr>
        <w:t>м.п</w:t>
      </w:r>
    </w:p>
    <w:p>
      <w:pPr>
        <w:pStyle w:val="Standard"/>
        <w:rPr/>
      </w:pPr>
      <w:r>
        <w:rPr>
          <w:rFonts w:eastAsia="SimSun"/>
          <w:sz w:val="20"/>
          <w:szCs w:val="20"/>
        </w:rPr>
        <w:t>(Главный бухгалтер)</w:t>
      </w:r>
      <w:r>
        <w:rPr>
          <w:rStyle w:val="FootnoteReference"/>
          <w:rFonts w:eastAsia="SimSun"/>
          <w:sz w:val="20"/>
          <w:szCs w:val="20"/>
        </w:rPr>
        <w:footnoteReference w:id="6"/>
      </w:r>
      <w:r>
        <w:rPr>
          <w:rFonts w:eastAsia="SimSun"/>
          <w:sz w:val="20"/>
          <w:szCs w:val="20"/>
        </w:rPr>
        <w:tab/>
        <w:tab/>
      </w:r>
    </w:p>
    <w:p>
      <w:pPr>
        <w:pStyle w:val="Standard"/>
        <w:rPr/>
      </w:pPr>
      <w:r>
        <w:rPr>
          <w:rFonts w:eastAsia="SimSun"/>
          <w:sz w:val="20"/>
          <w:szCs w:val="20"/>
        </w:rPr>
        <w:t>(краткое/полное наименование организации контрагента/исполнителя) ________________ (ФИО)</w:t>
      </w:r>
    </w:p>
    <w:p>
      <w:pPr>
        <w:pStyle w:val="Standard"/>
        <w:rPr/>
      </w:pPr>
      <w:r>
        <w:rPr>
          <w:rFonts w:eastAsia="SimSun"/>
          <w:sz w:val="20"/>
          <w:szCs w:val="20"/>
        </w:rPr>
        <w:t>м.п</w:t>
      </w:r>
    </w:p>
    <w:p>
      <w:pPr>
        <w:pStyle w:val="Standard"/>
        <w:rPr>
          <w:rFonts w:eastAsia="SimSun"/>
        </w:rPr>
      </w:pPr>
      <w:r>
        <w:rPr>
          <w:rFonts w:eastAsia="SimSun"/>
        </w:rPr>
      </w:r>
    </w:p>
    <w:p>
      <w:pPr>
        <w:pStyle w:val="Standard"/>
        <w:rPr>
          <w:rFonts w:eastAsia="SimSun"/>
        </w:rPr>
      </w:pPr>
      <w:r>
        <w:rPr>
          <w:rFonts w:eastAsia="SimSun"/>
        </w:rPr>
      </w:r>
      <w:r>
        <w:br w:type="page"/>
      </w:r>
    </w:p>
    <w:p>
      <w:pPr>
        <w:pStyle w:val="Standard"/>
        <w:ind w:left="4536"/>
        <w:rPr/>
      </w:pPr>
      <w:r>
        <w:rPr>
          <w:rFonts w:eastAsia="SimSun"/>
        </w:rPr>
        <w:t>Приложение № 2</w:t>
      </w:r>
    </w:p>
    <w:p>
      <w:pPr>
        <w:pStyle w:val="Standard"/>
        <w:ind w:left="4536"/>
        <w:rPr/>
      </w:pPr>
      <w:r>
        <w:rPr>
          <w:rFonts w:eastAsia="SimSun"/>
        </w:rPr>
        <w:t>к Требованиям к оформлению и составлению документации по ценообразованию на Работы (Услуги)</w:t>
      </w:r>
    </w:p>
    <w:p>
      <w:pPr>
        <w:pStyle w:val="Standard"/>
        <w:ind w:left="5103"/>
        <w:rPr>
          <w:rFonts w:eastAsia="SimSun"/>
        </w:rPr>
      </w:pPr>
      <w:r>
        <w:rPr>
          <w:rFonts w:eastAsia="SimSun"/>
        </w:rPr>
      </w:r>
    </w:p>
    <w:p>
      <w:pPr>
        <w:pStyle w:val="Standard"/>
        <w:shd w:val="clear" w:color="auto" w:fill="FFFFFF"/>
        <w:rPr/>
      </w:pPr>
      <w:r>
        <w:rPr>
          <w:rFonts w:eastAsia="SimSun"/>
          <w:b/>
        </w:rPr>
        <w:t>Образец 3П</w:t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354"/>
      </w:tblGrid>
      <w:tr>
        <w:trPr/>
        <w:tc>
          <w:tcPr>
            <w:tcW w:w="9354" w:type="dxa"/>
            <w:tcBorders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Приложение к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(договору, дополнительному соглашению)_________________________________________</w:t>
            </w:r>
          </w:p>
          <w:tbl>
            <w:tblPr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4901"/>
              <w:gridCol w:w="4237"/>
            </w:tblGrid>
            <w:tr>
              <w:trPr>
                <w:trHeight w:val="417" w:hRule="atLeast"/>
              </w:trPr>
              <w:tc>
                <w:tcPr>
                  <w:tcW w:w="4901" w:type="dxa"/>
                  <w:tcBorders/>
                  <w:vAlign w:val="bottom"/>
                </w:tcPr>
                <w:p>
                  <w:pPr>
                    <w:pStyle w:val="Standard"/>
                    <w:widowControl w:val="false"/>
                    <w:rPr>
                      <w:rFonts w:eastAsia="SimSun"/>
                      <w:b/>
                      <w:bCs/>
                    </w:rPr>
                  </w:pPr>
                  <w:r>
                    <w:rPr>
                      <w:rFonts w:eastAsia="SimSun"/>
                      <w:b/>
                      <w:bCs/>
                    </w:rPr>
                  </w:r>
                </w:p>
                <w:p>
                  <w:pPr>
                    <w:pStyle w:val="Standard"/>
                    <w:widowControl w:val="false"/>
                    <w:rPr/>
                  </w:pPr>
                  <w:r>
                    <w:rPr>
                      <w:rFonts w:eastAsia="SimSun"/>
                      <w:b/>
                      <w:bCs/>
                    </w:rPr>
                    <w:t>СОГЛАСОВАНО:</w:t>
                  </w:r>
                </w:p>
                <w:p>
                  <w:pPr>
                    <w:pStyle w:val="Standard"/>
                    <w:widowControl w:val="false"/>
                    <w:rPr/>
                  </w:pPr>
                  <w:r>
                    <w:rPr>
                      <w:rFonts w:eastAsia="SimSun"/>
                    </w:rPr>
                    <w:t>______________ Подрядчик (Исполнитель)</w:t>
                  </w:r>
                </w:p>
                <w:p>
                  <w:pPr>
                    <w:pStyle w:val="Standard"/>
                    <w:widowControl w:val="false"/>
                    <w:rPr>
                      <w:rFonts w:eastAsia="SimSun"/>
                    </w:rPr>
                  </w:pPr>
                  <w:r>
                    <w:rPr>
                      <w:rFonts w:eastAsia="SimSun"/>
                    </w:rPr>
                  </w:r>
                </w:p>
                <w:p>
                  <w:pPr>
                    <w:pStyle w:val="Standard"/>
                    <w:widowControl w:val="false"/>
                    <w:rPr/>
                  </w:pPr>
                  <w:r>
                    <w:rPr>
                      <w:rFonts w:eastAsia="SimSun"/>
                    </w:rPr>
                    <w:t>_________________ Ф.И.О.</w:t>
                  </w:r>
                </w:p>
                <w:p>
                  <w:pPr>
                    <w:pStyle w:val="Standard"/>
                    <w:widowControl w:val="false"/>
                    <w:rPr>
                      <w:rFonts w:eastAsia="SimSun"/>
                    </w:rPr>
                  </w:pPr>
                  <w:r>
                    <w:rPr>
                      <w:rFonts w:eastAsia="SimSun"/>
                    </w:rPr>
                  </w:r>
                </w:p>
              </w:tc>
              <w:tc>
                <w:tcPr>
                  <w:tcW w:w="4237" w:type="dxa"/>
                  <w:tcBorders/>
                </w:tcPr>
                <w:p>
                  <w:pPr>
                    <w:pStyle w:val="Standard"/>
                    <w:widowControl w:val="false"/>
                    <w:rPr>
                      <w:rFonts w:eastAsia="SimSun"/>
                      <w:b/>
                      <w:bCs/>
                    </w:rPr>
                  </w:pPr>
                  <w:r>
                    <w:rPr>
                      <w:rFonts w:eastAsia="SimSun"/>
                      <w:b/>
                      <w:bCs/>
                    </w:rPr>
                  </w:r>
                </w:p>
                <w:p>
                  <w:pPr>
                    <w:pStyle w:val="Standard"/>
                    <w:widowControl w:val="false"/>
                    <w:rPr/>
                  </w:pPr>
                  <w:r>
                    <w:rPr>
                      <w:rFonts w:eastAsia="SimSun"/>
                      <w:b/>
                      <w:bCs/>
                    </w:rPr>
                    <w:t>УТВЕРЖДАЮ:</w:t>
                  </w:r>
                </w:p>
                <w:p>
                  <w:pPr>
                    <w:pStyle w:val="Standard"/>
                    <w:widowControl w:val="false"/>
                    <w:rPr/>
                  </w:pPr>
                  <w:r>
                    <w:rPr>
                      <w:rFonts w:eastAsia="SimSun"/>
                    </w:rPr>
                    <w:t>_________________(Заказчик)</w:t>
                  </w:r>
                </w:p>
                <w:p>
                  <w:pPr>
                    <w:pStyle w:val="Standard"/>
                    <w:widowControl w:val="false"/>
                    <w:rPr>
                      <w:rFonts w:eastAsia="SimSun"/>
                      <w:bCs/>
                    </w:rPr>
                  </w:pPr>
                  <w:r>
                    <w:rPr>
                      <w:rFonts w:eastAsia="SimSun"/>
                      <w:bCs/>
                    </w:rPr>
                  </w:r>
                </w:p>
                <w:p>
                  <w:pPr>
                    <w:pStyle w:val="Standard"/>
                    <w:widowControl w:val="false"/>
                    <w:rPr/>
                  </w:pPr>
                  <w:r>
                    <w:rPr>
                      <w:rFonts w:eastAsia="SimSun"/>
                    </w:rPr>
                    <w:t>_________________ Ф.И.О</w:t>
                  </w:r>
                </w:p>
                <w:p>
                  <w:pPr>
                    <w:pStyle w:val="Standard"/>
                    <w:widowControl w:val="false"/>
                    <w:rPr>
                      <w:rFonts w:eastAsia="SimSun"/>
                      <w:b/>
                      <w:bCs/>
                    </w:rPr>
                  </w:pPr>
                  <w:r>
                    <w:rPr>
                      <w:rFonts w:eastAsia="SimSun"/>
                      <w:b/>
                      <w:bCs/>
                    </w:rPr>
                  </w:r>
                </w:p>
              </w:tc>
            </w:tr>
          </w:tbl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b/>
                <w:bCs/>
              </w:rPr>
              <w:t xml:space="preserve">Расчет стоимости услуг № </w:t>
              <w:br/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sz w:val="20"/>
                <w:szCs w:val="20"/>
              </w:rPr>
              <w:t>Наименование работ (услуг)__________________________________________________________________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sz w:val="20"/>
                <w:szCs w:val="20"/>
              </w:rPr>
              <w:t>Наименование организации — подрядчика (исполнителя) ________________________________________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sz w:val="20"/>
                <w:szCs w:val="20"/>
              </w:rPr>
              <w:t>Наименование организации заказчика _________________________________________________________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b/>
              </w:rPr>
              <w:t>1. Расчет заработной платы</w:t>
            </w:r>
            <w:r>
              <w:rPr>
                <w:rFonts w:eastAsia="SimSun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5000" w:type="pct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549"/>
              <w:gridCol w:w="2121"/>
              <w:gridCol w:w="1127"/>
              <w:gridCol w:w="1073"/>
              <w:gridCol w:w="1257"/>
              <w:gridCol w:w="1255"/>
              <w:gridCol w:w="1756"/>
            </w:tblGrid>
            <w:tr>
              <w:trPr>
                <w:tblHeader w:val="true"/>
              </w:trPr>
              <w:tc>
                <w:tcPr>
                  <w:tcW w:w="54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</w:rPr>
                    <w:t xml:space="preserve">№ </w:t>
                  </w:r>
                  <w:r>
                    <w:rPr>
                      <w:rFonts w:eastAsia="SimSun"/>
                      <w:sz w:val="20"/>
                      <w:szCs w:val="20"/>
                    </w:rPr>
                    <w:t>п.п.</w:t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Перечень выполняемых работ</w:t>
                  </w:r>
                </w:p>
              </w:tc>
              <w:tc>
                <w:tcPr>
                  <w:tcW w:w="2200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Исполнители</w:t>
                  </w:r>
                </w:p>
              </w:tc>
              <w:tc>
                <w:tcPr>
                  <w:tcW w:w="1257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Количество человеко-дней</w:t>
                  </w:r>
                </w:p>
              </w:tc>
              <w:tc>
                <w:tcPr>
                  <w:tcW w:w="125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Средняя оплата труда</w:t>
                  </w:r>
                </w:p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SimSun"/>
                      <w:sz w:val="20"/>
                      <w:szCs w:val="20"/>
                    </w:rPr>
                    <w:t>за 1 день</w:t>
                  </w:r>
                </w:p>
              </w:tc>
              <w:tc>
                <w:tcPr>
                  <w:tcW w:w="1756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4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pStyle w:val="Normal"/>
                    <w:suppressAutoHyphens w:val="false"/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Standard"/>
                    <w:widowControl w:val="false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/>
                  </w:pPr>
                  <w:r>
                    <w:rPr>
                      <w:rFonts w:eastAsia="SimSun"/>
                      <w:sz w:val="20"/>
                    </w:rPr>
                    <w:t>количество</w:t>
                  </w: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должность</w:t>
                  </w:r>
                </w:p>
              </w:tc>
              <w:tc>
                <w:tcPr>
                  <w:tcW w:w="1257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pStyle w:val="Normal"/>
                    <w:suppressAutoHyphens w:val="false"/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r>
                </w:p>
              </w:tc>
              <w:tc>
                <w:tcPr>
                  <w:tcW w:w="1255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pStyle w:val="Normal"/>
                    <w:suppressAutoHyphens w:val="false"/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r>
                </w:p>
              </w:tc>
              <w:tc>
                <w:tcPr>
                  <w:tcW w:w="1756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pStyle w:val="Normal"/>
                    <w:suppressAutoHyphens w:val="false"/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pPr>
                  <w:r>
                    <w:rPr>
                      <w:color w:val="000000"/>
                      <w:kern w:val="2"/>
                      <w:sz w:val="24"/>
                      <w:szCs w:val="24"/>
                      <w:lang w:eastAsia="zh-CN" w:bidi="hi-IN"/>
                    </w:rPr>
                  </w:r>
                </w:p>
              </w:tc>
            </w:tr>
            <w:tr>
              <w:trPr>
                <w:tblHeader w:val="true"/>
              </w:trPr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</w:rPr>
                    <w:t>1</w:t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</w:rPr>
                    <w:t>2</w:t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</w:rPr>
                    <w:t>3</w:t>
                  </w:r>
                </w:p>
              </w:tc>
              <w:tc>
                <w:tcPr>
                  <w:tcW w:w="1073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</w:rPr>
                    <w:t>4</w:t>
                  </w:r>
                </w:p>
              </w:tc>
              <w:tc>
                <w:tcPr>
                  <w:tcW w:w="1257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</w:rPr>
                    <w:t>5</w:t>
                  </w: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jc w:val="center"/>
                    <w:rPr/>
                  </w:pPr>
                  <w:r>
                    <w:rPr>
                      <w:rFonts w:eastAsia="SimSun"/>
                      <w:sz w:val="20"/>
                      <w:szCs w:val="20"/>
                    </w:rPr>
                    <w:t>7</w:t>
                  </w:r>
                </w:p>
              </w:tc>
            </w:tr>
            <w:tr>
              <w:trPr/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212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12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073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257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255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</w:r>
                </w:p>
              </w:tc>
              <w:tc>
                <w:tcPr>
                  <w:tcW w:w="175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</w:r>
                </w:p>
              </w:tc>
            </w:tr>
            <w:tr>
              <w:trPr/>
              <w:tc>
                <w:tcPr>
                  <w:tcW w:w="54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2121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12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257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</w:rPr>
                  </w:pPr>
                  <w:r>
                    <w:rPr>
                      <w:rFonts w:eastAsia="SimSun"/>
                      <w:sz w:val="20"/>
                    </w:rPr>
                  </w:r>
                </w:p>
              </w:tc>
              <w:tc>
                <w:tcPr>
                  <w:tcW w:w="12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</w:r>
                </w:p>
              </w:tc>
              <w:tc>
                <w:tcPr>
                  <w:tcW w:w="1756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Standard"/>
                    <w:widowControl w:val="false"/>
                    <w:shd w:val="clear" w:color="auto" w:fill="FFFFFF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</w:r>
                </w:p>
              </w:tc>
            </w:tr>
          </w:tbl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Итого заработной платы, в руб.______________________________________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b/>
              </w:rPr>
              <w:t>2. Расчет стоимости выполнения работ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2.1 Процент заработной платы в составе себестоимости, %_______________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2.2 Себестоимость работ____________________________________________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2.3 Уровень рентабельности, %______________________________________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b/>
                <w:bCs/>
              </w:rPr>
              <w:t>Итого:</w:t>
            </w:r>
            <w:r>
              <w:rPr>
                <w:rFonts w:eastAsia="SimSun"/>
              </w:rPr>
              <w:t>___________________________________________________________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3 Командировочные расходы (по расчету)_____________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b/>
              </w:rPr>
              <w:t>Всего (руб.)</w:t>
            </w:r>
            <w:r>
              <w:rPr>
                <w:rFonts w:eastAsia="SimSun"/>
              </w:rPr>
              <w:t>_______________________________________________________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__________________________________________________________________(сумма прописью)</w:t>
            </w:r>
          </w:p>
          <w:p>
            <w:pPr>
              <w:pStyle w:val="Standard"/>
              <w:widowControl w:val="false"/>
              <w:shd w:val="clear" w:color="auto" w:fill="FFFFFF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sz w:val="20"/>
                <w:szCs w:val="20"/>
              </w:rPr>
              <w:t>Составил:______________/должность, организация/__________/подпись/_______/расшифровка подписи/</w:t>
            </w:r>
          </w:p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sz w:val="20"/>
                <w:szCs w:val="20"/>
              </w:rPr>
              <w:t>Проверил:___________/должность, организация/_____________/подпись/_______ /расшифровка подписи/</w:t>
            </w:r>
          </w:p>
        </w:tc>
      </w:tr>
      <w:tr>
        <w:trPr/>
        <w:tc>
          <w:tcPr>
            <w:tcW w:w="9354" w:type="dxa"/>
            <w:tcBorders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</w:tbl>
    <w:p>
      <w:pPr>
        <w:sectPr>
          <w:headerReference w:type="default" r:id="rId12"/>
          <w:headerReference w:type="first" r:id="rId13"/>
          <w:footnotePr>
            <w:numFmt w:val="decimal"/>
          </w:footnotePr>
          <w:type w:val="nextPage"/>
          <w:pgSz w:w="11906" w:h="16838"/>
          <w:pgMar w:left="1417" w:right="850" w:gutter="0" w:header="709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Standard"/>
        <w:ind w:left="5670"/>
        <w:rPr/>
      </w:pPr>
      <w:r>
        <w:rPr>
          <w:rFonts w:eastAsia="SimSun"/>
        </w:rPr>
        <w:t>Приложение № 3</w:t>
      </w:r>
    </w:p>
    <w:p>
      <w:pPr>
        <w:pStyle w:val="Standard"/>
        <w:ind w:left="5670"/>
        <w:rPr/>
      </w:pPr>
      <w:r>
        <w:rPr>
          <w:rFonts w:eastAsia="SimSun"/>
        </w:rPr>
        <w:t>к Требованиям к оформлению и составлению документации по ценообразованию на Работы (Услуги)</w:t>
      </w:r>
    </w:p>
    <w:p>
      <w:pPr>
        <w:pStyle w:val="Standard"/>
        <w:ind w:left="5812"/>
        <w:rPr>
          <w:rFonts w:eastAsia="SimSun"/>
        </w:rPr>
      </w:pPr>
      <w:r>
        <w:rPr>
          <w:rFonts w:eastAsia="SimSun"/>
        </w:rPr>
      </w:r>
      <w:bookmarkStart w:id="38" w:name="RANGE!A1%2525252525252525252525252525252"/>
      <w:bookmarkStart w:id="39" w:name="RANGE!A1%2525252525252525252525252525252"/>
      <w:bookmarkEnd w:id="39"/>
    </w:p>
    <w:p>
      <w:pPr>
        <w:pStyle w:val="Standard"/>
        <w:rPr/>
      </w:pPr>
      <w:r>
        <w:rPr>
          <w:rFonts w:eastAsia="SimSun"/>
          <w:b/>
        </w:rPr>
        <w:t>Образец</w:t>
      </w:r>
    </w:p>
    <w:p>
      <w:pPr>
        <w:pStyle w:val="Standard"/>
        <w:shd w:val="clear" w:color="auto" w:fill="FFFFFF"/>
        <w:ind w:left="5530"/>
        <w:rPr/>
      </w:pPr>
      <w:r>
        <w:rPr>
          <w:rFonts w:eastAsia="SimSun"/>
          <w:sz w:val="20"/>
        </w:rPr>
        <w:t>Приложение №_____</w:t>
      </w:r>
    </w:p>
    <w:p>
      <w:pPr>
        <w:pStyle w:val="Standard"/>
        <w:shd w:val="clear" w:color="auto" w:fill="FFFFFF"/>
        <w:ind w:left="5530"/>
        <w:rPr/>
      </w:pPr>
      <w:r>
        <w:rPr>
          <w:rFonts w:eastAsia="SimSun"/>
          <w:sz w:val="20"/>
        </w:rPr>
        <w:t>к договору, дополнительному соглашению</w:t>
      </w:r>
      <w:r>
        <w:rPr>
          <w:rFonts w:eastAsia="SimSun"/>
          <w:sz w:val="20"/>
          <w:szCs w:val="20"/>
        </w:rPr>
        <w:t xml:space="preserve"> №____от _______</w:t>
      </w:r>
    </w:p>
    <w:p>
      <w:pPr>
        <w:pStyle w:val="Standard"/>
        <w:shd w:val="clear" w:color="auto" w:fill="FFFFFF"/>
        <w:ind w:left="5530"/>
        <w:rPr>
          <w:rFonts w:eastAsia="SimSun"/>
        </w:rPr>
      </w:pPr>
      <w:r>
        <w:rPr>
          <w:rFonts w:eastAsia="SimSun"/>
        </w:rPr>
      </w:r>
    </w:p>
    <w:tbl>
      <w:tblPr>
        <w:tblW w:w="9998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54"/>
        <w:gridCol w:w="5143"/>
      </w:tblGrid>
      <w:tr>
        <w:trPr>
          <w:trHeight w:val="417" w:hRule="atLeast"/>
        </w:trPr>
        <w:tc>
          <w:tcPr>
            <w:tcW w:w="4854" w:type="dxa"/>
            <w:tcBorders/>
            <w:vAlign w:val="bottom"/>
          </w:tcPr>
          <w:p>
            <w:pPr>
              <w:pStyle w:val="Standard"/>
              <w:widowControl w:val="false"/>
              <w:rPr/>
            </w:pPr>
            <w:r>
              <w:rPr>
                <w:rFonts w:eastAsia="SimSun"/>
                <w:b/>
                <w:bCs/>
              </w:rPr>
              <w:t>СОГЛАСОВАНО: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eastAsia="SimSun"/>
                <w:sz w:val="20"/>
                <w:szCs w:val="20"/>
              </w:rPr>
              <w:t>_</w:t>
            </w:r>
            <w:r>
              <w:rPr>
                <w:rFonts w:eastAsia="SimSun"/>
              </w:rPr>
              <w:t>______________</w:t>
            </w:r>
            <w:r>
              <w:rPr>
                <w:rFonts w:eastAsia="SimSun"/>
                <w:bCs/>
              </w:rPr>
              <w:t>_Подрядчик</w:t>
            </w: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  <w:bCs/>
              </w:rPr>
              <w:t>(Исполнител</w:t>
            </w:r>
            <w:r>
              <w:rPr>
                <w:rFonts w:eastAsia="SimSun"/>
              </w:rPr>
              <w:t>ь)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eastAsia="SimSun"/>
              </w:rPr>
              <w:t>________________Ф.И.О.</w:t>
            </w:r>
          </w:p>
          <w:p>
            <w:pPr>
              <w:pStyle w:val="Standard"/>
              <w:widowControl w:val="false"/>
              <w:rPr>
                <w:rFonts w:eastAsia="SimSun"/>
                <w:sz w:val="20"/>
                <w:szCs w:val="20"/>
              </w:rPr>
            </w:pPr>
            <w:r>
              <w:rPr>
                <w:rFonts w:eastAsia="SimSun"/>
                <w:sz w:val="20"/>
                <w:szCs w:val="20"/>
              </w:rPr>
            </w:r>
          </w:p>
        </w:tc>
        <w:tc>
          <w:tcPr>
            <w:tcW w:w="5143" w:type="dxa"/>
            <w:tcBorders/>
          </w:tcPr>
          <w:p>
            <w:pPr>
              <w:pStyle w:val="Standard"/>
              <w:widowControl w:val="false"/>
              <w:ind w:left="1460"/>
              <w:rPr/>
            </w:pPr>
            <w:r>
              <w:rPr>
                <w:rFonts w:eastAsia="SimSun"/>
                <w:b/>
                <w:bCs/>
              </w:rPr>
              <w:t>УТВЕРЖДАЮ:</w:t>
            </w:r>
          </w:p>
          <w:p>
            <w:pPr>
              <w:pStyle w:val="Standard"/>
              <w:widowControl w:val="false"/>
              <w:ind w:left="1460"/>
              <w:rPr/>
            </w:pPr>
            <w:r>
              <w:rPr>
                <w:rFonts w:eastAsia="SimSun"/>
                <w:bCs/>
              </w:rPr>
              <w:t>_________________(Заказчик)</w:t>
            </w:r>
          </w:p>
          <w:p>
            <w:pPr>
              <w:pStyle w:val="Standard"/>
              <w:widowControl w:val="false"/>
              <w:ind w:left="1460"/>
              <w:rPr/>
            </w:pPr>
            <w:r>
              <w:rPr>
                <w:rFonts w:eastAsia="SimSun"/>
              </w:rPr>
              <w:t>_________________Ф.И.О</w:t>
            </w:r>
          </w:p>
          <w:p>
            <w:pPr>
              <w:pStyle w:val="Standard"/>
              <w:widowControl w:val="false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</w:r>
          </w:p>
        </w:tc>
      </w:tr>
    </w:tbl>
    <w:p>
      <w:pPr>
        <w:pStyle w:val="Standard"/>
        <w:shd w:val="clear" w:color="auto" w:fill="FFFFFF"/>
        <w:jc w:val="center"/>
        <w:rPr/>
      </w:pPr>
      <w:r>
        <w:rPr>
          <w:rFonts w:eastAsia="SimSun"/>
          <w:b/>
          <w:bCs/>
        </w:rPr>
        <w:t>СВОДНАЯ СМЕТА №</w:t>
      </w:r>
    </w:p>
    <w:p>
      <w:pPr>
        <w:pStyle w:val="Standard"/>
        <w:shd w:val="clear" w:color="auto" w:fill="FFFFFF"/>
        <w:jc w:val="center"/>
        <w:rPr/>
      </w:pPr>
      <w:r>
        <w:rPr>
          <w:rFonts w:eastAsia="SimSun"/>
          <w:b/>
          <w:bCs/>
        </w:rPr>
        <w:t>на выполнение работ (оказание услуг)</w:t>
      </w:r>
    </w:p>
    <w:p>
      <w:pPr>
        <w:pStyle w:val="Standard"/>
        <w:shd w:val="clear" w:color="auto" w:fill="FFFFFF"/>
        <w:jc w:val="center"/>
        <w:rPr>
          <w:rFonts w:eastAsia="SimSun"/>
        </w:rPr>
      </w:pPr>
      <w:r>
        <w:rPr>
          <w:rFonts w:eastAsia="SimSun"/>
        </w:rPr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Наименование работ (услуг) ____________________________________________________</w:t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__________________________________________________________________</w:t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Наименование организации подрядчика (исполнителя)______________________________</w:t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__________________________________________________________________</w:t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Наименование организации заказчика_________________________________</w:t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__________________________________________________________________</w:t>
      </w:r>
    </w:p>
    <w:p>
      <w:pPr>
        <w:pStyle w:val="Standard"/>
        <w:rPr/>
      </w:pPr>
      <w:r>
        <w:rPr>
          <w:rFonts w:eastAsia="SimSun"/>
        </w:rPr>
        <w:t>Составлена в текущих ценах, соответствующих периоду выполнения работ по договору</w:t>
      </w:r>
    </w:p>
    <w:p>
      <w:pPr>
        <w:pStyle w:val="Standard"/>
        <w:jc w:val="right"/>
        <w:rPr/>
      </w:pPr>
      <w:r>
        <w:rPr>
          <w:rFonts w:eastAsia="SimSun"/>
        </w:rPr>
        <w:t>руб.</w:t>
      </w:r>
    </w:p>
    <w:tbl>
      <w:tblPr>
        <w:tblW w:w="9967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HBand="0" w:noVBand="1" w:firstColumn="1" w:lastRow="0" w:lastColumn="0" w:firstRow="1"/>
      </w:tblPr>
      <w:tblGrid>
        <w:gridCol w:w="511"/>
        <w:gridCol w:w="3986"/>
        <w:gridCol w:w="1653"/>
        <w:gridCol w:w="3816"/>
      </w:tblGrid>
      <w:tr>
        <w:trPr>
          <w:tblHeader w:val="true"/>
          <w:trHeight w:val="873" w:hRule="atLeast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 xml:space="preserve">№ </w:t>
            </w:r>
            <w:r>
              <w:rPr>
                <w:rFonts w:eastAsia="SimSun"/>
                <w:sz w:val="20"/>
              </w:rPr>
              <w:t>п.п.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Перечень (наименование) выполняемых работ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Ссылка на № смет и расчетов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Стоимость работ</w:t>
            </w:r>
          </w:p>
        </w:tc>
      </w:tr>
      <w:tr>
        <w:trPr>
          <w:tblHeader w:val="true"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1</w:t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2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3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  <w:sz w:val="20"/>
              </w:rPr>
              <w:t>4</w:t>
            </w:r>
          </w:p>
        </w:tc>
      </w:tr>
      <w:tr>
        <w:trPr/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</w:r>
          </w:p>
        </w:tc>
        <w:tc>
          <w:tcPr>
            <w:tcW w:w="398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</w:r>
          </w:p>
        </w:tc>
        <w:tc>
          <w:tcPr>
            <w:tcW w:w="165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  <w:sz w:val="20"/>
              </w:rPr>
            </w:pPr>
            <w:r>
              <w:rPr>
                <w:rFonts w:eastAsia="SimSun"/>
                <w:sz w:val="20"/>
              </w:rPr>
            </w:r>
          </w:p>
        </w:tc>
      </w:tr>
      <w:tr>
        <w:trPr/>
        <w:tc>
          <w:tcPr>
            <w:tcW w:w="51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5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816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</w:tbl>
    <w:p>
      <w:pPr>
        <w:pStyle w:val="Standard"/>
        <w:shd w:val="clear" w:color="auto" w:fill="FFFFFF"/>
        <w:rPr>
          <w:rFonts w:eastAsia="SimSun"/>
        </w:rPr>
      </w:pPr>
      <w:r>
        <w:rPr>
          <w:rFonts w:eastAsia="SimSun"/>
        </w:rPr>
      </w:r>
    </w:p>
    <w:p>
      <w:pPr>
        <w:pStyle w:val="Standard"/>
        <w:shd w:val="clear" w:color="auto" w:fill="FFFFFF"/>
        <w:rPr/>
      </w:pPr>
      <w:r>
        <w:rPr>
          <w:rFonts w:eastAsia="SimSun"/>
        </w:rPr>
        <w:t>Итого по смете ___________________________________________________</w:t>
      </w:r>
    </w:p>
    <w:p>
      <w:pPr>
        <w:pStyle w:val="Standard"/>
        <w:shd w:val="clear" w:color="auto" w:fill="FFFFFF"/>
        <w:ind w:firstLine="1845"/>
        <w:jc w:val="center"/>
        <w:rPr/>
      </w:pPr>
      <w:r>
        <w:rPr>
          <w:rFonts w:eastAsia="SimSun"/>
        </w:rPr>
        <w:t>(сумма прописью)</w:t>
      </w:r>
    </w:p>
    <w:p>
      <w:pPr>
        <w:pStyle w:val="Standard"/>
        <w:shd w:val="clear" w:color="auto" w:fill="FFFFFF"/>
        <w:ind w:firstLine="1845"/>
        <w:jc w:val="center"/>
        <w:rPr>
          <w:rFonts w:eastAsia="SimSun"/>
        </w:rPr>
      </w:pPr>
      <w:r>
        <w:rPr>
          <w:rFonts w:eastAsia="SimSun"/>
        </w:rPr>
      </w:r>
    </w:p>
    <w:p>
      <w:pPr>
        <w:pStyle w:val="Standard"/>
        <w:shd w:val="clear" w:color="auto" w:fill="FFFFFF"/>
        <w:rPr/>
      </w:pPr>
      <w:r>
        <w:rPr>
          <w:rFonts w:eastAsia="SimSun"/>
          <w:sz w:val="20"/>
          <w:szCs w:val="20"/>
        </w:rPr>
        <w:t>Составил:_________/должность, организация/___________/подпись/_____________/расшифровка подписи/</w:t>
      </w:r>
    </w:p>
    <w:p>
      <w:pPr>
        <w:pStyle w:val="Standard"/>
        <w:shd w:val="clear" w:color="auto" w:fill="FFFFFF"/>
        <w:rPr>
          <w:rFonts w:eastAsia="SimSun"/>
        </w:rPr>
      </w:pPr>
      <w:r>
        <w:rPr>
          <w:rFonts w:eastAsia="SimSun"/>
        </w:rPr>
      </w:r>
    </w:p>
    <w:p>
      <w:pPr>
        <w:sectPr>
          <w:headerReference w:type="default" r:id="rId14"/>
          <w:headerReference w:type="first" r:id="rId15"/>
          <w:footnotePr>
            <w:numFmt w:val="decimal"/>
          </w:footnotePr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  <w:pStyle w:val="Standard"/>
        <w:rPr/>
      </w:pPr>
      <w:r>
        <w:rPr>
          <w:rFonts w:eastAsia="SimSun"/>
          <w:sz w:val="20"/>
          <w:szCs w:val="20"/>
        </w:rPr>
        <w:t>Проверил:___________/должность, организация/_____________/подпись/___________/расшифровка подписи</w:t>
      </w:r>
    </w:p>
    <w:p>
      <w:pPr>
        <w:pStyle w:val="Standard"/>
        <w:widowControl w:val="false"/>
        <w:ind w:left="5812"/>
        <w:rPr/>
      </w:pPr>
      <w:r>
        <w:rPr>
          <w:rFonts w:eastAsia="Calibri"/>
          <w:lang w:eastAsia="en-US"/>
        </w:rPr>
        <w:t>Приложение № 4</w:t>
      </w:r>
    </w:p>
    <w:p>
      <w:pPr>
        <w:pStyle w:val="Standard"/>
        <w:widowControl w:val="false"/>
        <w:ind w:left="5812"/>
        <w:rPr/>
      </w:pPr>
      <w:r>
        <w:rPr>
          <w:rFonts w:eastAsia="Calibri"/>
          <w:lang w:eastAsia="en-US"/>
        </w:rPr>
        <w:t>к Требованиям к оформлению и составлению документации по ценообразованию на Работы (Услуги)</w:t>
      </w:r>
    </w:p>
    <w:p>
      <w:pPr>
        <w:pStyle w:val="Standard"/>
        <w:widowControl w:val="false"/>
        <w:ind w:left="581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</w:r>
    </w:p>
    <w:p>
      <w:pPr>
        <w:pStyle w:val="Standard"/>
        <w:ind w:left="426"/>
        <w:rPr/>
      </w:pPr>
      <w:r>
        <w:rPr>
          <w:rFonts w:eastAsia="SimSun"/>
          <w:b/>
        </w:rPr>
        <w:t>Образец сводной сметы в накопительной форме</w:t>
      </w:r>
    </w:p>
    <w:p>
      <w:pPr>
        <w:pStyle w:val="Standard"/>
        <w:shd w:val="clear" w:color="auto" w:fill="FFFFFF"/>
        <w:ind w:left="5670"/>
        <w:rPr/>
      </w:pPr>
      <w:r>
        <w:rPr>
          <w:rFonts w:eastAsia="SimSun"/>
        </w:rPr>
        <w:t>Приложение №_____</w:t>
      </w:r>
    </w:p>
    <w:p>
      <w:pPr>
        <w:pStyle w:val="Standard"/>
        <w:shd w:val="clear" w:color="auto" w:fill="FFFFFF"/>
        <w:ind w:left="5670"/>
        <w:rPr/>
      </w:pPr>
      <w:r>
        <w:rPr>
          <w:rFonts w:eastAsia="SimSun"/>
        </w:rPr>
        <w:t>к дополнительному соглашению №____от договор №___от___</w:t>
      </w:r>
    </w:p>
    <w:p>
      <w:pPr>
        <w:pStyle w:val="Standard"/>
        <w:shd w:val="clear" w:color="auto" w:fill="FFFFFF"/>
        <w:ind w:left="5530"/>
        <w:rPr>
          <w:rFonts w:eastAsia="SimSun"/>
        </w:rPr>
      </w:pPr>
      <w:r>
        <w:rPr>
          <w:rFonts w:eastAsia="SimSun"/>
        </w:rPr>
      </w:r>
    </w:p>
    <w:tbl>
      <w:tblPr>
        <w:tblW w:w="4700" w:type="pct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88"/>
        <w:gridCol w:w="4636"/>
      </w:tblGrid>
      <w:tr>
        <w:trPr>
          <w:trHeight w:val="417" w:hRule="atLeast"/>
        </w:trPr>
        <w:tc>
          <w:tcPr>
            <w:tcW w:w="4688" w:type="dxa"/>
            <w:tcBorders/>
            <w:vAlign w:val="bottom"/>
          </w:tcPr>
          <w:p>
            <w:pPr>
              <w:pStyle w:val="Standard"/>
              <w:widowControl w:val="false"/>
              <w:rPr/>
            </w:pPr>
            <w:r>
              <w:rPr>
                <w:rFonts w:eastAsia="SimSun"/>
                <w:b/>
                <w:bCs/>
              </w:rPr>
              <w:t>СОГЛАСОВАНО: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eastAsia="SimSun"/>
              </w:rPr>
              <w:t>_____________(Подрядчик (Исполнитель))</w:t>
            </w:r>
          </w:p>
          <w:p>
            <w:pPr>
              <w:pStyle w:val="Standard"/>
              <w:widowControl w:val="false"/>
              <w:rPr/>
            </w:pPr>
            <w:r>
              <w:rPr>
                <w:rFonts w:eastAsia="SimSun"/>
              </w:rPr>
              <w:t>_____________Ф.И.О.</w:t>
            </w:r>
          </w:p>
          <w:p>
            <w:pPr>
              <w:pStyle w:val="Standard"/>
              <w:widowControl w:val="false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4636" w:type="dxa"/>
            <w:tcBorders/>
          </w:tcPr>
          <w:p>
            <w:pPr>
              <w:pStyle w:val="Standard"/>
              <w:widowControl w:val="false"/>
              <w:ind w:left="1460"/>
              <w:rPr/>
            </w:pPr>
            <w:r>
              <w:rPr>
                <w:rFonts w:eastAsia="SimSun"/>
                <w:b/>
                <w:bCs/>
              </w:rPr>
              <w:t>УТВЕРЖДАЮ:</w:t>
            </w:r>
          </w:p>
          <w:p>
            <w:pPr>
              <w:pStyle w:val="Standard"/>
              <w:widowControl w:val="false"/>
              <w:ind w:left="1460"/>
              <w:rPr/>
            </w:pPr>
            <w:r>
              <w:rPr>
                <w:rFonts w:eastAsia="SimSun"/>
                <w:bCs/>
              </w:rPr>
              <w:t>_______________(Заказчик)</w:t>
            </w:r>
            <w:r>
              <w:rPr>
                <w:rFonts w:eastAsia="SimSun"/>
              </w:rPr>
              <w:t>________________Ф.И.О</w:t>
            </w:r>
          </w:p>
          <w:p>
            <w:pPr>
              <w:pStyle w:val="Standard"/>
              <w:widowControl w:val="false"/>
              <w:rPr>
                <w:rFonts w:eastAsia="SimSun"/>
                <w:b/>
                <w:bCs/>
              </w:rPr>
            </w:pPr>
            <w:r>
              <w:rPr>
                <w:rFonts w:eastAsia="SimSun"/>
                <w:b/>
                <w:bCs/>
              </w:rPr>
            </w:r>
          </w:p>
        </w:tc>
      </w:tr>
    </w:tbl>
    <w:p>
      <w:pPr>
        <w:pStyle w:val="Standard"/>
        <w:shd w:val="clear" w:color="auto" w:fill="FFFFFF"/>
        <w:ind w:left="426"/>
        <w:jc w:val="center"/>
        <w:rPr/>
      </w:pPr>
      <w:r>
        <w:rPr>
          <w:rFonts w:eastAsia="SimSun"/>
          <w:b/>
          <w:bCs/>
        </w:rPr>
        <w:t>СВОДНАЯ СМЕТА №</w:t>
      </w:r>
    </w:p>
    <w:p>
      <w:pPr>
        <w:pStyle w:val="Standard"/>
        <w:shd w:val="clear" w:color="auto" w:fill="FFFFFF"/>
        <w:ind w:left="426"/>
        <w:jc w:val="center"/>
        <w:rPr>
          <w:rFonts w:eastAsia="SimSun"/>
        </w:rPr>
      </w:pPr>
      <w:r>
        <w:rPr>
          <w:rFonts w:eastAsia="SimSun"/>
        </w:rPr>
      </w:r>
    </w:p>
    <w:p>
      <w:pPr>
        <w:pStyle w:val="Standard"/>
        <w:shd w:val="clear" w:color="auto" w:fill="FFFFFF"/>
        <w:ind w:left="426"/>
        <w:rPr/>
      </w:pPr>
      <w:r>
        <w:rPr>
          <w:rFonts w:eastAsia="SimSun"/>
        </w:rPr>
        <w:t>Наименование услуг</w:t>
      </w:r>
    </w:p>
    <w:p>
      <w:pPr>
        <w:pStyle w:val="Standard"/>
        <w:shd w:val="clear" w:color="auto" w:fill="FFFFFF"/>
        <w:ind w:left="426"/>
        <w:rPr/>
      </w:pPr>
      <w:r>
        <w:rPr>
          <w:rFonts w:eastAsia="SimSun"/>
        </w:rPr>
        <w:t>___________________________________________________________</w:t>
      </w:r>
    </w:p>
    <w:p>
      <w:pPr>
        <w:pStyle w:val="Standard"/>
        <w:shd w:val="clear" w:color="auto" w:fill="FFFFFF"/>
        <w:ind w:left="426"/>
        <w:rPr/>
      </w:pPr>
      <w:r>
        <w:rPr>
          <w:rFonts w:eastAsia="SimSun"/>
        </w:rPr>
        <w:t>Наименование организации подрядчика (исполнителя) _________________________________</w:t>
      </w:r>
    </w:p>
    <w:p>
      <w:pPr>
        <w:pStyle w:val="Standard"/>
        <w:shd w:val="clear" w:color="auto" w:fill="FFFFFF"/>
        <w:ind w:left="426"/>
        <w:rPr/>
      </w:pPr>
      <w:r>
        <w:rPr>
          <w:rFonts w:eastAsia="SimSun"/>
        </w:rPr>
        <w:t>Наименование организации заказчика_________________________________</w:t>
      </w:r>
    </w:p>
    <w:p>
      <w:pPr>
        <w:pStyle w:val="Standard"/>
        <w:ind w:left="426"/>
        <w:rPr/>
      </w:pPr>
      <w:r>
        <w:rPr>
          <w:rFonts w:eastAsia="SimSun"/>
        </w:rPr>
        <w:t>Составлена в текущих ценах, соответствующих периоду выполнения работ по договору</w:t>
      </w:r>
    </w:p>
    <w:p>
      <w:pPr>
        <w:pStyle w:val="Standard"/>
        <w:ind w:right="423"/>
        <w:jc w:val="right"/>
        <w:rPr/>
      </w:pPr>
      <w:r>
        <w:rPr>
          <w:rFonts w:eastAsia="SimSun"/>
        </w:rPr>
        <w:t>руб.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HBand="0" w:noVBand="1" w:firstColumn="1" w:lastRow="0" w:lastColumn="0" w:firstRow="1"/>
      </w:tblPr>
      <w:tblGrid>
        <w:gridCol w:w="721"/>
        <w:gridCol w:w="3928"/>
        <w:gridCol w:w="1633"/>
        <w:gridCol w:w="3500"/>
      </w:tblGrid>
      <w:tr>
        <w:trPr>
          <w:tblHeader w:val="true"/>
          <w:trHeight w:val="873" w:hRule="atLeast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 xml:space="preserve">№ </w:t>
            </w:r>
            <w:r>
              <w:rPr>
                <w:rFonts w:eastAsia="SimSun"/>
              </w:rPr>
              <w:t>п.п.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Перечень (наименование) выполняемых работ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Ссылка на № смет и расчетов</w:t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Стоимость работ</w:t>
            </w:r>
          </w:p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>
          <w:tblHeader w:val="true"/>
        </w:trPr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1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2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3</w:t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4</w:t>
            </w:r>
          </w:p>
        </w:tc>
      </w:tr>
      <w:tr>
        <w:trPr/>
        <w:tc>
          <w:tcPr>
            <w:tcW w:w="9782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Сметы основного договора</w:t>
            </w:r>
          </w:p>
        </w:tc>
      </w:tr>
      <w:tr>
        <w:trPr/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1</w:t>
            </w:r>
          </w:p>
        </w:tc>
        <w:tc>
          <w:tcPr>
            <w:tcW w:w="392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2</w:t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Итого по сметам основного договора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9782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Исключено ДС №1</w:t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3</w:t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4</w:t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Итого исключено дополнительным соглашением № 1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9782" w:type="dxa"/>
            <w:gridSpan w:val="4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Включено ДС №1</w:t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5</w:t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/>
            </w:pPr>
            <w:r>
              <w:rPr>
                <w:rFonts w:eastAsia="SimSun"/>
              </w:rPr>
              <w:t>6</w:t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Итого включено дополнительным соглашением № 1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ВСЕГО по договору возмездного оказания услуг с учетом ДС №… без НДС: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</w:rPr>
              <w:t>Справочно: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i/>
              </w:rPr>
              <w:t>Сумма основного договора,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i/>
              </w:rPr>
              <w:t>Сумма изменения</w:t>
              <w:br/>
              <w:t>(увеличения/уменьшения) стоимости основного договора на основании ДС № 1,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  <w:tr>
        <w:trPr/>
        <w:tc>
          <w:tcPr>
            <w:tcW w:w="72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jc w:val="center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/>
            </w:pPr>
            <w:r>
              <w:rPr>
                <w:rFonts w:eastAsia="SimSun"/>
                <w:i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6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  <w:tc>
          <w:tcPr>
            <w:tcW w:w="350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shd w:val="clear" w:color="auto" w:fill="FFFFFF"/>
              <w:rPr>
                <w:rFonts w:eastAsia="SimSun"/>
              </w:rPr>
            </w:pPr>
            <w:r>
              <w:rPr>
                <w:rFonts w:eastAsia="SimSun"/>
              </w:rPr>
            </w:r>
          </w:p>
        </w:tc>
      </w:tr>
    </w:tbl>
    <w:p>
      <w:pPr>
        <w:pStyle w:val="Standard"/>
        <w:shd w:val="clear" w:color="auto" w:fill="FFFFFF"/>
        <w:rPr>
          <w:rFonts w:eastAsia="SimSun"/>
        </w:rPr>
      </w:pPr>
      <w:r>
        <w:rPr>
          <w:rFonts w:eastAsia="SimSun"/>
        </w:rPr>
      </w:r>
    </w:p>
    <w:p>
      <w:pPr>
        <w:pStyle w:val="Standard"/>
        <w:shd w:val="clear" w:color="auto" w:fill="FFFFFF"/>
        <w:rPr/>
      </w:pPr>
      <w:r>
        <w:rPr>
          <w:rFonts w:eastAsia="SimSun"/>
          <w:sz w:val="20"/>
          <w:szCs w:val="20"/>
        </w:rPr>
        <w:t>Итого по смете ___________________________________________________</w:t>
      </w:r>
    </w:p>
    <w:p>
      <w:pPr>
        <w:pStyle w:val="Standard"/>
        <w:shd w:val="clear" w:color="auto" w:fill="FFFFFF"/>
        <w:jc w:val="center"/>
        <w:rPr/>
      </w:pPr>
      <w:r>
        <w:rPr>
          <w:rFonts w:eastAsia="SimSun"/>
          <w:sz w:val="20"/>
          <w:szCs w:val="20"/>
        </w:rPr>
        <w:t>(сумма прописью)</w:t>
      </w:r>
    </w:p>
    <w:p>
      <w:pPr>
        <w:pStyle w:val="Standard"/>
        <w:shd w:val="clear" w:color="auto" w:fill="FFFFFF"/>
        <w:rPr/>
      </w:pPr>
      <w:r>
        <w:rPr>
          <w:rFonts w:eastAsia="SimSun"/>
          <w:sz w:val="20"/>
          <w:szCs w:val="20"/>
        </w:rPr>
        <w:t>Составил:_________/должность, организация/___________/подпись/_____________/расшифровка подписи/</w:t>
      </w:r>
    </w:p>
    <w:p>
      <w:pPr>
        <w:pStyle w:val="Standard"/>
        <w:shd w:val="clear" w:color="auto" w:fill="FFFFFF"/>
        <w:rPr>
          <w:rFonts w:eastAsia="SimSun"/>
          <w:sz w:val="20"/>
          <w:szCs w:val="20"/>
        </w:rPr>
      </w:pPr>
      <w:r>
        <w:rPr>
          <w:rFonts w:eastAsia="SimSun"/>
          <w:sz w:val="20"/>
          <w:szCs w:val="20"/>
        </w:rPr>
      </w:r>
    </w:p>
    <w:p>
      <w:pPr>
        <w:pStyle w:val="Standard"/>
        <w:spacing w:before="0" w:after="120"/>
        <w:rPr/>
      </w:pPr>
      <w:r>
        <w:rPr>
          <w:rFonts w:eastAsia="Calibri"/>
          <w:sz w:val="20"/>
          <w:szCs w:val="20"/>
          <w:lang w:eastAsia="en-US"/>
        </w:rPr>
        <w:t>Проверил:___________/должность, организация/_____________/подпись/___________/расшифровка подписи/</w:t>
      </w:r>
    </w:p>
    <w:p>
      <w:pPr>
        <w:pStyle w:val="Standard"/>
        <w:ind w:firstLine="709"/>
        <w:rPr/>
      </w:pPr>
      <w:r>
        <w:rPr/>
      </w:r>
    </w:p>
    <w:p>
      <w:pPr>
        <w:pStyle w:val="Standard"/>
        <w:ind w:firstLine="709"/>
        <w:rPr/>
      </w:pPr>
      <w:r>
        <w:rPr/>
      </w:r>
    </w:p>
    <w:p>
      <w:pPr>
        <w:pStyle w:val="Standard"/>
        <w:ind w:firstLine="709"/>
        <w:rPr/>
      </w:pPr>
      <w:r>
        <w:rPr/>
      </w:r>
    </w:p>
    <w:p>
      <w:pPr>
        <w:pStyle w:val="Standard"/>
        <w:ind w:firstLine="709"/>
        <w:rPr/>
      </w:pPr>
      <w:r>
        <w:rPr/>
      </w:r>
    </w:p>
    <w:p>
      <w:pPr>
        <w:pStyle w:val="Normal"/>
        <w:spacing w:before="0" w:after="120"/>
        <w:jc w:val="right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sectPr>
      <w:headerReference w:type="default" r:id="rId16"/>
      <w:headerReference w:type="first" r:id="rId17"/>
      <w:footnotePr>
        <w:numFmt w:val="decimal"/>
      </w:footnotePr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roman"/>
    <w:pitch w:val="default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Sans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Verdana">
    <w:charset w:val="01"/>
    <w:family w:val="roman"/>
    <w:pitch w:val="default"/>
  </w:font>
  <w:font w:name="Garamond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Х - дата заключения договора</w:t>
      </w:r>
    </w:p>
  </w:footnote>
  <w:footnote w:id="3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Х - дата заключения договора</w:t>
      </w:r>
    </w:p>
  </w:footnote>
  <w:footnote w:id="4">
    <w:p>
      <w:pPr>
        <w:pStyle w:val="FootnoteText"/>
        <w:rPr/>
      </w:pPr>
      <w:r>
        <w:rPr>
          <w:rStyle w:val="Style"/>
        </w:rPr>
        <w:footnoteRef/>
      </w:r>
      <w:r>
        <w:rPr/>
        <w:t xml:space="preserve"> </w:t>
      </w:r>
      <w:r>
        <w:rPr/>
        <w:t>https://rushydro.ru/investors/disclosure/regulations_and_docs/documents/other_doc/;</w:t>
      </w:r>
    </w:p>
  </w:footnote>
  <w:footnote w:id="5">
    <w:p>
      <w:pPr>
        <w:pStyle w:val="FootnoteText"/>
        <w:rPr/>
      </w:pPr>
      <w:r>
        <w:rPr>
          <w:rStyle w:val="Style"/>
        </w:rPr>
        <w:footnoteRef/>
      </w:r>
      <w:r>
        <w:rPr/>
        <w:t>Точное количество лицензий уточняется в процессе разработки технорабочего проекта</w:t>
      </w:r>
    </w:p>
  </w:footnote>
  <w:footnote w:id="6">
    <w:p>
      <w:pPr>
        <w:pStyle w:val="Footnote"/>
        <w:widowControl w:val="false"/>
        <w:rPr/>
      </w:pPr>
      <w:r>
        <w:rPr>
          <w:rStyle w:val="Style"/>
        </w:rPr>
        <w:footnoteRef/>
      </w:r>
      <w:r>
        <w:rPr/>
        <w:tab/>
        <w:t xml:space="preserve"> </w:t>
      </w:r>
      <w:r>
        <w:rPr/>
        <w:t>Если в организации функции главного бухгалтера выполняет генеральный директор–ставится только его виза.</w:t>
      </w:r>
    </w:p>
    <w:p>
      <w:pPr>
        <w:pStyle w:val="Footnote"/>
        <w:widowControl w:val="false"/>
        <w:rPr/>
      </w:pPr>
      <w:r>
        <w:rPr/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21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31</w:t>
    </w:r>
    <w:r>
      <w:rPr/>
      <w:fldChar w:fldCharType="end"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32</w:t>
    </w:r>
    <w:r>
      <w:rPr/>
      <w:fldChar w:fldCharType="end"/>
    </w:r>
  </w:p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34</w:t>
    </w:r>
    <w:r>
      <w:rPr/>
      <w:fldChar w:fldCharType="end"/>
    </w:r>
  </w:p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2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17">
    <w:lvl w:ilvl="0"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4"/>
        <w:szCs w:val="24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8">
    <w:lvl w:ilvl="0"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4"/>
        <w:szCs w:val="24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9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0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7">
    <w:lvl w:ilvl="0">
      <w:numFmt w:val="bullet"/>
      <w:lvlText w:val="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 w:cs="Wingdings" w:hint="default"/>
      </w:rPr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39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1">
    <w:lvl w:ilvl="0"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4"/>
        <w:szCs w:val="24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2">
    <w:lvl w:ilvl="0"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4"/>
        <w:szCs w:val="24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3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4">
    <w:lvl w:ilvl="0"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4"/>
        <w:szCs w:val="24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5">
    <w:lvl w:ilvl="0"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  <w:sz w:val="24"/>
        <w:szCs w:val="24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6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7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8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50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51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sz w:val="24"/>
        <w:szCs w:val="24"/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dstrike w:val="false"/>
        <w:strike w:val="false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3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dstrike w:val="false"/>
        <w:strike w:val="false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4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dstrike w:val="false"/>
        <w:strike w:val="false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dstrike w:val="false"/>
        <w:strike w:val="false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6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dstrike w:val="false"/>
        <w:strike w:val="false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7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dstrike w:val="false"/>
        <w:strike w:val="false"/>
        <w:u w:val="none" w:color="000000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8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59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0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1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2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3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4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5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6">
    <w:lvl w:ilvl="0"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Times New Roman" w:hAnsi="Times New Roman" w:cs="Times New Roman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Times New Roman" w:hAnsi="Times New Roman" w:cs="Times New Roman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24"/>
    <w:lvlOverride w:ilvl="0">
      <w:startOverride w:val="1"/>
    </w:lvlOverride>
  </w:num>
  <w:num w:numId="69">
    <w:abstractNumId w:val="24"/>
    <w:lvlOverride w:ilvl="0">
      <w:startOverride w:val="1"/>
    </w:lvlOverride>
  </w:num>
  <w:num w:numId="70">
    <w:abstractNumId w:val="24"/>
  </w:num>
  <w:num w:numId="71">
    <w:abstractNumId w:val="24"/>
  </w:num>
  <w:num w:numId="72">
    <w:abstractNumId w:val="24"/>
  </w:num>
  <w:num w:numId="73">
    <w:abstractNumId w:val="24"/>
  </w:num>
  <w:num w:numId="74">
    <w:abstractNumId w:val="24"/>
  </w:num>
  <w:num w:numId="75">
    <w:abstractNumId w:val="24"/>
  </w:num>
  <w:num w:numId="76">
    <w:abstractNumId w:val="24"/>
  </w:num>
  <w:num w:numId="77">
    <w:abstractNumId w:val="24"/>
  </w:num>
  <w:num w:numId="78">
    <w:abstractNumId w:val="24"/>
  </w:num>
  <w:num w:numId="79">
    <w:abstractNumId w:val="24"/>
  </w:num>
  <w:num w:numId="80">
    <w:abstractNumId w:val="24"/>
  </w:num>
  <w:num w:numId="81">
    <w:abstractNumId w:val="16"/>
  </w:num>
  <w:num w:numId="82">
    <w:abstractNumId w:val="24"/>
  </w:num>
  <w:num w:numId="83">
    <w:abstractNumId w:val="24"/>
  </w:num>
  <w:num w:numId="84">
    <w:abstractNumId w:val="24"/>
  </w:num>
  <w:num w:numId="85">
    <w:abstractNumId w:val="17"/>
  </w:num>
  <w:num w:numId="86">
    <w:abstractNumId w:val="17"/>
  </w:num>
  <w:num w:numId="87">
    <w:abstractNumId w:val="24"/>
  </w:num>
  <w:num w:numId="88">
    <w:abstractNumId w:val="18"/>
  </w:num>
  <w:num w:numId="89">
    <w:abstractNumId w:val="18"/>
  </w:num>
  <w:num w:numId="90">
    <w:abstractNumId w:val="24"/>
  </w:num>
  <w:num w:numId="91">
    <w:abstractNumId w:val="24"/>
  </w:num>
  <w:num w:numId="92">
    <w:abstractNumId w:val="24"/>
  </w:num>
  <w:num w:numId="93">
    <w:abstractNumId w:val="24"/>
  </w:num>
  <w:num w:numId="94">
    <w:abstractNumId w:val="24"/>
  </w:num>
  <w:num w:numId="95">
    <w:abstractNumId w:val="24"/>
  </w:num>
  <w:num w:numId="96">
    <w:abstractNumId w:val="52"/>
    <w:lvlOverride w:ilvl="0">
      <w:startOverride w:val="1"/>
    </w:lvlOverride>
  </w:num>
  <w:num w:numId="97">
    <w:abstractNumId w:val="52"/>
    <w:lvlOverride w:ilvl="0">
      <w:startOverride w:val="1"/>
    </w:lvlOverride>
  </w:num>
  <w:num w:numId="98">
    <w:abstractNumId w:val="52"/>
  </w:num>
  <w:num w:numId="99">
    <w:abstractNumId w:val="52"/>
  </w:num>
  <w:num w:numId="100">
    <w:abstractNumId w:val="52"/>
  </w:num>
  <w:num w:numId="101">
    <w:abstractNumId w:val="52"/>
  </w:num>
  <w:num w:numId="102">
    <w:abstractNumId w:val="19"/>
  </w:num>
  <w:num w:numId="103">
    <w:abstractNumId w:val="19"/>
  </w:num>
  <w:num w:numId="104">
    <w:abstractNumId w:val="19"/>
  </w:num>
  <w:num w:numId="105">
    <w:abstractNumId w:val="19"/>
  </w:num>
  <w:num w:numId="106">
    <w:abstractNumId w:val="19"/>
  </w:num>
  <w:num w:numId="107">
    <w:abstractNumId w:val="19"/>
  </w:num>
  <w:num w:numId="108">
    <w:abstractNumId w:val="20"/>
  </w:num>
  <w:num w:numId="109">
    <w:abstractNumId w:val="20"/>
  </w:num>
  <w:num w:numId="110">
    <w:abstractNumId w:val="20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b476b3"/>
    <w:pPr>
      <w:keepNext w:val="true"/>
      <w:numPr>
        <w:ilvl w:val="2"/>
        <w:numId w:val="3"/>
      </w:numPr>
      <w:spacing w:before="240" w:after="60"/>
      <w:ind w:hanging="556" w:left="1276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b476b3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link w:val="Footnote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b002f6"/>
    <w:rPr>
      <w:sz w:val="24"/>
    </w:rPr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Style16" w:customStyle="1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-1" w:customStyle="1">
    <w:name w:val="Таблица - текст"/>
    <w:basedOn w:val="Normal"/>
    <w:qFormat/>
    <w:pPr>
      <w:spacing w:before="0" w:after="0"/>
      <w:contextualSpacing/>
    </w:pPr>
    <w:rPr>
      <w:sz w:val="20"/>
    </w:rPr>
  </w:style>
  <w:style w:type="paragraph" w:styleId="110" w:customStyle="1">
    <w:name w:val="Таблица (список маркерованный 1)"/>
    <w:basedOn w:val="-1"/>
    <w:qFormat/>
    <w:pPr>
      <w:numPr>
        <w:ilvl w:val="0"/>
        <w:numId w:val="7"/>
      </w:numPr>
    </w:pPr>
    <w:rPr/>
  </w:style>
  <w:style w:type="paragraph" w:styleId="29" w:customStyle="1">
    <w:name w:val="Таблица (список маркированный 2"/>
    <w:basedOn w:val="110"/>
    <w:qFormat/>
    <w:pPr>
      <w:numPr>
        <w:ilvl w:val="1"/>
        <w:numId w:val="8"/>
      </w:numPr>
    </w:pPr>
    <w:rPr/>
  </w:style>
  <w:style w:type="paragraph" w:styleId="Standard" w:customStyle="1">
    <w:name w:val="Standard"/>
    <w:autoRedefine/>
    <w:qFormat/>
    <w:rsid w:val="00b002f6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zh-CN" w:bidi="hi-IN"/>
    </w:rPr>
  </w:style>
  <w:style w:type="paragraph" w:styleId="Footnote" w:customStyle="1">
    <w:name w:val="Footnote"/>
    <w:basedOn w:val="Standard"/>
    <w:qFormat/>
    <w:rsid w:val="00b002f6"/>
    <w:pPr>
      <w:suppressLineNumbers/>
      <w:ind w:hanging="340" w:left="34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293385351" w:customStyle="1">
    <w:name w:val="29338535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yperlink" Target="../..//sr-dc-174.corp.gidroogk.com/CtxProfiles_rushydrodesk_fr$/kutyrevaa/home/fs/ia/wd/&#1056;&#1091;&#1089;&#1043;&#1080;&#1076;&#1088;&#1086;%20&#1048;&#1058;-&#1089;&#1077;&#1088;&#1074;&#1080;&#1089;/&#1059;&#1087;&#1088;&#1072;&#1074;&#1083;&#1077;&#1085;&#1080;&#1077;%20&#1086;&#1073;&#1077;&#1089;&#1087;&#1077;&#1095;&#1077;&#1085;&#1080;&#1103;%20&#1079;&#1072;&#1097;&#1080;&#1090;&#1099;%20&#1082;&#1088;&#1080;&#1090;&#1080;&#1095;&#1077;&#1089;&#1082;&#1086;&#1081;%20&#1080;&#1085;&#1092;&#1088;&#1072;&#1089;&#1090;&#1088;&#1091;&#1082;&#1090;&#1091;&#1088;&#1099;/!_&#1047;&#1072;&#1082;&#1091;&#1087;&#1082;&#1080;/&#1047;&#1072;&#1082;&#1091;&#1087;&#1082;&#1080;%20&#1056;&#1091;&#1089;&#1043;&#1080;&#1076;&#1088;&#1086;%20&#1055;&#1040;&#1054;/&#1042;&#1085;&#1077;&#1087;&#1083;&#1072;&#1085;/_01/3&#1055;" TargetMode="Externa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header" Target="header10.xml"/><Relationship Id="rId13" Type="http://schemas.openxmlformats.org/officeDocument/2006/relationships/header" Target="header11.xml"/><Relationship Id="rId14" Type="http://schemas.openxmlformats.org/officeDocument/2006/relationships/header" Target="header12.xml"/><Relationship Id="rId15" Type="http://schemas.openxmlformats.org/officeDocument/2006/relationships/header" Target="header13.xml"/><Relationship Id="rId16" Type="http://schemas.openxmlformats.org/officeDocument/2006/relationships/header" Target="header14.xml"/><Relationship Id="rId17" Type="http://schemas.openxmlformats.org/officeDocument/2006/relationships/header" Target="header15.xml"/><Relationship Id="rId18" Type="http://schemas.openxmlformats.org/officeDocument/2006/relationships/footnotes" Target="footnotes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F5A7F-7861-4AF5-8081-460955B47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Application>AlterOffice/2026.2.1.0$Linux_X86_64 LibreOffice_project/f008988ffacaa0b2bf57911c2759d08ca79831df</Application>
  <AppVersion>15.0000</AppVersion>
  <Pages>34</Pages>
  <Words>5015</Words>
  <Characters>35890</Characters>
  <CharactersWithSpaces>40182</CharactersWithSpaces>
  <Paragraphs>648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2021-04-04T09:36:00Z</dcterms:created>
  <dc:creator>Быстров Олег Геннадьевич</dc:creator>
  <dc:description/>
  <dc:language>ru-RU</dc:language>
  <cp:lastModifiedBy>ellerig@corp.gidroogk.com</cp:lastModifiedBy>
  <cp:lastPrinted>2006-07-26T14:04:00Z</cp:lastPrinted>
  <dcterms:modified xsi:type="dcterms:W3CDTF">2026-09-24T09:52:57Z</dcterms:modified>
  <cp:revision>81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