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3.xml" ContentType="application/xml"/>
  <Override PartName="/customXml/item2.xml" ContentType="application/xml"/>
  <Override PartName="/customXml/itemProps1.xml" ContentType="application/vnd.openxmlformats-officedocument.customXmlProperties+xml"/>
  <Override PartName="/customXml/itemProps4.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_rels/item4.xml.rels" ContentType="application/vnd.openxmlformats-package.relationship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1.xml" ContentType="application/xml"/>
  <Override PartName="/word/_rels/document.xml.rels" ContentType="application/vnd.openxmlformats-package.relationships+xml"/>
  <Override PartName="/word/media/image1.png" ContentType="image/png"/>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6926" w:leader="none"/>
        </w:tabs>
        <w:jc w:val="center"/>
        <w:rPr>
          <w:b/>
          <w:sz w:val="24"/>
          <w:szCs w:val="24"/>
        </w:rPr>
      </w:pPr>
      <w:r>
        <w:rPr>
          <w:b/>
          <w:bCs/>
          <w:sz w:val="24"/>
          <w:szCs w:val="24"/>
        </w:rPr>
        <w:t>Договор поставки №_______</w:t>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8"/>
          <w:tab w:val="right" w:pos="10200" w:leader="none"/>
        </w:tabs>
        <w:rPr>
          <w:bCs/>
          <w:sz w:val="24"/>
          <w:szCs w:val="24"/>
        </w:rPr>
      </w:pPr>
      <w:r>
        <w:rPr>
          <w:bCs/>
          <w:sz w:val="24"/>
          <w:szCs w:val="24"/>
        </w:rPr>
        <w:t>г. Хабаровск</w:t>
        <w:tab/>
        <w:t xml:space="preserve">   «___» _________ 20__ г.</w:t>
      </w:r>
    </w:p>
    <w:p>
      <w:pPr>
        <w:pStyle w:val="Normal"/>
        <w:shd w:val="clear" w:color="auto" w:fill="FFFFFF"/>
        <w:tabs>
          <w:tab w:val="clear" w:pos="708"/>
          <w:tab w:val="right" w:pos="9639" w:leader="none"/>
        </w:tabs>
        <w:ind w:firstLine="709"/>
        <w:jc w:val="right"/>
        <w:rPr>
          <w:bCs/>
          <w:sz w:val="24"/>
          <w:szCs w:val="24"/>
        </w:rPr>
      </w:pPr>
      <w:r>
        <w:rPr>
          <w:bCs/>
          <w:sz w:val="24"/>
          <w:szCs w:val="24"/>
        </w:rPr>
      </w:r>
    </w:p>
    <w:p>
      <w:pPr>
        <w:pStyle w:val="Normal"/>
        <w:widowControl/>
        <w:ind w:firstLine="709"/>
        <w:jc w:val="both"/>
        <w:rPr>
          <w:bCs/>
          <w:sz w:val="24"/>
          <w:szCs w:val="24"/>
          <w:lang w:eastAsia="x-none"/>
        </w:rPr>
      </w:pPr>
      <w:r>
        <w:rPr>
          <w:b/>
          <w:bCs/>
          <w:sz w:val="24"/>
          <w:szCs w:val="24"/>
          <w:lang w:eastAsia="x-none"/>
        </w:rPr>
        <w:t>Акционерное общество «Сервисная Компания РусГидро»</w:t>
      </w:r>
      <w:r>
        <w:rPr>
          <w:bCs/>
          <w:sz w:val="24"/>
          <w:szCs w:val="24"/>
          <w:lang w:eastAsia="x-none"/>
        </w:rPr>
        <w:t xml:space="preserve"> </w:t>
      </w:r>
      <w:r>
        <w:rPr>
          <w:b/>
          <w:bCs/>
          <w:sz w:val="24"/>
          <w:szCs w:val="24"/>
          <w:lang w:eastAsia="x-none"/>
        </w:rPr>
        <w:t xml:space="preserve">(АО «СК РусГидро») </w:t>
      </w:r>
      <w:r>
        <w:rPr>
          <w:bCs/>
          <w:sz w:val="24"/>
          <w:szCs w:val="24"/>
          <w:lang w:eastAsia="x-none"/>
        </w:rPr>
        <w:t xml:space="preserve">именуемое в дальнейшем </w:t>
      </w:r>
      <w:r>
        <w:rPr>
          <w:b/>
          <w:bCs/>
          <w:sz w:val="24"/>
          <w:szCs w:val="24"/>
          <w:lang w:eastAsia="x-none"/>
        </w:rPr>
        <w:t>«Покупатель»</w:t>
      </w:r>
      <w:r>
        <w:rPr>
          <w:bCs/>
          <w:sz w:val="24"/>
          <w:szCs w:val="24"/>
          <w:lang w:eastAsia="x-none"/>
        </w:rPr>
        <w:t xml:space="preserve">, в лице Заместителя Генерального директора по управлению ресурсами Клочкова Николая Николаевича, действующего на основании машиночитаемой доверенности № f8a9625c-8e17-4b33-9c41-a1dff6d90045 от 17.04.2024 г., с одной стороны, и </w:t>
      </w:r>
      <w:r>
        <w:rPr>
          <w:b/>
          <w:sz w:val="24"/>
          <w:szCs w:val="24"/>
          <w:lang w:eastAsia="x-none"/>
        </w:rPr>
        <w:t>____________________________________________________________________________________</w:t>
      </w:r>
      <w:r>
        <w:rPr>
          <w:bCs/>
          <w:sz w:val="24"/>
          <w:szCs w:val="24"/>
          <w:lang w:eastAsia="x-none"/>
        </w:rPr>
        <w:t xml:space="preserve">, именуемый в дальнейшем </w:t>
      </w:r>
      <w:r>
        <w:rPr>
          <w:b/>
          <w:sz w:val="24"/>
          <w:szCs w:val="24"/>
          <w:lang w:eastAsia="x-none"/>
        </w:rPr>
        <w:t>«Поставщик»</w:t>
      </w:r>
      <w:r>
        <w:rPr>
          <w:bCs/>
          <w:sz w:val="24"/>
          <w:szCs w:val="24"/>
          <w:lang w:eastAsia="x-none"/>
        </w:rPr>
        <w:t xml:space="preserve">, в лице ________________________ действующего на основании _______________________________, с другой стороны, совместно далее именуемые - </w:t>
      </w:r>
      <w:r>
        <w:rPr>
          <w:b/>
          <w:sz w:val="24"/>
          <w:szCs w:val="24"/>
          <w:lang w:eastAsia="x-none"/>
        </w:rPr>
        <w:t>«Стороны»</w:t>
      </w:r>
      <w:r>
        <w:rPr>
          <w:bCs/>
          <w:sz w:val="24"/>
          <w:szCs w:val="24"/>
          <w:lang w:eastAsia="x-none"/>
        </w:rPr>
        <w:t xml:space="preserve">, а по отдельности – </w:t>
      </w:r>
      <w:r>
        <w:rPr>
          <w:b/>
          <w:sz w:val="24"/>
          <w:szCs w:val="24"/>
          <w:lang w:eastAsia="x-none"/>
        </w:rPr>
        <w:t>«Сторона»</w:t>
      </w:r>
      <w:r>
        <w:rPr>
          <w:bCs/>
          <w:sz w:val="24"/>
          <w:szCs w:val="24"/>
          <w:lang w:eastAsia="x-none"/>
        </w:rPr>
        <w:t>,  заключили настоящий Договор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8"/>
          <w:tab w:val="left" w:pos="567" w:leader="none"/>
          <w:tab w:val="left" w:pos="1134" w:leader="none"/>
        </w:tabs>
        <w:ind w:left="0" w:firstLine="709"/>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и/или изготовитель Товара обязуется устранять все выявленные Покупателем недостатки, несоответствия и/или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8"/>
          <w:tab w:val="left" w:pos="0" w:leader="none"/>
        </w:tabs>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8"/>
          <w:tab w:val="left" w:pos="0" w:leader="none"/>
        </w:tabs>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8"/>
          <w:tab w:val="left" w:pos="0" w:leader="none"/>
        </w:tabs>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8"/>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w:t>
      </w:r>
      <w:r>
        <w:rPr>
          <w:rFonts w:ascii="Times New Roman" w:hAnsi="Times New Roman"/>
          <w:b w:val="false"/>
          <w:color w:val="auto"/>
          <w:sz w:val="24"/>
          <w:szCs w:val="24"/>
          <w:lang w:val="ru-RU" w:eastAsia="en-US"/>
        </w:rPr>
        <w:t>определяются</w:t>
      </w:r>
      <w:r>
        <w:rPr>
          <w:rFonts w:ascii="Times New Roman" w:hAnsi="Times New Roman"/>
          <w:b w:val="false"/>
          <w:color w:val="auto"/>
          <w:sz w:val="24"/>
          <w:szCs w:val="24"/>
          <w:lang w:eastAsia="en-US"/>
        </w:rPr>
        <w:t xml:space="preserve">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8"/>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8"/>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8"/>
          <w:tab w:val="left" w:pos="284" w:leader="none"/>
        </w:tabs>
        <w:ind w:left="0" w:hanging="0"/>
        <w:jc w:val="center"/>
        <w:rPr>
          <w:b/>
          <w:bCs/>
          <w:sz w:val="24"/>
          <w:szCs w:val="24"/>
        </w:rPr>
      </w:pPr>
      <w:r>
        <w:rPr>
          <w:b/>
          <w:bCs/>
          <w:sz w:val="24"/>
          <w:szCs w:val="24"/>
        </w:rPr>
        <w:t>Предмет Договора</w:t>
      </w:r>
    </w:p>
    <w:p>
      <w:pPr>
        <w:pStyle w:val="ListParagraph"/>
        <w:numPr>
          <w:ilvl w:val="1"/>
          <w:numId w:val="2"/>
        </w:numPr>
        <w:shd w:val="clear" w:color="auto" w:fill="FFFFFF"/>
        <w:ind w:left="0" w:firstLine="709"/>
        <w:jc w:val="both"/>
        <w:rPr>
          <w:b/>
          <w:bCs/>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стаканов одноразовые бумажны</w:t>
      </w:r>
      <w:r>
        <w:rPr>
          <w:rFonts w:eastAsia="Calibri"/>
          <w:bCs/>
          <w:sz w:val="24"/>
          <w:szCs w:val="24"/>
          <w:lang w:eastAsia="x-none"/>
        </w:rPr>
        <w:t xml:space="preserve">е </w:t>
      </w:r>
      <w:r>
        <w:rPr>
          <w:bCs/>
          <w:sz w:val="24"/>
          <w:szCs w:val="24"/>
        </w:rPr>
        <w:t>(далее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Поставщику в порядке и сроки, установленные пунктом 3.1 Договора. </w:t>
      </w:r>
    </w:p>
    <w:p>
      <w:pPr>
        <w:pStyle w:val="Norma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Поставка Товара по Договору осуществляется для нужд АО «СК РусГидро».</w:t>
      </w:r>
    </w:p>
    <w:p>
      <w:pPr>
        <w:pStyle w:val="Norma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 xml:space="preserve">Поставка осуществляется по адресу: 660049, г. Красноярск, ул. Перенсона, зд. 2а. </w:t>
      </w:r>
    </w:p>
    <w:p>
      <w:pPr>
        <w:pStyle w:val="Normal"/>
        <w:numPr>
          <w:ilvl w:val="1"/>
          <w:numId w:val="2"/>
        </w:numPr>
        <w:shd w:val="clear" w:color="auto" w:fill="FFFFFF"/>
        <w:tabs>
          <w:tab w:val="clear" w:pos="708"/>
          <w:tab w:val="left" w:pos="0" w:leader="none"/>
          <w:tab w:val="left" w:pos="540" w:leader="none"/>
          <w:tab w:val="left" w:pos="1134" w:leader="none"/>
        </w:tabs>
        <w:ind w:left="0" w:firstLine="709"/>
        <w:jc w:val="both"/>
        <w:rPr>
          <w:bCs/>
          <w:sz w:val="24"/>
          <w:szCs w:val="24"/>
        </w:rPr>
      </w:pPr>
      <w:r>
        <w:rPr>
          <w:bCs/>
          <w:sz w:val="24"/>
          <w:szCs w:val="24"/>
        </w:rPr>
        <w:t>Общий срок поставки Товара:</w:t>
      </w:r>
    </w:p>
    <w:p>
      <w:pPr>
        <w:pStyle w:val="Normal"/>
        <w:numPr>
          <w:ilvl w:val="2"/>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Начало – с 2</w:t>
      </w:r>
      <w:r>
        <w:rPr>
          <w:bCs/>
          <w:sz w:val="24"/>
          <w:szCs w:val="24"/>
        </w:rPr>
        <w:t>2</w:t>
      </w:r>
      <w:r>
        <w:rPr>
          <w:bCs/>
          <w:sz w:val="24"/>
          <w:szCs w:val="24"/>
        </w:rPr>
        <w:t>.01.2027;</w:t>
      </w:r>
    </w:p>
    <w:p>
      <w:pPr>
        <w:pStyle w:val="Normal"/>
        <w:numPr>
          <w:ilvl w:val="2"/>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Окончание – до 31.12.2027.</w:t>
      </w:r>
    </w:p>
    <w:p>
      <w:pPr>
        <w:pStyle w:val="Normal"/>
        <w:shd w:val="clear" w:color="auto" w:fill="FFFFFF"/>
        <w:tabs>
          <w:tab w:val="clear" w:pos="708"/>
          <w:tab w:val="left" w:pos="540" w:leader="none"/>
        </w:tabs>
        <w:ind w:firstLine="709"/>
        <w:jc w:val="both"/>
        <w:rPr>
          <w:sz w:val="24"/>
          <w:szCs w:val="24"/>
        </w:rPr>
      </w:pPr>
      <w:r>
        <w:rPr>
          <w:sz w:val="24"/>
          <w:szCs w:val="24"/>
        </w:rPr>
      </w:r>
    </w:p>
    <w:p>
      <w:pPr>
        <w:pStyle w:val="Normal"/>
        <w:numPr>
          <w:ilvl w:val="0"/>
          <w:numId w:val="2"/>
        </w:numPr>
        <w:shd w:val="clear" w:color="auto" w:fill="FFFFFF"/>
        <w:tabs>
          <w:tab w:val="clear" w:pos="708"/>
          <w:tab w:val="left" w:pos="284" w:leader="none"/>
        </w:tabs>
        <w:ind w:left="0" w:hanging="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8"/>
          <w:tab w:val="left" w:pos="0" w:leader="none"/>
          <w:tab w:val="left" w:pos="1134" w:leader="none"/>
        </w:tabs>
        <w:ind w:left="0" w:firstLine="709"/>
        <w:jc w:val="both"/>
        <w:rPr>
          <w:sz w:val="24"/>
          <w:szCs w:val="24"/>
        </w:rPr>
      </w:pPr>
      <w:r>
        <w:rPr>
          <w:sz w:val="24"/>
          <w:szCs w:val="24"/>
        </w:rPr>
        <w:t xml:space="preserve">Цена Договора </w:t>
      </w:r>
      <w:r>
        <w:rPr>
          <w:bCs/>
          <w:sz w:val="24"/>
          <w:szCs w:val="24"/>
        </w:rPr>
        <w:t xml:space="preserve">является предельной и составляет </w:t>
      </w:r>
      <w:r>
        <w:rPr>
          <w:b/>
          <w:bCs/>
          <w:sz w:val="24"/>
          <w:szCs w:val="24"/>
        </w:rPr>
        <w:t>_______ (_______________) рублей ___ копеек,</w:t>
      </w:r>
      <w:r>
        <w:rPr>
          <w:bCs/>
          <w:sz w:val="24"/>
          <w:szCs w:val="24"/>
        </w:rPr>
        <w:t xml:space="preserve"> </w:t>
      </w:r>
      <w:r>
        <w:rPr>
          <w:bCs/>
          <w:sz w:val="24"/>
          <w:szCs w:val="24"/>
          <w:highlight w:val="lightGray"/>
        </w:rPr>
        <w:t>в соответствии с _____________________</w:t>
      </w:r>
      <w:r>
        <w:rPr>
          <w:bCs/>
          <w:i/>
          <w:iCs/>
          <w:sz w:val="24"/>
          <w:szCs w:val="24"/>
          <w:highlight w:val="lightGray"/>
        </w:rPr>
        <w:t xml:space="preserve">(указываются основания освобождения от НДС) </w:t>
      </w:r>
      <w:r>
        <w:rPr>
          <w:bCs/>
          <w:sz w:val="24"/>
          <w:szCs w:val="24"/>
          <w:highlight w:val="lightGray"/>
        </w:rPr>
        <w:t xml:space="preserve">НДС не предусмотрен / при этом НДС исчисляется дополнительно по ставке, установленной статьей 164 Налогового кодекса РФ </w:t>
      </w:r>
      <w:r>
        <w:rPr>
          <w:bCs/>
          <w:i/>
          <w:iCs/>
          <w:sz w:val="24"/>
          <w:szCs w:val="24"/>
          <w:highlight w:val="lightGray"/>
        </w:rPr>
        <w:t>(в случае уплаты НДС)</w:t>
      </w:r>
      <w:r>
        <w:rPr>
          <w:bCs/>
          <w:sz w:val="24"/>
          <w:szCs w:val="24"/>
          <w:highlight w:val="lightGray"/>
        </w:rPr>
        <w:t>.</w:t>
      </w:r>
    </w:p>
    <w:p>
      <w:pPr>
        <w:pStyle w:val="Normal"/>
        <w:numPr>
          <w:ilvl w:val="1"/>
          <w:numId w:val="2"/>
        </w:numPr>
        <w:shd w:val="clear" w:color="auto" w:fill="FFFFFF"/>
        <w:tabs>
          <w:tab w:val="clear" w:pos="708"/>
          <w:tab w:val="left" w:pos="0" w:leader="none"/>
          <w:tab w:val="left" w:pos="1134" w:leader="none"/>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8"/>
          <w:tab w:val="left" w:pos="1134" w:leader="none"/>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8"/>
          <w:tab w:val="left" w:pos="1418" w:leader="none"/>
        </w:tabs>
        <w:ind w:left="0" w:firstLine="709"/>
        <w:jc w:val="both"/>
        <w:rPr>
          <w:bCs/>
          <w:sz w:val="24"/>
          <w:szCs w:val="24"/>
        </w:rPr>
      </w:pPr>
      <w:r>
        <w:rPr>
          <w:bCs/>
          <w:sz w:val="24"/>
          <w:szCs w:val="24"/>
        </w:rPr>
        <w:t>Производство и/или приобретение Товара;</w:t>
      </w:r>
    </w:p>
    <w:p>
      <w:pPr>
        <w:pStyle w:val="ListParagraph"/>
        <w:numPr>
          <w:ilvl w:val="2"/>
          <w:numId w:val="9"/>
        </w:numPr>
        <w:shd w:val="clear" w:color="auto" w:fill="FFFFFF"/>
        <w:tabs>
          <w:tab w:val="clear" w:pos="708"/>
          <w:tab w:val="left" w:pos="1418" w:leader="none"/>
        </w:tabs>
        <w:ind w:left="0" w:firstLine="709"/>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pPr>
        <w:pStyle w:val="ListParagraph"/>
        <w:numPr>
          <w:ilvl w:val="2"/>
          <w:numId w:val="9"/>
        </w:numPr>
        <w:shd w:val="clear" w:color="auto" w:fill="FFFFFF"/>
        <w:tabs>
          <w:tab w:val="clear" w:pos="708"/>
          <w:tab w:val="left" w:pos="1418" w:leader="none"/>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ListParagraph"/>
        <w:numPr>
          <w:ilvl w:val="2"/>
          <w:numId w:val="9"/>
        </w:numPr>
        <w:shd w:val="clear" w:color="auto" w:fill="FFFFFF"/>
        <w:tabs>
          <w:tab w:val="clear" w:pos="708"/>
          <w:tab w:val="left" w:pos="1418" w:leader="none"/>
        </w:tabs>
        <w:ind w:left="0" w:firstLine="709"/>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ListParagraph"/>
        <w:numPr>
          <w:ilvl w:val="2"/>
          <w:numId w:val="9"/>
        </w:numPr>
        <w:shd w:val="clear" w:color="auto" w:fill="FFFFFF"/>
        <w:tabs>
          <w:tab w:val="clear" w:pos="708"/>
          <w:tab w:val="left" w:pos="1418" w:leader="none"/>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8"/>
          <w:tab w:val="left" w:pos="568" w:leader="none"/>
          <w:tab w:val="left" w:pos="1134" w:leader="none"/>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8"/>
          <w:tab w:val="left" w:pos="568" w:leader="none"/>
          <w:tab w:val="left" w:pos="1134" w:leader="none"/>
        </w:tabs>
        <w:ind w:left="0" w:firstLine="709"/>
        <w:jc w:val="both"/>
        <w:rPr>
          <w:sz w:val="24"/>
          <w:szCs w:val="24"/>
        </w:rPr>
      </w:pPr>
      <w:r>
        <w:rPr>
          <w:sz w:val="24"/>
          <w:szCs w:val="24"/>
        </w:rPr>
        <w:t xml:space="preserve">Оплата по Договору осуществляется Покупателем в течение </w:t>
      </w:r>
      <w:r>
        <w:rPr>
          <w:sz w:val="24"/>
          <w:szCs w:val="24"/>
          <w:highlight w:val="lightGray"/>
        </w:rPr>
        <w:t xml:space="preserve">7 (семи) рабочих дней </w:t>
      </w:r>
      <w:r>
        <w:rPr>
          <w:i/>
          <w:iCs/>
          <w:sz w:val="24"/>
          <w:szCs w:val="24"/>
          <w:highlight w:val="lightGray"/>
        </w:rPr>
        <w:t>(для МСП)</w:t>
      </w:r>
      <w:r>
        <w:rPr>
          <w:sz w:val="24"/>
          <w:szCs w:val="24"/>
          <w:highlight w:val="lightGray"/>
        </w:rPr>
        <w:t xml:space="preserve"> / 20 (двадцати) календарных дней </w:t>
      </w:r>
      <w:r>
        <w:rPr>
          <w:i/>
          <w:iCs/>
          <w:sz w:val="24"/>
          <w:szCs w:val="24"/>
          <w:highlight w:val="lightGray"/>
        </w:rPr>
        <w:t>(для не МСП)</w:t>
      </w:r>
      <w:r>
        <w:rPr>
          <w:sz w:val="24"/>
          <w:szCs w:val="24"/>
        </w:rPr>
        <w:t xml:space="preserve"> 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8"/>
          <w:tab w:val="left" w:pos="0" w:leader="none"/>
          <w:tab w:val="left" w:pos="1134" w:leader="none"/>
          <w:tab w:val="left" w:pos="1276" w:leader="none"/>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left="0" w:firstLine="709"/>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left="0" w:firstLine="709"/>
        <w:jc w:val="both"/>
        <w:rPr>
          <w:sz w:val="24"/>
          <w:szCs w:val="24"/>
          <w:highlight w:val="lightGray"/>
        </w:rPr>
      </w:pPr>
      <w:r>
        <w:rPr>
          <w:sz w:val="24"/>
          <w:szCs w:val="24"/>
          <w:highlight w:val="lightGray"/>
        </w:rPr>
        <w:t>Поставщик обязан представить Покупателю счета</w:t>
      </w:r>
      <w:r>
        <w:rPr>
          <w:bCs/>
          <w:sz w:val="24"/>
          <w:szCs w:val="24"/>
          <w:highlight w:val="lightGray"/>
        </w:rPr>
        <w:t>-</w:t>
      </w:r>
      <w:r>
        <w:rPr>
          <w:sz w:val="24"/>
          <w:szCs w:val="24"/>
          <w:highlight w:val="lightGray"/>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highlight w:val="lightGray"/>
        </w:rPr>
        <w:t>-</w:t>
      </w:r>
      <w:r>
        <w:rPr>
          <w:sz w:val="24"/>
          <w:szCs w:val="24"/>
          <w:highlight w:val="lightGray"/>
        </w:rPr>
        <w:t xml:space="preserve">фактуры/УПД в течение 3 (трех) рабочих дней с даты получения соответствующего письменного требования Покупателя </w:t>
      </w:r>
      <w:r>
        <w:rPr>
          <w:i/>
          <w:iCs/>
          <w:sz w:val="24"/>
          <w:szCs w:val="24"/>
          <w:highlight w:val="lightGray"/>
        </w:rPr>
        <w:t>(если предусмотрен НДС)</w:t>
      </w:r>
      <w:r>
        <w:rPr>
          <w:sz w:val="24"/>
          <w:szCs w:val="24"/>
          <w:highlight w:val="lightGray"/>
        </w:rPr>
        <w:t>.</w:t>
      </w:r>
    </w:p>
    <w:p>
      <w:pPr>
        <w:pStyle w:val="Normal"/>
        <w:shd w:val="clear" w:color="auto" w:fill="FFFFFF"/>
        <w:tabs>
          <w:tab w:val="clear" w:pos="708"/>
          <w:tab w:val="left" w:pos="567" w:leader="none"/>
          <w:tab w:val="left" w:pos="716" w:leader="none"/>
          <w:tab w:val="left" w:pos="1134" w:leader="none"/>
          <w:tab w:val="left" w:pos="1708" w:leader="none"/>
        </w:tabs>
        <w:ind w:left="709" w:hanging="0"/>
        <w:jc w:val="both"/>
        <w:rPr>
          <w:sz w:val="24"/>
          <w:szCs w:val="24"/>
          <w:highlight w:val="lightGray"/>
        </w:rPr>
      </w:pPr>
      <w:r>
        <w:rPr>
          <w:sz w:val="24"/>
          <w:szCs w:val="24"/>
          <w:highlight w:val="lightGray"/>
        </w:rPr>
      </w:r>
    </w:p>
    <w:p>
      <w:pPr>
        <w:pStyle w:val="Normal"/>
        <w:numPr>
          <w:ilvl w:val="0"/>
          <w:numId w:val="2"/>
        </w:numPr>
        <w:shd w:val="clear" w:color="auto" w:fill="FFFFFF"/>
        <w:tabs>
          <w:tab w:val="clear" w:pos="708"/>
          <w:tab w:val="left" w:pos="284" w:leader="none"/>
        </w:tabs>
        <w:ind w:left="0" w:hanging="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Покупатель в срок не позднее 7 (пяти) рабочих дней до предполагаемой даты поставки Товара (партии Товара) направляет Поставщику Заявку по электронной почте на адрес: _______________ с последующим направлением оригинала Заявки по адресу, указанному в разделе 15 Договора.</w:t>
      </w:r>
    </w:p>
    <w:p>
      <w:pPr>
        <w:pStyle w:val="ListParagraph"/>
        <w:widowControl/>
        <w:numPr>
          <w:ilvl w:val="2"/>
          <w:numId w:val="2"/>
        </w:numPr>
        <w:tabs>
          <w:tab w:val="clear" w:pos="708"/>
          <w:tab w:val="left" w:pos="993" w:leader="none"/>
          <w:tab w:val="left" w:pos="1418" w:leader="none"/>
        </w:tabs>
        <w:ind w:left="0" w:firstLine="709"/>
        <w:jc w:val="both"/>
        <w:rPr>
          <w:sz w:val="24"/>
          <w:szCs w:val="24"/>
        </w:rPr>
      </w:pPr>
      <w:r>
        <w:rPr>
          <w:sz w:val="24"/>
          <w:szCs w:val="24"/>
        </w:rPr>
        <w:t xml:space="preserve">Поставщик в течение 1 (одного) рабочего дня с даты получения Заявки подтверждает поставку Товара (партии Товара), указанного Покупателем в Заявке, по электронной почте на адрес: </w:t>
      </w:r>
      <w:hyperlink r:id="rId2">
        <w:r>
          <w:rPr>
            <w:rStyle w:val="Hyperlink"/>
            <w:sz w:val="24"/>
            <w:szCs w:val="24"/>
            <w:lang w:val="en-US"/>
          </w:rPr>
          <w:t>ShubinVYu</w:t>
        </w:r>
        <w:r>
          <w:rPr>
            <w:rStyle w:val="Hyperlink"/>
            <w:sz w:val="24"/>
            <w:szCs w:val="24"/>
          </w:rPr>
          <w:t>@</w:t>
        </w:r>
        <w:r>
          <w:rPr>
            <w:rStyle w:val="Hyperlink"/>
            <w:sz w:val="24"/>
            <w:szCs w:val="24"/>
            <w:lang w:val="en-US"/>
          </w:rPr>
          <w:t>rushydro</w:t>
        </w:r>
        <w:r>
          <w:rPr>
            <w:rStyle w:val="Hyperlink"/>
            <w:sz w:val="24"/>
            <w:szCs w:val="24"/>
          </w:rPr>
          <w:t>.</w:t>
        </w:r>
        <w:r>
          <w:rPr>
            <w:rStyle w:val="Hyperlink"/>
            <w:sz w:val="24"/>
            <w:szCs w:val="24"/>
            <w:lang w:val="en-US"/>
          </w:rPr>
          <w:t>ru</w:t>
        </w:r>
      </w:hyperlink>
      <w:r>
        <w:rPr>
          <w:sz w:val="24"/>
          <w:szCs w:val="24"/>
        </w:rPr>
        <w:t xml:space="preserve">, </w:t>
      </w:r>
      <w:hyperlink r:id="rId3">
        <w:r>
          <w:rPr>
            <w:rStyle w:val="Hyperlink"/>
            <w:sz w:val="24"/>
            <w:szCs w:val="24"/>
            <w:lang w:val="en-US"/>
          </w:rPr>
          <w:t>AntonovPE</w:t>
        </w:r>
        <w:r>
          <w:rPr>
            <w:rStyle w:val="Hyperlink"/>
            <w:sz w:val="24"/>
            <w:szCs w:val="24"/>
          </w:rPr>
          <w:t>@</w:t>
        </w:r>
        <w:r>
          <w:rPr>
            <w:rStyle w:val="Hyperlink"/>
            <w:sz w:val="24"/>
            <w:szCs w:val="24"/>
            <w:lang w:val="en-US"/>
          </w:rPr>
          <w:t>rushydro</w:t>
        </w:r>
        <w:r>
          <w:rPr>
            <w:rStyle w:val="Hyperlink"/>
            <w:sz w:val="24"/>
            <w:szCs w:val="24"/>
          </w:rPr>
          <w:t>.</w:t>
        </w:r>
        <w:r>
          <w:rPr>
            <w:rStyle w:val="Hyperlink"/>
            <w:sz w:val="24"/>
            <w:szCs w:val="24"/>
            <w:lang w:val="en-US"/>
          </w:rPr>
          <w:t>ru</w:t>
        </w:r>
      </w:hyperlink>
      <w:r>
        <w:rPr>
          <w:sz w:val="24"/>
          <w:szCs w:val="24"/>
        </w:rPr>
        <w:t xml:space="preserve">, </w:t>
      </w:r>
      <w:hyperlink r:id="rId4">
        <w:r>
          <w:rPr>
            <w:rStyle w:val="Hyperlink"/>
            <w:sz w:val="24"/>
            <w:szCs w:val="24"/>
            <w:lang w:val="en-US"/>
          </w:rPr>
          <w:t>BaevaVV</w:t>
        </w:r>
        <w:r>
          <w:rPr>
            <w:rStyle w:val="Hyperlink"/>
            <w:sz w:val="24"/>
            <w:szCs w:val="24"/>
          </w:rPr>
          <w:t>@</w:t>
        </w:r>
        <w:r>
          <w:rPr>
            <w:rStyle w:val="Hyperlink"/>
            <w:sz w:val="24"/>
            <w:szCs w:val="24"/>
            <w:lang w:val="en-US"/>
          </w:rPr>
          <w:t>rushydro</w:t>
        </w:r>
        <w:r>
          <w:rPr>
            <w:rStyle w:val="Hyperlink"/>
            <w:sz w:val="24"/>
            <w:szCs w:val="24"/>
          </w:rPr>
          <w:t>.</w:t>
        </w:r>
        <w:r>
          <w:rPr>
            <w:rStyle w:val="Hyperlink"/>
            <w:sz w:val="24"/>
            <w:szCs w:val="24"/>
            <w:lang w:val="en-US"/>
          </w:rPr>
          <w:t>ru</w:t>
        </w:r>
      </w:hyperlink>
      <w:r>
        <w:rPr>
          <w:sz w:val="24"/>
          <w:szCs w:val="24"/>
        </w:rPr>
        <w:t xml:space="preserve">, </w:t>
      </w:r>
      <w:hyperlink r:id="rId5">
        <w:r>
          <w:rPr>
            <w:rStyle w:val="Hyperlink"/>
            <w:sz w:val="24"/>
            <w:szCs w:val="24"/>
            <w:lang w:val="en-US"/>
          </w:rPr>
          <w:t>BagryantsevEE</w:t>
        </w:r>
        <w:r>
          <w:rPr>
            <w:rStyle w:val="Hyperlink"/>
            <w:sz w:val="24"/>
            <w:szCs w:val="24"/>
          </w:rPr>
          <w:t>@</w:t>
        </w:r>
        <w:r>
          <w:rPr>
            <w:rStyle w:val="Hyperlink"/>
            <w:sz w:val="24"/>
            <w:szCs w:val="24"/>
            <w:lang w:val="en-US"/>
          </w:rPr>
          <w:t>rushydro</w:t>
        </w:r>
        <w:r>
          <w:rPr>
            <w:rStyle w:val="Hyperlink"/>
            <w:sz w:val="24"/>
            <w:szCs w:val="24"/>
          </w:rPr>
          <w:t>.</w:t>
        </w:r>
        <w:r>
          <w:rPr>
            <w:rStyle w:val="Hyperlink"/>
            <w:sz w:val="24"/>
            <w:szCs w:val="24"/>
            <w:lang w:val="en-US"/>
          </w:rPr>
          <w:t>ru</w:t>
        </w:r>
      </w:hyperlink>
      <w:r>
        <w:rPr>
          <w:sz w:val="24"/>
          <w:szCs w:val="24"/>
        </w:rPr>
        <w:t xml:space="preserve">, </w:t>
      </w:r>
      <w:hyperlink r:id="rId6">
        <w:r>
          <w:rPr>
            <w:rStyle w:val="Hyperlink"/>
            <w:sz w:val="24"/>
            <w:szCs w:val="24"/>
            <w:lang w:val="en-US"/>
          </w:rPr>
          <w:t>ShistopalIV</w:t>
        </w:r>
        <w:r>
          <w:rPr>
            <w:rStyle w:val="Hyperlink"/>
            <w:sz w:val="24"/>
            <w:szCs w:val="24"/>
          </w:rPr>
          <w:t>@</w:t>
        </w:r>
        <w:r>
          <w:rPr>
            <w:rStyle w:val="Hyperlink"/>
            <w:sz w:val="24"/>
            <w:szCs w:val="24"/>
            <w:lang w:val="en-US"/>
          </w:rPr>
          <w:t>rushydro</w:t>
        </w:r>
        <w:r>
          <w:rPr>
            <w:rStyle w:val="Hyperlink"/>
            <w:sz w:val="24"/>
            <w:szCs w:val="24"/>
          </w:rPr>
          <w:t>.</w:t>
        </w:r>
        <w:r>
          <w:rPr>
            <w:rStyle w:val="Hyperlink"/>
            <w:sz w:val="24"/>
            <w:szCs w:val="24"/>
            <w:lang w:val="en-US"/>
          </w:rPr>
          <w:t>ru</w:t>
        </w:r>
      </w:hyperlink>
      <w:r>
        <w:rPr>
          <w:sz w:val="24"/>
          <w:szCs w:val="24"/>
        </w:rPr>
        <w:t xml:space="preserve"> с последующим направлением письменного ответа по адресу, указанному в разделе 15 Договора.</w:t>
      </w:r>
    </w:p>
    <w:p>
      <w:pPr>
        <w:pStyle w:val="ListParagraph"/>
        <w:widowControl/>
        <w:numPr>
          <w:ilvl w:val="2"/>
          <w:numId w:val="2"/>
        </w:numPr>
        <w:tabs>
          <w:tab w:val="clear" w:pos="708"/>
          <w:tab w:val="left" w:pos="993" w:leader="none"/>
          <w:tab w:val="left" w:pos="1418" w:leader="none"/>
        </w:tabs>
        <w:ind w:left="0" w:firstLine="709"/>
        <w:jc w:val="both"/>
        <w:rPr>
          <w:sz w:val="24"/>
          <w:szCs w:val="24"/>
        </w:rPr>
      </w:pPr>
      <w:r>
        <w:rPr>
          <w:sz w:val="24"/>
          <w:szCs w:val="24"/>
        </w:rPr>
        <w:t>Покупатель не позднее 3 (трех) рабочих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2"/>
        </w:numPr>
        <w:tabs>
          <w:tab w:val="clear" w:pos="708"/>
          <w:tab w:val="left" w:pos="993" w:leader="none"/>
          <w:tab w:val="left" w:pos="1418" w:leader="none"/>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8"/>
          <w:tab w:val="left" w:pos="993" w:leader="none"/>
          <w:tab w:val="left" w:pos="1418" w:leader="none"/>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8"/>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8"/>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2"/>
        </w:numPr>
        <w:tabs>
          <w:tab w:val="clear" w:pos="708"/>
          <w:tab w:val="left" w:pos="993" w:leader="none"/>
          <w:tab w:val="left" w:pos="1418" w:leader="none"/>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color="auto" w:fill="FFFFFF"/>
        <w:tabs>
          <w:tab w:val="clear" w:pos="708"/>
          <w:tab w:val="left" w:pos="1134" w:leader="none"/>
          <w:tab w:val="left" w:pos="1418" w:leader="none"/>
        </w:tabs>
        <w:ind w:left="0" w:firstLine="709"/>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 а также Применимого права.</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8"/>
          <w:tab w:val="left" w:pos="1418" w:leader="none"/>
        </w:tabs>
        <w:ind w:left="0" w:firstLine="709"/>
        <w:jc w:val="both"/>
        <w:rPr>
          <w:sz w:val="24"/>
          <w:szCs w:val="24"/>
        </w:rPr>
      </w:pPr>
      <w:r>
        <w:rPr>
          <w:sz w:val="24"/>
          <w:szCs w:val="24"/>
        </w:rPr>
        <w:t>сертификат качества в 1 (одном) экз.;</w:t>
      </w:r>
    </w:p>
    <w:p>
      <w:pPr>
        <w:pStyle w:val="Normal"/>
        <w:numPr>
          <w:ilvl w:val="0"/>
          <w:numId w:val="4"/>
        </w:numPr>
        <w:tabs>
          <w:tab w:val="clear" w:pos="708"/>
          <w:tab w:val="left" w:pos="1418" w:leader="none"/>
        </w:tabs>
        <w:ind w:left="0" w:firstLine="709"/>
        <w:jc w:val="both"/>
        <w:rPr>
          <w:sz w:val="24"/>
          <w:szCs w:val="24"/>
        </w:rPr>
      </w:pPr>
      <w:r>
        <w:rPr>
          <w:sz w:val="24"/>
          <w:szCs w:val="24"/>
        </w:rPr>
        <w:t>технический паспорт на русском языке в 1 (одном) экз.;</w:t>
      </w:r>
    </w:p>
    <w:p>
      <w:pPr>
        <w:pStyle w:val="Normal"/>
        <w:numPr>
          <w:ilvl w:val="0"/>
          <w:numId w:val="4"/>
        </w:numPr>
        <w:tabs>
          <w:tab w:val="clear" w:pos="708"/>
          <w:tab w:val="left" w:pos="1418" w:leader="none"/>
        </w:tabs>
        <w:ind w:left="0" w:firstLine="709"/>
        <w:jc w:val="both"/>
        <w:rPr>
          <w:sz w:val="24"/>
          <w:szCs w:val="24"/>
        </w:rPr>
      </w:pPr>
      <w:r>
        <w:rPr>
          <w:sz w:val="24"/>
          <w:szCs w:val="24"/>
        </w:rPr>
        <w:t>инструкция по эксплуатации на русском языке в 1 (одном) экз.;</w:t>
      </w:r>
    </w:p>
    <w:p>
      <w:pPr>
        <w:pStyle w:val="Normal"/>
        <w:numPr>
          <w:ilvl w:val="0"/>
          <w:numId w:val="4"/>
        </w:numPr>
        <w:tabs>
          <w:tab w:val="clear" w:pos="708"/>
          <w:tab w:val="left" w:pos="1418" w:leader="none"/>
        </w:tabs>
        <w:ind w:left="0" w:firstLine="709"/>
        <w:jc w:val="both"/>
        <w:rPr>
          <w:sz w:val="24"/>
          <w:szCs w:val="24"/>
        </w:rPr>
      </w:pPr>
      <w:r>
        <w:rPr>
          <w:sz w:val="24"/>
          <w:szCs w:val="24"/>
        </w:rPr>
        <w:t>упаковочный лист в 1 (одном) экз.;</w:t>
      </w:r>
    </w:p>
    <w:p>
      <w:pPr>
        <w:pStyle w:val="Normal"/>
        <w:numPr>
          <w:ilvl w:val="0"/>
          <w:numId w:val="3"/>
        </w:numPr>
        <w:tabs>
          <w:tab w:val="clear" w:pos="708"/>
          <w:tab w:val="left" w:pos="1418" w:leader="none"/>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8"/>
          <w:tab w:val="left" w:pos="1418" w:leader="none"/>
        </w:tabs>
        <w:ind w:left="0" w:firstLine="709"/>
        <w:jc w:val="both"/>
        <w:rPr>
          <w:sz w:val="24"/>
          <w:szCs w:val="24"/>
        </w:rPr>
      </w:pPr>
      <w:r>
        <w:rPr>
          <w:sz w:val="24"/>
          <w:szCs w:val="24"/>
        </w:rPr>
        <w:t>накладная ТОРГ-12/УПД в 1 (одном) экз.</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8"/>
          <w:tab w:val="left" w:pos="1134" w:leader="none"/>
          <w:tab w:val="left" w:pos="1418" w:leader="none"/>
        </w:tabs>
        <w:ind w:left="709" w:hanging="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Cs/>
          <w:sz w:val="24"/>
          <w:szCs w:val="24"/>
        </w:rPr>
      </w:pPr>
      <w:r>
        <w:rPr>
          <w:bCs/>
          <w:sz w:val="24"/>
          <w:szCs w:val="24"/>
        </w:rPr>
        <w:t>В случае неявки представителя Поставщика и/или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8"/>
          <w:tab w:val="left" w:pos="1418" w:leader="none"/>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8"/>
          <w:tab w:val="left" w:pos="1418" w:leader="none"/>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 xml:space="preserve">Погрузка, доставка, разгрузка и перемещение Товара (в том числе </w:t>
        <w:br/>
        <w:t xml:space="preserve">по территории Покупателя)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Цену Договора.</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bookmarkStart w:id="1" w:name="_Ref361396594"/>
      <w:r>
        <w:rPr>
          <w:sz w:val="24"/>
          <w:szCs w:val="24"/>
        </w:rPr>
        <w:t>Датой поставки Товара является дата подписания Сторонами Накладной</w:t>
        <w:br/>
        <w:t>ТОРГ-12/УПД.</w:t>
      </w:r>
      <w:bookmarkEnd w:id="1"/>
      <w:r>
        <w:rPr>
          <w:sz w:val="24"/>
          <w:szCs w:val="24"/>
        </w:rPr>
        <w:t xml:space="preserve"> </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tabs>
          <w:tab w:val="clear" w:pos="708"/>
          <w:tab w:val="left" w:pos="1418" w:leader="none"/>
        </w:tabs>
        <w:ind w:left="0" w:firstLine="709"/>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ListParagraph"/>
        <w:numPr>
          <w:ilvl w:val="1"/>
          <w:numId w:val="2"/>
        </w:numPr>
        <w:tabs>
          <w:tab w:val="clear" w:pos="708"/>
          <w:tab w:val="left" w:pos="1418" w:leader="none"/>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и/или дефектов Товара.  </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и/или дефектов Товара его приемка осуществляется в соответствии с настоящим разделом Договора.</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pPr>
        <w:pStyle w:val="ListParagraph"/>
        <w:numPr>
          <w:ilvl w:val="1"/>
          <w:numId w:val="2"/>
        </w:numPr>
        <w:shd w:val="clear" w:color="auto" w:fill="FFFFFF"/>
        <w:tabs>
          <w:tab w:val="clear" w:pos="708"/>
          <w:tab w:val="left" w:pos="1418" w:leader="none"/>
          <w:tab w:val="left" w:pos="1851" w:leader="none"/>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8"/>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widowControl/>
        <w:shd w:val="clear" w:color="auto" w:fill="FFFFFF"/>
        <w:tabs>
          <w:tab w:val="clear" w:pos="708"/>
          <w:tab w:val="left" w:pos="1134" w:leader="none"/>
          <w:tab w:val="left" w:pos="1418" w:leader="none"/>
        </w:tabs>
        <w:ind w:firstLine="709"/>
        <w:jc w:val="both"/>
        <w:rPr>
          <w:sz w:val="24"/>
          <w:szCs w:val="24"/>
        </w:rPr>
      </w:pPr>
      <w:r>
        <w:rPr>
          <w:sz w:val="24"/>
          <w:szCs w:val="24"/>
        </w:rPr>
      </w:r>
    </w:p>
    <w:p>
      <w:pPr>
        <w:pStyle w:val="ListParagraph"/>
        <w:numPr>
          <w:ilvl w:val="0"/>
          <w:numId w:val="2"/>
        </w:numPr>
        <w:shd w:val="clear" w:color="auto" w:fill="FFFFFF"/>
        <w:ind w:left="0" w:hanging="0"/>
        <w:jc w:val="center"/>
        <w:rPr>
          <w:b/>
          <w:sz w:val="24"/>
          <w:szCs w:val="24"/>
        </w:rPr>
      </w:pPr>
      <w:r>
        <w:rPr>
          <w:b/>
          <w:sz w:val="24"/>
          <w:szCs w:val="24"/>
        </w:rPr>
        <w:t>Гарантийный срок</w:t>
      </w:r>
    </w:p>
    <w:p>
      <w:pPr>
        <w:pStyle w:val="ListParagraph"/>
        <w:numPr>
          <w:ilvl w:val="1"/>
          <w:numId w:val="2"/>
        </w:numPr>
        <w:tabs>
          <w:tab w:val="clear" w:pos="708"/>
          <w:tab w:val="left" w:pos="1134" w:leader="none"/>
        </w:tabs>
        <w:ind w:left="0" w:firstLine="709"/>
        <w:jc w:val="both"/>
        <w:rPr>
          <w:sz w:val="24"/>
          <w:szCs w:val="24"/>
        </w:rPr>
      </w:pPr>
      <w:r>
        <w:rPr>
          <w:sz w:val="24"/>
          <w:szCs w:val="24"/>
        </w:rPr>
        <w:t xml:space="preserve">Гарантийный срок на Товар, поставленный по Договору, составляет 12 (двенадцать)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8"/>
          <w:tab w:val="left" w:pos="1134" w:leader="none"/>
          <w:tab w:val="left" w:pos="1851" w:leader="none"/>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и/или дефекты Товара, если не докажет, что такие недостатки, несоответствия и/или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В случае обнаружения в течение Гарантийного срока недостатков, несоответствий и/или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и/или дефектах. Если к указанному в настоящем пункте сроку представитель Поставщика не прибудет, Акт о недостатках, несоответствиях и/или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8"/>
          <w:tab w:val="left" w:pos="1134" w:leader="none"/>
          <w:tab w:val="left" w:pos="1276" w:leader="none"/>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и/или дефекты Товара, обнаруженные Покупателем в течение Гарантийного срока, в срок, указанный </w:t>
      </w:r>
      <w:bookmarkStart w:id="3" w:name="OLE_LINK6"/>
      <w:bookmarkStart w:id="4" w:name="OLE_LINK5"/>
      <w:r>
        <w:rPr>
          <w:sz w:val="24"/>
          <w:szCs w:val="24"/>
        </w:rPr>
        <w:t>Покупателем в соответствии с пунктом 4.3 Договора</w:t>
      </w:r>
      <w:bookmarkEnd w:id="3"/>
      <w:bookmarkEnd w:id="4"/>
      <w:r>
        <w:rPr>
          <w:sz w:val="24"/>
          <w:szCs w:val="24"/>
        </w:rPr>
        <w:t xml:space="preserve">, путем замены Товара. </w:t>
      </w:r>
    </w:p>
    <w:p>
      <w:pPr>
        <w:pStyle w:val="Normal"/>
        <w:widowControl/>
        <w:shd w:val="clear" w:color="auto" w:fill="FFFFFF"/>
        <w:tabs>
          <w:tab w:val="clear" w:pos="708"/>
          <w:tab w:val="left" w:pos="1134" w:leader="none"/>
        </w:tabs>
        <w:ind w:firstLine="709"/>
        <w:jc w:val="both"/>
        <w:rPr>
          <w:sz w:val="24"/>
          <w:szCs w:val="24"/>
        </w:rPr>
      </w:pPr>
      <w:r>
        <w:rPr>
          <w:sz w:val="24"/>
          <w:szCs w:val="24"/>
        </w:rPr>
        <w:t xml:space="preserve">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8"/>
          <w:tab w:val="left" w:pos="1134" w:leader="none"/>
          <w:tab w:val="left" w:pos="1276" w:leader="none"/>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8"/>
          <w:tab w:val="left" w:pos="1134" w:leader="none"/>
        </w:tabs>
        <w:ind w:left="0" w:firstLine="709"/>
        <w:jc w:val="both"/>
        <w:rPr>
          <w:sz w:val="24"/>
          <w:szCs w:val="24"/>
        </w:rPr>
      </w:pPr>
      <w:r>
        <w:rPr>
          <w:sz w:val="24"/>
          <w:szCs w:val="24"/>
        </w:rPr>
        <w:t xml:space="preserve">Устранение недостатков, несоответствий и/или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8"/>
          <w:tab w:val="left" w:pos="1190" w:leader="none"/>
        </w:tabs>
        <w:ind w:firstLine="709"/>
        <w:jc w:val="both"/>
        <w:rPr>
          <w:sz w:val="24"/>
          <w:szCs w:val="24"/>
        </w:rPr>
      </w:pPr>
      <w:r>
        <w:rPr>
          <w:sz w:val="24"/>
          <w:szCs w:val="24"/>
        </w:rPr>
      </w:r>
    </w:p>
    <w:p>
      <w:pPr>
        <w:pStyle w:val="Normal"/>
        <w:numPr>
          <w:ilvl w:val="0"/>
          <w:numId w:val="2"/>
        </w:numPr>
        <w:shd w:val="clear" w:color="auto" w:fill="FFFFFF"/>
        <w:ind w:left="0" w:hanging="0"/>
        <w:jc w:val="center"/>
        <w:rPr>
          <w:b/>
          <w:bCs/>
          <w:sz w:val="24"/>
          <w:szCs w:val="24"/>
        </w:rPr>
      </w:pPr>
      <w:r>
        <w:rPr>
          <w:b/>
          <w:bCs/>
          <w:sz w:val="24"/>
          <w:szCs w:val="24"/>
        </w:rPr>
        <w:t>Ответственность Сторон</w:t>
      </w:r>
    </w:p>
    <w:p>
      <w:pPr>
        <w:pStyle w:val="ListParagraph"/>
        <w:numPr>
          <w:ilvl w:val="1"/>
          <w:numId w:val="2"/>
        </w:numPr>
        <w:tabs>
          <w:tab w:val="clear" w:pos="708"/>
          <w:tab w:val="left" w:pos="1276" w:leader="none"/>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8"/>
          <w:tab w:val="left" w:pos="1276" w:leader="none"/>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p>
    <w:p>
      <w:pPr>
        <w:pStyle w:val="Normal"/>
        <w:widowControl/>
        <w:numPr>
          <w:ilvl w:val="1"/>
          <w:numId w:val="2"/>
        </w:numPr>
        <w:tabs>
          <w:tab w:val="clear" w:pos="708"/>
          <w:tab w:val="left" w:pos="1276" w:leader="none"/>
        </w:tabs>
        <w:ind w:left="0" w:firstLine="709"/>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штрафной неустойки в размере 0,1 (ноль целых и одна десятая) процента от Цены Договора за каждый день просрочки.</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8"/>
          <w:tab w:val="left" w:pos="1276" w:leader="none"/>
        </w:tabs>
        <w:ind w:left="0" w:firstLine="709"/>
        <w:jc w:val="both"/>
        <w:rPr>
          <w:bCs/>
          <w:sz w:val="24"/>
          <w:szCs w:val="24"/>
          <w:highlight w:val="lightGray"/>
        </w:rPr>
      </w:pPr>
      <w:r>
        <w:rPr>
          <w:bCs/>
          <w:sz w:val="24"/>
          <w:szCs w:val="24"/>
          <w:highlight w:val="lightGray"/>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сроков предоставления счетов-фактур,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bCs/>
          <w:i/>
          <w:iCs/>
          <w:sz w:val="24"/>
          <w:szCs w:val="24"/>
          <w:highlight w:val="lightGray"/>
        </w:rPr>
        <w:t xml:space="preserve"> </w:t>
      </w:r>
      <w:r>
        <w:rPr>
          <w:bCs/>
          <w:i/>
          <w:iCs/>
          <w:sz w:val="24"/>
          <w:szCs w:val="24"/>
          <w:highlight w:val="lightGray"/>
          <w:lang w:val="en-GB"/>
        </w:rPr>
        <w:t>(</w:t>
      </w:r>
      <w:r>
        <w:rPr>
          <w:bCs/>
          <w:i/>
          <w:iCs/>
          <w:sz w:val="24"/>
          <w:szCs w:val="24"/>
          <w:highlight w:val="lightGray"/>
        </w:rPr>
        <w:t xml:space="preserve">если предусмотрен </w:t>
      </w:r>
      <w:r>
        <w:rPr>
          <w:bCs/>
          <w:i/>
          <w:iCs/>
          <w:sz w:val="24"/>
          <w:szCs w:val="24"/>
          <w:highlight w:val="lightGray"/>
          <w:lang w:val="en-GB"/>
        </w:rPr>
        <w:t>НДС)</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tabs>
          <w:tab w:val="clear" w:pos="708"/>
          <w:tab w:val="left" w:pos="1276" w:leader="none"/>
        </w:tabs>
        <w:ind w:left="0" w:firstLine="709"/>
        <w:jc w:val="both"/>
        <w:rPr>
          <w:sz w:val="24"/>
          <w:szCs w:val="24"/>
        </w:rPr>
      </w:pPr>
      <w:r>
        <w:rPr>
          <w:rFonts w:eastAsia="Calibri"/>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sz w:val="24"/>
          <w:szCs w:val="24"/>
        </w:rPr>
        <w:t>Ответственность Покупателя за причиненные Поставщику убытки ограничивается реальным ущербом, но не более Цены Договора.</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bCs/>
          <w:sz w:val="24"/>
          <w:szCs w:val="24"/>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bCs/>
          <w:sz w:val="24"/>
          <w:szCs w:val="24"/>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8"/>
          <w:tab w:val="left" w:pos="1276" w:leader="none"/>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 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tabs>
          <w:tab w:val="clear" w:pos="708"/>
          <w:tab w:val="left" w:pos="0" w:leader="none"/>
        </w:tabs>
        <w:ind w:left="0" w:hanging="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clear" w:pos="708"/>
          <w:tab w:val="left" w:pos="0" w:leader="none"/>
          <w:tab w:val="left" w:pos="709" w:leader="none"/>
          <w:tab w:val="left" w:pos="1418" w:leader="none"/>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clear" w:pos="708"/>
          <w:tab w:val="left" w:pos="0" w:leader="none"/>
          <w:tab w:val="left" w:pos="709" w:leader="none"/>
          <w:tab w:val="left" w:pos="1418" w:leader="none"/>
        </w:tabs>
        <w:ind w:left="0" w:firstLine="709"/>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бизнес-планы;</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сведения об объемах производства и/или реализации продукции и услуг Покупателя или его аффилированных лиц;</w:t>
      </w:r>
    </w:p>
    <w:p>
      <w:pPr>
        <w:pStyle w:val="Normal"/>
        <w:widowControl/>
        <w:numPr>
          <w:ilvl w:val="0"/>
          <w:numId w:val="5"/>
        </w:numPr>
        <w:tabs>
          <w:tab w:val="clear" w:pos="708"/>
          <w:tab w:val="left" w:pos="0" w:leader="none"/>
          <w:tab w:val="left" w:pos="1418" w:leader="none"/>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2"/>
        </w:numPr>
        <w:shd w:val="clear" w:color="auto" w:fill="FFFFFF"/>
        <w:tabs>
          <w:tab w:val="clear" w:pos="708"/>
          <w:tab w:val="left" w:pos="1418" w:leader="none"/>
        </w:tabs>
        <w:ind w:left="0" w:firstLine="709"/>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8"/>
          <w:tab w:val="left" w:pos="1134" w:leader="none"/>
        </w:tabs>
        <w:ind w:left="0" w:firstLine="709"/>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2"/>
        </w:numPr>
        <w:shd w:val="clear" w:color="auto" w:fill="FFFFFF"/>
        <w:tabs>
          <w:tab w:val="clear" w:pos="708"/>
          <w:tab w:val="left" w:pos="1134" w:leader="none"/>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Антикоррупционная оговорка</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r>
        <w:rPr>
          <w:bCs/>
          <w:sz w:val="24"/>
          <w:szCs w:val="24"/>
        </w:rPr>
        <w:t>.</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ListParagraph"/>
        <w:widowControl/>
        <w:numPr>
          <w:ilvl w:val="1"/>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Каналы связи Линия доверия Группы РусГидро:</w:t>
      </w:r>
    </w:p>
    <w:p>
      <w:pPr>
        <w:pStyle w:val="ListParagraph"/>
        <w:widowControl/>
        <w:numPr>
          <w:ilvl w:val="2"/>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 xml:space="preserve">Электронная почта: </w:t>
      </w:r>
      <w:hyperlink r:id="rId7">
        <w:r>
          <w:rPr>
            <w:rStyle w:val="Hyperlink"/>
            <w:bCs/>
            <w:color w:val="auto"/>
            <w:sz w:val="24"/>
            <w:szCs w:val="24"/>
          </w:rPr>
          <w:t>ld@rushydro.ru</w:t>
        </w:r>
      </w:hyperlink>
      <w:r>
        <w:rPr>
          <w:bCs/>
          <w:sz w:val="24"/>
          <w:szCs w:val="24"/>
        </w:rPr>
        <w:t>.</w:t>
      </w:r>
    </w:p>
    <w:p>
      <w:pPr>
        <w:pStyle w:val="ListParagraph"/>
        <w:widowControl/>
        <w:numPr>
          <w:ilvl w:val="2"/>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2"/>
          <w:numId w:val="2"/>
        </w:numPr>
        <w:shd w:val="clear" w:color="auto" w:fill="FFFFFF"/>
        <w:tabs>
          <w:tab w:val="clear" w:pos="708"/>
          <w:tab w:val="left" w:pos="0" w:leader="none"/>
          <w:tab w:val="left" w:pos="1134" w:leader="none"/>
        </w:tabs>
        <w:ind w:left="0" w:firstLine="709"/>
        <w:jc w:val="both"/>
        <w:rPr>
          <w:bCs/>
          <w:sz w:val="24"/>
          <w:szCs w:val="24"/>
        </w:rPr>
      </w:pPr>
      <w:r>
        <w:rPr>
          <w:bCs/>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8"/>
          <w:tab w:val="left" w:pos="0" w:leader="none"/>
          <w:tab w:val="left" w:pos="284" w:leader="none"/>
          <w:tab w:val="left" w:pos="567" w:leader="none"/>
        </w:tabs>
        <w:ind w:left="0" w:firstLine="709"/>
        <w:jc w:val="both"/>
        <w:rPr>
          <w:b/>
          <w:bCs/>
          <w:sz w:val="24"/>
          <w:szCs w:val="24"/>
        </w:rPr>
      </w:pPr>
      <w:r>
        <w:rPr>
          <w:b/>
          <w:bCs/>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8"/>
          <w:tab w:val="left" w:pos="0" w:leader="none"/>
          <w:tab w:val="left" w:pos="568" w:leader="none"/>
          <w:tab w:val="left" w:pos="1134"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0" w:leader="none"/>
          <w:tab w:val="left" w:pos="568" w:leader="none"/>
          <w:tab w:val="left" w:pos="1418" w:leader="none"/>
        </w:tabs>
        <w:ind w:left="0" w:firstLine="709"/>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
        </w:numPr>
        <w:shd w:val="clear" w:color="auto" w:fill="FFFFFF"/>
        <w:spacing w:before="0" w:after="0"/>
        <w:ind w:left="0" w:hanging="0"/>
        <w:contextualSpacing/>
        <w:jc w:val="center"/>
        <w:rPr>
          <w:b/>
          <w:bCs/>
          <w:sz w:val="24"/>
          <w:szCs w:val="24"/>
        </w:rPr>
      </w:pPr>
      <w:r>
        <w:rPr>
          <w:b/>
          <w:bCs/>
          <w:sz w:val="24"/>
          <w:szCs w:val="24"/>
        </w:rPr>
        <w:t>Особые положения</w:t>
      </w:r>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bookmarkStart w:id="8"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2"/>
        </w:numPr>
        <w:shd w:val="clear" w:color="auto" w:fill="FFFFFF"/>
        <w:tabs>
          <w:tab w:val="clear" w:pos="708"/>
          <w:tab w:val="left" w:pos="1134" w:leader="none"/>
        </w:tabs>
        <w:ind w:left="0" w:firstLine="709"/>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bCs/>
            <w:sz w:val="24"/>
            <w:szCs w:val="24"/>
          </w:rPr>
          <w:t>№ 18162/09</w:t>
        </w:r>
      </w:hyperlink>
      <w:r>
        <w:rPr>
          <w:bCs/>
          <w:sz w:val="24"/>
          <w:szCs w:val="24"/>
        </w:rPr>
        <w:t xml:space="preserve"> </w:t>
        <w:br/>
        <w:t xml:space="preserve">и от 25.05.2010 </w:t>
      </w:r>
      <w:hyperlink r:id="rId9">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и/или </w:t>
      </w:r>
    </w:p>
    <w:p>
      <w:pPr>
        <w:pStyle w:val="ListParagraph"/>
        <w:widowControl/>
        <w:numPr>
          <w:ilvl w:val="1"/>
          <w:numId w:val="12"/>
        </w:numPr>
        <w:shd w:val="clear" w:color="auto" w:fill="FFFFFF"/>
        <w:tabs>
          <w:tab w:val="clear" w:pos="708"/>
          <w:tab w:val="left" w:pos="1134" w:leader="none"/>
        </w:tabs>
        <w:ind w:left="0" w:firstLine="709"/>
        <w:jc w:val="both"/>
        <w:rPr>
          <w:bCs/>
          <w:sz w:val="24"/>
          <w:szCs w:val="24"/>
        </w:rPr>
      </w:pPr>
      <w:r>
        <w:rPr>
          <w:bCs/>
          <w:sz w:val="24"/>
          <w:szCs w:val="24"/>
        </w:rPr>
        <w:t xml:space="preserve">соответствующие </w:t>
      </w:r>
      <w:hyperlink r:id="rId10">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8"/>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bookmarkStart w:id="9"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2"/>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и/или нарушившим свои обязательства по Договору.</w:t>
      </w:r>
      <w:bookmarkEnd w:id="13"/>
    </w:p>
    <w:p>
      <w:pPr>
        <w:pStyle w:val="ListParagraph"/>
        <w:widowControl/>
        <w:numPr>
          <w:ilvl w:val="1"/>
          <w:numId w:val="13"/>
        </w:numPr>
        <w:shd w:val="clear" w:color="auto" w:fill="FFFFFF"/>
        <w:tabs>
          <w:tab w:val="clear" w:pos="708"/>
          <w:tab w:val="left" w:pos="1134" w:leader="none"/>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ListParagraph"/>
        <w:widowControl/>
        <w:shd w:val="clear" w:color="auto" w:fill="FFFFFF"/>
        <w:tabs>
          <w:tab w:val="clear" w:pos="708"/>
          <w:tab w:val="left" w:pos="1134" w:leader="none"/>
        </w:tabs>
        <w:ind w:left="709" w:hanging="0"/>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left="0" w:hanging="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8"/>
          <w:tab w:val="left" w:pos="1134" w:leader="none"/>
          <w:tab w:val="left" w:pos="1418" w:leader="none"/>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является юридическим лицом </w:t>
      </w:r>
      <w:r>
        <w:rPr>
          <w:sz w:val="24"/>
          <w:szCs w:val="24"/>
          <w:highlight w:val="lightGray"/>
        </w:rPr>
        <w:t>/ индивидуальным предпринимателем</w:t>
      </w:r>
      <w:r>
        <w:rPr>
          <w:sz w:val="24"/>
          <w:szCs w:val="24"/>
        </w:rPr>
        <w:t xml:space="preserve">, надлежащим образом учрежденным </w:t>
      </w:r>
      <w:r>
        <w:rPr>
          <w:sz w:val="24"/>
          <w:szCs w:val="24"/>
          <w:highlight w:val="lightGray"/>
        </w:rPr>
        <w:t>/ зарегистрированным</w:t>
      </w:r>
      <w:r>
        <w:rPr>
          <w:sz w:val="24"/>
          <w:szCs w:val="24"/>
        </w:rPr>
        <w:t xml:space="preserve">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clear" w:pos="708"/>
          <w:tab w:val="left" w:pos="0" w:leader="none"/>
          <w:tab w:val="left" w:pos="709" w:leader="none"/>
          <w:tab w:val="left" w:pos="1418"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clear" w:pos="708"/>
          <w:tab w:val="left" w:pos="0" w:leader="none"/>
          <w:tab w:val="left" w:pos="709"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clear" w:pos="708"/>
          <w:tab w:val="left" w:pos="0" w:leader="none"/>
          <w:tab w:val="left" w:pos="709"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clear" w:pos="708"/>
          <w:tab w:val="left" w:pos="0" w:leader="none"/>
          <w:tab w:val="left" w:pos="709" w:leader="none"/>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clear" w:pos="708"/>
          <w:tab w:val="left" w:pos="0" w:leader="none"/>
          <w:tab w:val="left" w:pos="709" w:leader="none"/>
        </w:tabs>
        <w:ind w:left="0" w:firstLine="709"/>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8"/>
          <w:tab w:val="left" w:pos="0" w:leader="none"/>
          <w:tab w:val="left" w:pos="567" w:leader="none"/>
        </w:tabs>
        <w:ind w:left="0" w:firstLine="709"/>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8"/>
          <w:tab w:val="left" w:pos="1418" w:leader="none"/>
        </w:tabs>
        <w:ind w:left="0" w:firstLine="709"/>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8"/>
          <w:tab w:val="left" w:pos="1134" w:leader="none"/>
          <w:tab w:val="left" w:pos="1418" w:leader="none"/>
        </w:tabs>
        <w:ind w:left="0" w:firstLine="709"/>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left="0" w:hanging="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8"/>
          <w:tab w:val="left" w:pos="1418" w:leader="none"/>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clear" w:pos="708"/>
          <w:tab w:val="left" w:pos="709" w:leader="none"/>
          <w:tab w:val="left" w:pos="1418" w:leader="none"/>
        </w:tabs>
        <w:ind w:left="0" w:firstLine="709"/>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8"/>
          <w:tab w:val="left" w:pos="1134" w:leader="none"/>
          <w:tab w:val="left" w:pos="1418" w:leader="none"/>
        </w:tabs>
        <w:ind w:left="0" w:firstLine="709"/>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11"/>
        </w:numPr>
        <w:tabs>
          <w:tab w:val="clear" w:pos="708"/>
          <w:tab w:val="left" w:pos="1418" w:leader="none"/>
        </w:tabs>
        <w:spacing w:beforeAutospacing="0" w:before="0" w:afterAutospacing="0" w:after="0"/>
        <w:ind w:left="0" w:firstLine="709"/>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60 (шестьдесят) календарных дней по причинам, не зависящим от Покупателя; </w:t>
      </w:r>
    </w:p>
    <w:p>
      <w:pPr>
        <w:pStyle w:val="NormalWeb"/>
        <w:numPr>
          <w:ilvl w:val="0"/>
          <w:numId w:val="11"/>
        </w:numPr>
        <w:tabs>
          <w:tab w:val="clear" w:pos="708"/>
          <w:tab w:val="left" w:pos="1418" w:leader="none"/>
        </w:tabs>
        <w:spacing w:beforeAutospacing="0" w:before="0" w:afterAutospacing="0" w:after="0"/>
        <w:ind w:left="0" w:firstLine="709"/>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 </w:t>
      </w:r>
    </w:p>
    <w:p>
      <w:pPr>
        <w:pStyle w:val="NormalWeb"/>
        <w:numPr>
          <w:ilvl w:val="0"/>
          <w:numId w:val="11"/>
        </w:numPr>
        <w:tabs>
          <w:tab w:val="clear" w:pos="708"/>
          <w:tab w:val="left" w:pos="1418" w:leader="none"/>
        </w:tabs>
        <w:spacing w:beforeAutospacing="0" w:before="0" w:afterAutospacing="0" w:after="0"/>
        <w:ind w:left="0" w:firstLine="709"/>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1"/>
        </w:numPr>
        <w:tabs>
          <w:tab w:val="clear" w:pos="708"/>
          <w:tab w:val="left" w:pos="1418" w:leader="none"/>
        </w:tabs>
        <w:spacing w:beforeAutospacing="0" w:before="0" w:afterAutospacing="0" w:after="0"/>
        <w:ind w:left="0" w:firstLine="709"/>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10"/>
        </w:numPr>
        <w:shd w:val="clear" w:color="auto" w:fill="FFFFFF"/>
        <w:tabs>
          <w:tab w:val="clear" w:pos="708"/>
          <w:tab w:val="left" w:pos="1418" w:leader="none"/>
        </w:tabs>
        <w:ind w:left="0" w:firstLine="709"/>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0"/>
        </w:numPr>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10"/>
        </w:numPr>
        <w:ind w:left="0" w:firstLine="709"/>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hanging="0"/>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left="0" w:hanging="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r>
        <w:rPr>
          <w:sz w:val="24"/>
          <w:szCs w:val="24"/>
          <w:highlight w:val="lightGray"/>
        </w:rPr>
        <w:t xml:space="preserve">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12.6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13.7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bookmarkStart w:id="14" w:name="_Ref361338004"/>
      <w:r>
        <w:rPr>
          <w:sz w:val="24"/>
          <w:szCs w:val="24"/>
        </w:rPr>
        <w:t>Стороны обязуются уведомлять 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14"/>
      <w:r>
        <w:rPr>
          <w:sz w:val="24"/>
          <w:szCs w:val="24"/>
        </w:rPr>
        <w:t xml:space="preserve"> </w:t>
      </w:r>
    </w:p>
    <w:p>
      <w:pPr>
        <w:pStyle w:val="ListParagraph"/>
        <w:widowControl/>
        <w:numPr>
          <w:ilvl w:val="1"/>
          <w:numId w:val="2"/>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 xml:space="preserve">Письма, счета-фактуры, акты об оказанных услугах, накладные, уведомления и/или сообщения направляются Стороне-получателю следующими способами: </w:t>
      </w:r>
    </w:p>
    <w:p>
      <w:pPr>
        <w:pStyle w:val="ListParagraph"/>
        <w:numPr>
          <w:ilvl w:val="2"/>
          <w:numId w:val="2"/>
        </w:numPr>
        <w:ind w:left="0" w:firstLine="709"/>
        <w:jc w:val="both"/>
        <w:rPr>
          <w:sz w:val="24"/>
          <w:szCs w:val="24"/>
        </w:rPr>
      </w:pPr>
      <w:r>
        <w:rPr>
          <w:bCs/>
          <w:sz w:val="24"/>
          <w:szCs w:val="24"/>
        </w:rPr>
        <w:t xml:space="preserve">По </w:t>
      </w:r>
      <w:bookmarkStart w:id="15" w:name="_Hlk154477081"/>
      <w:r>
        <w:rPr>
          <w:bCs/>
          <w:sz w:val="24"/>
          <w:szCs w:val="24"/>
        </w:rPr>
        <w:t>адресу ее места нахождения, указанному в 15 разделе Договора, или в ранее полученном уведомлении Стороны об изменении адреса, одним из следующих способов, при этом документ будет считаться полученным</w:t>
      </w:r>
      <w:bookmarkEnd w:id="15"/>
      <w:r>
        <w:rPr>
          <w:sz w:val="24"/>
          <w:szCs w:val="24"/>
        </w:rPr>
        <w:t>:</w:t>
      </w:r>
    </w:p>
    <w:p>
      <w:pPr>
        <w:pStyle w:val="ListParagraph"/>
        <w:numPr>
          <w:ilvl w:val="0"/>
          <w:numId w:val="14"/>
        </w:numPr>
        <w:tabs>
          <w:tab w:val="clear" w:pos="708"/>
          <w:tab w:val="left" w:pos="993" w:leader="none"/>
        </w:tabs>
        <w:ind w:left="0" w:firstLine="709"/>
        <w:jc w:val="both"/>
        <w:rPr>
          <w:sz w:val="24"/>
          <w:szCs w:val="24"/>
        </w:rPr>
      </w:pPr>
      <w:r>
        <w:rPr>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0"/>
          <w:numId w:val="14"/>
        </w:numPr>
        <w:tabs>
          <w:tab w:val="clear" w:pos="708"/>
          <w:tab w:val="left" w:pos="993" w:leader="none"/>
        </w:tabs>
        <w:ind w:left="0" w:firstLine="709"/>
        <w:jc w:val="both"/>
        <w:rPr>
          <w:sz w:val="24"/>
          <w:szCs w:val="24"/>
        </w:rPr>
      </w:pPr>
      <w:bookmarkStart w:id="16" w:name="_Hlk154477143"/>
      <w:r>
        <w:rPr>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16"/>
    </w:p>
    <w:p>
      <w:pPr>
        <w:pStyle w:val="ListParagraph"/>
        <w:numPr>
          <w:ilvl w:val="2"/>
          <w:numId w:val="2"/>
        </w:numPr>
        <w:ind w:left="0" w:firstLine="709"/>
        <w:jc w:val="both"/>
        <w:rPr>
          <w:sz w:val="24"/>
          <w:szCs w:val="24"/>
        </w:rPr>
      </w:pPr>
      <w:r>
        <w:rPr>
          <w:bCs/>
          <w:sz w:val="24"/>
          <w:szCs w:val="24"/>
        </w:rPr>
        <w:t xml:space="preserve">Посредством </w:t>
      </w:r>
      <w:bookmarkStart w:id="17" w:name="_Hlk154477165"/>
      <w:r>
        <w:rPr>
          <w:bCs/>
          <w:sz w:val="24"/>
          <w:szCs w:val="24"/>
        </w:rPr>
        <w:t>ЭДО через оператора системы ЭДО путем подписания УКЭП уполномоченного представителя Стороны-отправителя</w:t>
      </w:r>
      <w:bookmarkEnd w:id="17"/>
      <w:r>
        <w:rPr>
          <w:sz w:val="24"/>
          <w:szCs w:val="24"/>
        </w:rPr>
        <w:t>.</w:t>
      </w:r>
    </w:p>
    <w:p>
      <w:pPr>
        <w:pStyle w:val="ListParagraph"/>
        <w:widowControl/>
        <w:numPr>
          <w:ilvl w:val="1"/>
          <w:numId w:val="2"/>
        </w:numPr>
        <w:tabs>
          <w:tab w:val="clear" w:pos="708"/>
          <w:tab w:val="left" w:pos="0" w:leader="none"/>
          <w:tab w:val="left" w:pos="1418"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sz w:val="24"/>
          <w:szCs w:val="24"/>
        </w:rPr>
      </w:pPr>
      <w:r>
        <w:rPr>
          <w:sz w:val="24"/>
          <w:szCs w:val="24"/>
        </w:rPr>
        <w:t xml:space="preserve">Уступка </w:t>
      </w:r>
      <w:bookmarkStart w:id="18" w:name="_Hlk154477337"/>
      <w:r>
        <w:rPr>
          <w:sz w:val="24"/>
          <w:szCs w:val="24"/>
        </w:rPr>
        <w:t xml:space="preserve">(передача),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bookmarkEnd w:id="18"/>
      <w:r>
        <w:rPr>
          <w:bCs/>
          <w:sz w:val="24"/>
          <w:szCs w:val="24"/>
        </w:rPr>
        <w:t>.</w:t>
      </w:r>
      <w:r>
        <w:rPr>
          <w:sz w:val="24"/>
          <w:szCs w:val="24"/>
        </w:rPr>
        <w:t xml:space="preserve">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highlight w:val="lightGray"/>
        </w:rPr>
      </w:pPr>
      <w:r>
        <w:rPr>
          <w:sz w:val="24"/>
          <w:szCs w:val="24"/>
          <w:highlight w:val="lightGray"/>
        </w:rPr>
        <w:t>Договор составлен в 2 (двух) оригинальных экземплярах, имеющих равную юридическую силу, по 1 (одному) для каждой из Сторон.</w:t>
      </w:r>
      <w:r>
        <w:rPr>
          <w:highlight w:val="lightGray"/>
        </w:rPr>
        <w:t xml:space="preserve"> </w:t>
      </w:r>
      <w:r>
        <w:rPr>
          <w:i/>
          <w:iCs/>
          <w:sz w:val="24"/>
          <w:szCs w:val="24"/>
          <w:highlight w:val="lightGray"/>
        </w:rPr>
        <w:t>(в случае заключения на бумажном носителе)</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sz w:val="24"/>
          <w:szCs w:val="24"/>
          <w:highlight w:val="lightGray"/>
        </w:rPr>
      </w:pPr>
      <w:bookmarkStart w:id="19" w:name="_Hlk154477404"/>
      <w:bookmarkStart w:id="20" w:name="_Hlk154477413"/>
      <w:r>
        <w:rPr>
          <w:sz w:val="24"/>
          <w:szCs w:val="24"/>
          <w:highlight w:val="lightGray"/>
        </w:rPr>
        <w:t>Договор заключается в электронной форме с использованием программно-аппаратных средств информационной системы ЭДО путем его подписания УКЭП уполномоченных представителей Сторон</w:t>
      </w:r>
      <w:bookmarkEnd w:id="20"/>
      <w:r>
        <w:rPr>
          <w:sz w:val="24"/>
          <w:szCs w:val="24"/>
          <w:highlight w:val="lightGray"/>
        </w:rPr>
        <w:t>.</w:t>
      </w:r>
    </w:p>
    <w:p>
      <w:pPr>
        <w:pStyle w:val="ListParagraph"/>
        <w:widowControl/>
        <w:shd w:val="clear" w:color="auto" w:fill="FFFFFF"/>
        <w:tabs>
          <w:tab w:val="clear" w:pos="708"/>
          <w:tab w:val="left" w:pos="0" w:leader="none"/>
          <w:tab w:val="left" w:pos="1418" w:leader="none"/>
        </w:tabs>
        <w:ind w:left="0" w:firstLine="709"/>
        <w:jc w:val="both"/>
        <w:rPr>
          <w:sz w:val="24"/>
          <w:szCs w:val="24"/>
        </w:rPr>
      </w:pPr>
      <w:bookmarkStart w:id="21" w:name="_Hlk154477430"/>
      <w:r>
        <w:rPr>
          <w:sz w:val="24"/>
          <w:szCs w:val="24"/>
          <w:highlight w:val="lightGray"/>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bookmarkEnd w:id="21"/>
      <w:r>
        <w:rPr>
          <w:i/>
          <w:iCs/>
          <w:sz w:val="24"/>
          <w:szCs w:val="24"/>
          <w:highlight w:val="lightGray"/>
        </w:rPr>
        <w:t>(в случае заключения в электронной форме</w:t>
      </w:r>
      <w:bookmarkEnd w:id="19"/>
      <w:r>
        <w:rPr>
          <w:i/>
          <w:iCs/>
          <w:sz w:val="24"/>
          <w:szCs w:val="24"/>
          <w:highlight w:val="lightGray"/>
        </w:rPr>
        <w:t>)</w:t>
      </w:r>
    </w:p>
    <w:p>
      <w:pPr>
        <w:pStyle w:val="ListParagraph"/>
        <w:widowControl/>
        <w:shd w:val="clear" w:color="auto" w:fill="FFFFFF"/>
        <w:tabs>
          <w:tab w:val="clear" w:pos="708"/>
          <w:tab w:val="left" w:pos="0" w:leader="none"/>
          <w:tab w:val="left" w:pos="1418" w:leader="none"/>
        </w:tabs>
        <w:ind w:left="0" w:firstLine="709"/>
        <w:jc w:val="both"/>
        <w:rPr>
          <w:sz w:val="24"/>
          <w:szCs w:val="24"/>
        </w:rPr>
      </w:pPr>
      <w:r>
        <w:rPr>
          <w:sz w:val="24"/>
          <w:szCs w:val="24"/>
        </w:rPr>
      </w:r>
    </w:p>
    <w:p>
      <w:pPr>
        <w:pStyle w:val="Normal"/>
        <w:widowControl/>
        <w:numPr>
          <w:ilvl w:val="0"/>
          <w:numId w:val="2"/>
        </w:numPr>
        <w:shd w:val="clear" w:color="auto" w:fill="FFFFFF"/>
        <w:spacing w:before="0" w:after="0"/>
        <w:ind w:left="0" w:hanging="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8"/>
          <w:tab w:val="left" w:pos="0" w:leader="none"/>
        </w:tabs>
        <w:ind w:firstLine="709"/>
        <w:jc w:val="both"/>
        <w:rPr>
          <w:rFonts w:eastAsia="Calibri"/>
          <w:sz w:val="24"/>
          <w:szCs w:val="24"/>
          <w:lang w:eastAsia="en-US"/>
        </w:rPr>
      </w:pPr>
      <w:bookmarkStart w:id="22" w:name="sub_1"/>
      <w:r>
        <w:rPr>
          <w:rFonts w:eastAsia="Calibri"/>
          <w:sz w:val="24"/>
          <w:szCs w:val="24"/>
          <w:lang w:eastAsia="en-US"/>
        </w:rPr>
        <w:t>Приложение № 1 – Спецификация;</w:t>
      </w:r>
    </w:p>
    <w:p>
      <w:pPr>
        <w:pStyle w:val="Normal"/>
        <w:widowControl/>
        <w:shd w:val="clear" w:color="auto" w:fill="FFFFFF"/>
        <w:tabs>
          <w:tab w:val="clear" w:pos="708"/>
          <w:tab w:val="left" w:pos="0" w:leader="none"/>
          <w:tab w:val="left" w:pos="2694" w:leader="none"/>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22"/>
    </w:p>
    <w:p>
      <w:pPr>
        <w:pStyle w:val="Normal"/>
        <w:ind w:firstLine="709"/>
        <w:jc w:val="both"/>
        <w:rPr>
          <w:bCs/>
          <w:sz w:val="24"/>
          <w:szCs w:val="24"/>
        </w:rPr>
      </w:pPr>
      <w:r>
        <w:rPr>
          <w:bCs/>
          <w:sz w:val="24"/>
          <w:szCs w:val="24"/>
        </w:rPr>
        <w:t>Приложение № 3 </w:t>
      </w:r>
      <w:r>
        <w:rPr>
          <w:rFonts w:eastAsia="Calibri"/>
          <w:sz w:val="24"/>
          <w:szCs w:val="24"/>
          <w:lang w:eastAsia="en-US"/>
        </w:rPr>
        <w:t>–</w:t>
      </w:r>
      <w:r>
        <w:rPr>
          <w:bCs/>
          <w:sz w:val="24"/>
          <w:szCs w:val="24"/>
        </w:rPr>
        <w:t>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Адреса и платежные реквизиты Сторон</w:t>
      </w:r>
    </w:p>
    <w:p>
      <w:pPr>
        <w:pStyle w:val="Normal"/>
        <w:rPr>
          <w:sz w:val="24"/>
          <w:szCs w:val="24"/>
        </w:rPr>
      </w:pPr>
      <w:r>
        <w:rPr>
          <w:sz w:val="24"/>
          <w:szCs w:val="24"/>
        </w:rPr>
      </w:r>
    </w:p>
    <w:tbl>
      <w:tblPr>
        <w:tblStyle w:val="afff"/>
        <w:tblW w:w="10195"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5097"/>
        <w:gridCol w:w="5097"/>
      </w:tblGrid>
      <w:tr>
        <w:trPr/>
        <w:tc>
          <w:tcPr>
            <w:tcW w:w="5097"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t>ПОКУПАТЕЛЬ:</w:t>
            </w:r>
          </w:p>
        </w:tc>
        <w:tc>
          <w:tcPr>
            <w:tcW w:w="5097"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t>ПОСТАВЩИК:</w:t>
            </w:r>
          </w:p>
        </w:tc>
      </w:tr>
      <w:tr>
        <w:trPr/>
        <w:tc>
          <w:tcPr>
            <w:tcW w:w="5097" w:type="dxa"/>
            <w:tcBorders>
              <w:top w:val="nil"/>
              <w:left w:val="nil"/>
              <w:bottom w:val="nil"/>
              <w:right w:val="nil"/>
            </w:tcBorders>
          </w:tcPr>
          <w:p>
            <w:pPr>
              <w:pStyle w:val="Normal"/>
              <w:widowControl w:val="false"/>
              <w:tabs>
                <w:tab w:val="clear" w:pos="708"/>
                <w:tab w:val="left" w:pos="851" w:leader="none"/>
              </w:tabs>
              <w:suppressAutoHyphens w:val="true"/>
              <w:spacing w:before="0" w:after="0"/>
              <w:contextualSpacing/>
              <w:jc w:val="left"/>
              <w:rPr>
                <w:b/>
                <w:sz w:val="24"/>
                <w:szCs w:val="24"/>
              </w:rPr>
            </w:pPr>
            <w:r>
              <w:rPr>
                <w:rFonts w:eastAsia="Times New Roman" w:cs="Times New Roman"/>
                <w:b/>
                <w:kern w:val="0"/>
                <w:sz w:val="24"/>
                <w:szCs w:val="24"/>
                <w:lang w:val="ru-RU" w:eastAsia="ru-RU" w:bidi="ar-SA"/>
              </w:rPr>
              <w:t>Акционерное общество «</w:t>
            </w:r>
            <w:r>
              <w:rPr>
                <w:rFonts w:eastAsia="Times New Roman" w:cs="Times New Roman"/>
                <w:b/>
                <w:bCs/>
                <w:kern w:val="0"/>
                <w:sz w:val="24"/>
                <w:szCs w:val="24"/>
                <w:lang w:val="ru-RU" w:eastAsia="ru-RU" w:bidi="ar-SA"/>
              </w:rPr>
              <w:t>Сервисная Компания РусГидро</w:t>
            </w:r>
            <w:r>
              <w:rPr>
                <w:rFonts w:eastAsia="Times New Roman" w:cs="Times New Roman"/>
                <w:b/>
                <w:kern w:val="0"/>
                <w:sz w:val="24"/>
                <w:szCs w:val="24"/>
                <w:lang w:val="ru-RU" w:eastAsia="ru-RU" w:bidi="ar-SA"/>
              </w:rPr>
              <w:t xml:space="preserve">» </w:t>
            </w:r>
          </w:p>
          <w:p>
            <w:pPr>
              <w:pStyle w:val="Normal"/>
              <w:widowControl w:val="false"/>
              <w:tabs>
                <w:tab w:val="clear" w:pos="708"/>
                <w:tab w:val="left" w:pos="851" w:leader="none"/>
              </w:tabs>
              <w:suppressAutoHyphens w:val="true"/>
              <w:spacing w:before="0" w:after="0"/>
              <w:contextualSpacing/>
              <w:jc w:val="both"/>
              <w:rPr>
                <w:b/>
                <w:sz w:val="24"/>
                <w:szCs w:val="24"/>
              </w:rPr>
            </w:pPr>
            <w:r>
              <w:rPr>
                <w:rFonts w:eastAsia="Times New Roman" w:cs="Times New Roman"/>
                <w:b/>
                <w:kern w:val="0"/>
                <w:sz w:val="24"/>
                <w:szCs w:val="24"/>
                <w:lang w:val="ru-RU" w:eastAsia="ru-RU" w:bidi="ar-SA"/>
              </w:rPr>
              <w:t>(</w:t>
            </w:r>
            <w:r>
              <w:rPr>
                <w:rFonts w:eastAsia="Times New Roman" w:cs="Times New Roman"/>
                <w:b/>
                <w:bCs/>
                <w:kern w:val="0"/>
                <w:sz w:val="24"/>
                <w:szCs w:val="24"/>
                <w:lang w:val="ru-RU" w:eastAsia="ru-RU" w:bidi="ar-SA"/>
              </w:rPr>
              <w:t>АО «СК РусГидро»</w:t>
            </w:r>
            <w:r>
              <w:rPr>
                <w:rFonts w:eastAsia="Times New Roman" w:cs="Times New Roman"/>
                <w:b/>
                <w:kern w:val="0"/>
                <w:sz w:val="24"/>
                <w:szCs w:val="24"/>
                <w:lang w:val="ru-RU" w:eastAsia="ru-RU" w:bidi="ar-SA"/>
              </w:rPr>
              <w:t>)</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Адрес (юридический/почтовый):  </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680000, Хабаровский край, г. Хабаровск, </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ул. Тургенева, дом 80, этаж 2, помещ. </w:t>
            </w:r>
            <w:r>
              <w:rPr>
                <w:rFonts w:eastAsia="Times New Roman" w:cs="Times New Roman"/>
                <w:kern w:val="0"/>
                <w:sz w:val="24"/>
                <w:szCs w:val="24"/>
                <w:lang w:val="en-US" w:eastAsia="ru-RU" w:bidi="ar-SA"/>
              </w:rPr>
              <w:t>II</w:t>
            </w:r>
            <w:r>
              <w:rPr>
                <w:rFonts w:eastAsia="Times New Roman" w:cs="Times New Roman"/>
                <w:kern w:val="0"/>
                <w:sz w:val="24"/>
                <w:szCs w:val="24"/>
                <w:lang w:val="ru-RU" w:eastAsia="ru-RU" w:bidi="ar-SA"/>
              </w:rPr>
              <w:t xml:space="preserve"> (1-13)</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ОГРН 1042502690339</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ИНН 2526007482 КПП 272101001</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р/с 40702810223022005387</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Филиал Банка ВТБ (ПАО) в г. Хабаровске </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к/с 30101810400000000727</w:t>
            </w:r>
          </w:p>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БИК 040813727</w:t>
            </w:r>
          </w:p>
          <w:p>
            <w:pPr>
              <w:pStyle w:val="Normal"/>
              <w:widowControl w:val="false"/>
              <w:tabs>
                <w:tab w:val="clear" w:pos="708"/>
                <w:tab w:val="left" w:pos="426" w:leader="none"/>
              </w:tabs>
              <w:suppressAutoHyphens w:val="true"/>
              <w:spacing w:before="0" w:after="0"/>
              <w:jc w:val="left"/>
              <w:rPr>
                <w:b/>
                <w:bCs/>
                <w:color w:val="000000"/>
                <w:sz w:val="24"/>
                <w:szCs w:val="24"/>
              </w:rPr>
            </w:pPr>
            <w:r>
              <w:rPr>
                <w:rFonts w:eastAsia="Times New Roman" w:cs="Times New Roman"/>
                <w:color w:val="000000"/>
                <w:kern w:val="0"/>
                <w:sz w:val="24"/>
                <w:szCs w:val="24"/>
                <w:lang w:val="en-US" w:eastAsia="ru-RU" w:bidi="ar-SA"/>
              </w:rPr>
              <w:t>E</w:t>
            </w:r>
            <w:r>
              <w:rPr>
                <w:rFonts w:eastAsia="Times New Roman" w:cs="Times New Roman"/>
                <w:color w:val="000000"/>
                <w:kern w:val="0"/>
                <w:sz w:val="24"/>
                <w:szCs w:val="24"/>
                <w:lang w:val="ru-RU" w:eastAsia="ru-RU" w:bidi="ar-SA"/>
              </w:rPr>
              <w:t>-</w:t>
            </w:r>
            <w:r>
              <w:rPr>
                <w:rFonts w:eastAsia="Times New Roman" w:cs="Times New Roman"/>
                <w:color w:val="000000"/>
                <w:kern w:val="0"/>
                <w:sz w:val="24"/>
                <w:szCs w:val="24"/>
                <w:lang w:val="en-US" w:eastAsia="ru-RU" w:bidi="ar-SA"/>
              </w:rPr>
              <w:t>mail</w:t>
            </w:r>
            <w:r>
              <w:rPr>
                <w:rFonts w:eastAsia="Times New Roman" w:cs="Times New Roman"/>
                <w:color w:val="000000"/>
                <w:kern w:val="0"/>
                <w:sz w:val="24"/>
                <w:szCs w:val="24"/>
                <w:lang w:val="ru-RU" w:eastAsia="ru-RU" w:bidi="ar-SA"/>
              </w:rPr>
              <w:t xml:space="preserve">: </w:t>
            </w:r>
            <w:r>
              <w:rPr>
                <w:rFonts w:eastAsia="Times New Roman" w:cs="Times New Roman"/>
                <w:color w:val="000000"/>
                <w:kern w:val="0"/>
                <w:sz w:val="24"/>
                <w:szCs w:val="24"/>
                <w:lang w:val="en-GB" w:eastAsia="ru-RU" w:bidi="ar-SA"/>
              </w:rPr>
              <w:t>sk</w:t>
            </w:r>
            <w:r>
              <w:rPr>
                <w:rFonts w:eastAsia="Times New Roman" w:cs="Times New Roman"/>
                <w:color w:val="000000"/>
                <w:kern w:val="0"/>
                <w:sz w:val="24"/>
                <w:szCs w:val="24"/>
                <w:lang w:val="ru-RU" w:eastAsia="ru-RU" w:bidi="ar-SA"/>
              </w:rPr>
              <w:t>@</w:t>
            </w:r>
            <w:r>
              <w:rPr>
                <w:rFonts w:eastAsia="Times New Roman" w:cs="Times New Roman"/>
                <w:color w:val="000000"/>
                <w:kern w:val="0"/>
                <w:sz w:val="24"/>
                <w:szCs w:val="24"/>
                <w:lang w:val="en-GB" w:eastAsia="ru-RU" w:bidi="ar-SA"/>
              </w:rPr>
              <w:t>rushydro</w:t>
            </w:r>
            <w:r>
              <w:rPr>
                <w:rFonts w:eastAsia="Times New Roman" w:cs="Times New Roman"/>
                <w:color w:val="000000"/>
                <w:kern w:val="0"/>
                <w:sz w:val="24"/>
                <w:szCs w:val="24"/>
                <w:lang w:val="ru-RU" w:eastAsia="ru-RU" w:bidi="ar-SA"/>
              </w:rPr>
              <w:t>.</w:t>
            </w:r>
            <w:r>
              <w:rPr>
                <w:rFonts w:eastAsia="Times New Roman" w:cs="Times New Roman"/>
                <w:color w:val="000000"/>
                <w:kern w:val="0"/>
                <w:sz w:val="24"/>
                <w:szCs w:val="24"/>
                <w:lang w:val="en-GB" w:eastAsia="ru-RU" w:bidi="ar-SA"/>
              </w:rPr>
              <w:t>r</w:t>
            </w:r>
            <w:r>
              <w:rPr>
                <w:rFonts w:eastAsia="Times New Roman" w:cs="Times New Roman"/>
                <w:color w:val="000000"/>
                <w:kern w:val="0"/>
                <w:sz w:val="24"/>
                <w:szCs w:val="24"/>
                <w:lang w:val="en-US" w:eastAsia="ru-RU" w:bidi="ar-SA"/>
              </w:rPr>
              <w:t>u</w:t>
            </w:r>
          </w:p>
        </w:tc>
        <w:tc>
          <w:tcPr>
            <w:tcW w:w="5097" w:type="dxa"/>
            <w:tcBorders>
              <w:top w:val="nil"/>
              <w:left w:val="nil"/>
              <w:bottom w:val="nil"/>
              <w:right w:val="nil"/>
            </w:tcBorders>
          </w:tcPr>
          <w:p>
            <w:pPr>
              <w:pStyle w:val="Normal"/>
              <w:widowControl w:val="false"/>
              <w:tabs>
                <w:tab w:val="clear" w:pos="708"/>
                <w:tab w:val="left" w:pos="5638" w:leader="none"/>
              </w:tabs>
              <w:suppressAutoHyphens w:val="true"/>
              <w:spacing w:before="0" w:after="0"/>
              <w:ind w:right="-22" w:hanging="0"/>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__________________________________</w:t>
            </w:r>
          </w:p>
          <w:p>
            <w:pPr>
              <w:pStyle w:val="Normal"/>
              <w:widowControl w:val="false"/>
              <w:tabs>
                <w:tab w:val="clear" w:pos="708"/>
                <w:tab w:val="left" w:pos="5638" w:leader="none"/>
              </w:tabs>
              <w:suppressAutoHyphens w:val="true"/>
              <w:spacing w:lineRule="auto" w:line="192" w:before="0" w:after="0"/>
              <w:ind w:right="-23" w:hanging="0"/>
              <w:jc w:val="left"/>
              <w:rPr>
                <w:color w:val="000000"/>
                <w:spacing w:val="-2"/>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юр. лица)</w:t>
            </w:r>
          </w:p>
          <w:p>
            <w:pPr>
              <w:pStyle w:val="Normal"/>
              <w:widowControl w:val="false"/>
              <w:tabs>
                <w:tab w:val="clear" w:pos="708"/>
                <w:tab w:val="left" w:pos="5638" w:leader="none"/>
              </w:tabs>
              <w:suppressAutoHyphens w:val="true"/>
              <w:spacing w:before="0" w:after="0"/>
              <w:ind w:right="-22" w:hanging="0"/>
              <w:jc w:val="left"/>
              <w:rPr>
                <w:color w:val="000000"/>
                <w:spacing w:val="-2"/>
                <w:sz w:val="24"/>
                <w:szCs w:val="24"/>
              </w:rPr>
            </w:pPr>
            <w:r>
              <w:rPr>
                <w:rFonts w:eastAsia="Times New Roman" w:cs="Times New Roman"/>
                <w:color w:val="000000"/>
                <w:spacing w:val="-2"/>
                <w:kern w:val="0"/>
                <w:sz w:val="24"/>
                <w:szCs w:val="24"/>
                <w:lang w:val="ru-RU" w:eastAsia="ru-RU" w:bidi="ar-SA"/>
              </w:rPr>
              <w:t>Адрес (место нахождения):</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Почтовый адрес:</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ОГРН 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ИНН __________ КПП 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р/с 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(номер расчетного счета)</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w:t>
            </w:r>
          </w:p>
          <w:p>
            <w:pPr>
              <w:pStyle w:val="Normal"/>
              <w:widowControl w:val="false"/>
              <w:tabs>
                <w:tab w:val="clear" w:pos="708"/>
                <w:tab w:val="left" w:pos="5638" w:leader="none"/>
              </w:tabs>
              <w:suppressAutoHyphens w:val="true"/>
              <w:spacing w:lineRule="auto" w:line="192" w:before="0" w:after="0"/>
              <w:ind w:right="-23" w:hanging="0"/>
              <w:jc w:val="left"/>
              <w:rPr>
                <w:color w:val="000000"/>
                <w:spacing w:val="-2"/>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банка)</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К/с 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rPr>
            </w:pPr>
            <w:r>
              <w:rPr>
                <w:rFonts w:eastAsia="Times New Roman" w:cs="Times New Roman"/>
                <w:color w:val="000000"/>
                <w:spacing w:val="-2"/>
                <w:kern w:val="0"/>
                <w:sz w:val="24"/>
                <w:szCs w:val="24"/>
                <w:lang w:val="ru-RU" w:eastAsia="ru-RU" w:bidi="ar-SA"/>
              </w:rPr>
              <w:t xml:space="preserve">       </w:t>
            </w:r>
            <w:r>
              <w:rPr>
                <w:rFonts w:eastAsia="Times New Roman" w:cs="Times New Roman"/>
                <w:color w:val="000000"/>
                <w:spacing w:val="-2"/>
                <w:kern w:val="0"/>
                <w:sz w:val="20"/>
                <w:szCs w:val="20"/>
                <w:lang w:val="ru-RU" w:eastAsia="ru-RU" w:bidi="ar-SA"/>
              </w:rPr>
              <w:t>(номер корреспондентского счета)</w:t>
            </w:r>
          </w:p>
          <w:p>
            <w:pPr>
              <w:pStyle w:val="Normal"/>
              <w:widowControl w:val="false"/>
              <w:tabs>
                <w:tab w:val="clear" w:pos="708"/>
                <w:tab w:val="left" w:pos="5638" w:leader="none"/>
              </w:tabs>
              <w:suppressAutoHyphens w:val="true"/>
              <w:spacing w:before="0" w:after="0"/>
              <w:ind w:left="1094" w:right="-22" w:hanging="1094"/>
              <w:jc w:val="left"/>
              <w:rPr>
                <w:color w:val="000000"/>
                <w:spacing w:val="-2"/>
                <w:sz w:val="24"/>
                <w:szCs w:val="24"/>
              </w:rPr>
            </w:pPr>
            <w:r>
              <w:rPr>
                <w:rFonts w:eastAsia="Times New Roman" w:cs="Times New Roman"/>
                <w:color w:val="000000"/>
                <w:spacing w:val="-2"/>
                <w:kern w:val="0"/>
                <w:sz w:val="24"/>
                <w:szCs w:val="24"/>
                <w:lang w:val="ru-RU" w:eastAsia="ru-RU" w:bidi="ar-SA"/>
              </w:rPr>
              <w:t>БИК___________________________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rPr>
            </w:pPr>
            <w:r>
              <w:rPr>
                <w:rFonts w:eastAsia="Times New Roman" w:cs="Times New Roman"/>
                <w:color w:val="000000"/>
                <w:spacing w:val="-2"/>
                <w:kern w:val="0"/>
                <w:sz w:val="24"/>
                <w:szCs w:val="24"/>
                <w:lang w:val="ru-RU" w:eastAsia="ru-RU" w:bidi="ar-SA"/>
              </w:rPr>
              <w:t xml:space="preserve">        </w:t>
            </w:r>
            <w:r>
              <w:rPr>
                <w:rFonts w:eastAsia="Times New Roman" w:cs="Times New Roman"/>
                <w:color w:val="000000"/>
                <w:spacing w:val="-2"/>
                <w:kern w:val="0"/>
                <w:sz w:val="20"/>
                <w:szCs w:val="20"/>
                <w:lang w:val="ru-RU" w:eastAsia="ru-RU" w:bidi="ar-SA"/>
              </w:rPr>
              <w:t xml:space="preserve">(БИК банка) </w:t>
            </w:r>
          </w:p>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kern w:val="0"/>
                <w:sz w:val="24"/>
                <w:szCs w:val="24"/>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b/>
                <w:bCs/>
                <w:color w:val="000000"/>
                <w:sz w:val="24"/>
                <w:szCs w:val="24"/>
              </w:rPr>
            </w:pPr>
            <w:r>
              <w:rPr>
                <w:rFonts w:eastAsia="Times New Roman" w:cs="Times New Roman"/>
                <w:kern w:val="0"/>
                <w:sz w:val="20"/>
                <w:szCs w:val="20"/>
                <w:lang w:val="ru-RU" w:eastAsia="ru-RU" w:bidi="ar-SA"/>
              </w:rPr>
              <w:t>(номер телефона, адрес электронной почты)</w:t>
            </w:r>
          </w:p>
        </w:tc>
      </w:tr>
      <w:tr>
        <w:trPr/>
        <w:tc>
          <w:tcPr>
            <w:tcW w:w="5097" w:type="dxa"/>
            <w:tcBorders>
              <w:top w:val="nil"/>
              <w:left w:val="nil"/>
              <w:bottom w:val="nil"/>
              <w:right w:val="nil"/>
            </w:tcBorders>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Заместитель генерального директора</w:t>
            </w:r>
          </w:p>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по управление ресурсами</w:t>
            </w:r>
          </w:p>
          <w:p>
            <w:pPr>
              <w:pStyle w:val="Normal"/>
              <w:widowControl w:val="false"/>
              <w:suppressAutoHyphens w:val="true"/>
              <w:spacing w:before="0" w:after="0"/>
              <w:jc w:val="left"/>
              <w:rPr>
                <w:sz w:val="24"/>
                <w:szCs w:val="24"/>
              </w:rPr>
            </w:pPr>
            <w:r>
              <w:rPr>
                <w:sz w:val="24"/>
                <w:szCs w:val="24"/>
              </w:rPr>
            </w:r>
          </w:p>
          <w:p>
            <w:pPr>
              <w:pStyle w:val="Normal"/>
              <w:widowControl w:val="false"/>
              <w:suppressAutoHyphens w:val="true"/>
              <w:spacing w:before="0" w:after="0"/>
              <w:jc w:val="left"/>
              <w:rPr>
                <w:sz w:val="24"/>
                <w:szCs w:val="24"/>
              </w:rPr>
            </w:pPr>
            <w:r>
              <w:rPr>
                <w:sz w:val="24"/>
                <w:szCs w:val="24"/>
              </w:rPr>
            </w:r>
          </w:p>
          <w:p>
            <w:pPr>
              <w:pStyle w:val="Normal"/>
              <w:widowControl w:val="false"/>
              <w:suppressAutoHyphens w:val="true"/>
              <w:spacing w:before="0" w:after="0"/>
              <w:jc w:val="left"/>
              <w:rPr>
                <w:sz w:val="24"/>
                <w:szCs w:val="24"/>
              </w:rPr>
            </w:pPr>
            <w:r>
              <w:rPr>
                <w:sz w:val="24"/>
                <w:szCs w:val="24"/>
              </w:rPr>
            </w:r>
          </w:p>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 xml:space="preserve">__________________ / Н.Н. Клочков </w:t>
            </w:r>
          </w:p>
          <w:p>
            <w:pPr>
              <w:pStyle w:val="Normal"/>
              <w:widowControl w:val="false"/>
              <w:tabs>
                <w:tab w:val="clear" w:pos="708"/>
                <w:tab w:val="left" w:pos="426" w:leader="none"/>
              </w:tabs>
              <w:suppressAutoHyphens w:val="true"/>
              <w:spacing w:before="0" w:after="0"/>
              <w:jc w:val="left"/>
              <w:rPr>
                <w:b/>
                <w:bCs/>
                <w:color w:val="000000"/>
                <w:sz w:val="24"/>
                <w:szCs w:val="24"/>
              </w:rPr>
            </w:pPr>
            <w:r>
              <w:rPr>
                <w:b/>
                <w:bCs/>
                <w:color w:val="000000"/>
                <w:sz w:val="24"/>
                <w:szCs w:val="24"/>
              </w:rPr>
            </w:r>
          </w:p>
        </w:tc>
        <w:tc>
          <w:tcPr>
            <w:tcW w:w="5097"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b/>
                <w:bCs/>
                <w:color w:val="000000"/>
                <w:sz w:val="24"/>
                <w:szCs w:val="24"/>
              </w:rPr>
            </w:pPr>
            <w:r>
              <w:rPr>
                <w:b/>
                <w:bCs/>
                <w:color w:val="000000"/>
                <w:sz w:val="24"/>
                <w:szCs w:val="24"/>
              </w:rPr>
            </w:r>
          </w:p>
          <w:p>
            <w:pPr>
              <w:pStyle w:val="Normal"/>
              <w:widowControl w:val="false"/>
              <w:tabs>
                <w:tab w:val="clear" w:pos="708"/>
                <w:tab w:val="left" w:pos="426" w:leader="none"/>
              </w:tabs>
              <w:suppressAutoHyphens w:val="true"/>
              <w:spacing w:before="0" w:after="0"/>
              <w:jc w:val="left"/>
              <w:rPr>
                <w:b/>
                <w:bCs/>
                <w:color w:val="000000"/>
                <w:sz w:val="24"/>
                <w:szCs w:val="24"/>
              </w:rPr>
            </w:pPr>
            <w:r>
              <w:rPr>
                <w:b/>
                <w:bCs/>
                <w:color w:val="000000"/>
                <w:sz w:val="24"/>
                <w:szCs w:val="24"/>
              </w:rPr>
            </w:r>
          </w:p>
          <w:p>
            <w:pPr>
              <w:pStyle w:val="Normal"/>
              <w:widowControl w:val="false"/>
              <w:tabs>
                <w:tab w:val="clear" w:pos="708"/>
                <w:tab w:val="left" w:pos="426" w:leader="none"/>
              </w:tabs>
              <w:suppressAutoHyphens w:val="true"/>
              <w:spacing w:before="0" w:after="0"/>
              <w:jc w:val="left"/>
              <w:rPr>
                <w:b/>
                <w:bCs/>
                <w:color w:val="000000"/>
                <w:sz w:val="24"/>
                <w:szCs w:val="24"/>
              </w:rPr>
            </w:pPr>
            <w:r>
              <w:rPr>
                <w:b/>
                <w:bCs/>
                <w:color w:val="000000"/>
                <w:sz w:val="24"/>
                <w:szCs w:val="24"/>
              </w:rPr>
            </w:r>
          </w:p>
          <w:p>
            <w:pPr>
              <w:pStyle w:val="Normal"/>
              <w:widowControl w:val="false"/>
              <w:tabs>
                <w:tab w:val="clear" w:pos="708"/>
                <w:tab w:val="left" w:pos="426" w:leader="none"/>
              </w:tabs>
              <w:suppressAutoHyphens w:val="true"/>
              <w:spacing w:before="0" w:after="0"/>
              <w:jc w:val="left"/>
              <w:rPr>
                <w:b/>
                <w:bCs/>
                <w:color w:val="000000"/>
                <w:sz w:val="24"/>
                <w:szCs w:val="24"/>
              </w:rPr>
            </w:pPr>
            <w:r>
              <w:rPr>
                <w:b/>
                <w:bCs/>
                <w:color w:val="000000"/>
                <w:sz w:val="24"/>
                <w:szCs w:val="24"/>
              </w:rPr>
            </w:r>
          </w:p>
          <w:p>
            <w:pPr>
              <w:pStyle w:val="Normal"/>
              <w:widowControl w:val="false"/>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t>_________________ / _____________</w:t>
            </w:r>
          </w:p>
        </w:tc>
      </w:tr>
    </w:tbl>
    <w:p>
      <w:pPr>
        <w:pStyle w:val="Normal"/>
        <w:rPr>
          <w:b/>
          <w:bCs/>
          <w:sz w:val="24"/>
          <w:szCs w:val="24"/>
        </w:rPr>
      </w:pPr>
      <w:r>
        <w:rPr>
          <w:b/>
          <w:bCs/>
          <w:sz w:val="24"/>
          <w:szCs w:val="24"/>
        </w:rPr>
      </w:r>
    </w:p>
    <w:p>
      <w:pPr>
        <w:pStyle w:val="Normal"/>
        <w:widowControl/>
        <w:rPr>
          <w:b/>
          <w:bCs/>
          <w:sz w:val="24"/>
          <w:szCs w:val="24"/>
        </w:rPr>
      </w:pPr>
      <w:r>
        <w:rPr>
          <w:b/>
          <w:bCs/>
          <w:sz w:val="24"/>
          <w:szCs w:val="24"/>
        </w:rPr>
      </w:r>
      <w:r>
        <w:br w:type="page"/>
      </w:r>
    </w:p>
    <w:p>
      <w:pPr>
        <w:pStyle w:val="Normal"/>
        <w:jc w:val="right"/>
        <w:rPr>
          <w:sz w:val="22"/>
          <w:szCs w:val="22"/>
        </w:rPr>
      </w:pPr>
      <w:r>
        <w:rPr>
          <w:sz w:val="22"/>
          <w:szCs w:val="22"/>
        </w:rPr>
        <w:t>Приложение № 1</w:t>
      </w:r>
    </w:p>
    <w:p>
      <w:pPr>
        <w:pStyle w:val="Normal"/>
        <w:jc w:val="right"/>
        <w:rPr>
          <w:sz w:val="22"/>
          <w:szCs w:val="22"/>
        </w:rPr>
      </w:pPr>
      <w:r>
        <w:rPr>
          <w:sz w:val="22"/>
          <w:szCs w:val="22"/>
        </w:rPr>
        <w:t>к Договору поставки</w:t>
      </w:r>
    </w:p>
    <w:p>
      <w:pPr>
        <w:pStyle w:val="Normal"/>
        <w:jc w:val="right"/>
        <w:rPr>
          <w:sz w:val="22"/>
          <w:szCs w:val="22"/>
        </w:rPr>
      </w:pPr>
      <w:r>
        <w:rPr>
          <w:sz w:val="22"/>
          <w:szCs w:val="22"/>
        </w:rPr>
        <w:t>от «____» _____20 _ г. № _____</w:t>
      </w:r>
    </w:p>
    <w:p>
      <w:pPr>
        <w:pStyle w:val="Normal"/>
        <w:widowControl/>
        <w:ind w:firstLine="709"/>
        <w:rPr>
          <w:rFonts w:eastAsia="Calibri"/>
          <w:b/>
          <w:sz w:val="24"/>
          <w:szCs w:val="24"/>
          <w:lang w:eastAsia="en-US"/>
        </w:rPr>
      </w:pPr>
      <w:r>
        <w:rPr>
          <w:rFonts w:eastAsia="Calibri"/>
          <w:b/>
          <w:sz w:val="24"/>
          <w:szCs w:val="24"/>
          <w:lang w:eastAsia="en-US"/>
        </w:rPr>
      </w:r>
    </w:p>
    <w:p>
      <w:pPr>
        <w:pStyle w:val="Normal"/>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p>
      <w:pPr>
        <w:pStyle w:val="ListParagraph"/>
        <w:numPr>
          <w:ilvl w:val="0"/>
          <w:numId w:val="16"/>
        </w:numPr>
        <w:jc w:val="both"/>
        <w:rPr>
          <w:b/>
          <w:i/>
          <w:i/>
          <w:color w:val="FF0000"/>
          <w:sz w:val="24"/>
          <w:szCs w:val="24"/>
        </w:rPr>
      </w:pPr>
      <w:r>
        <w:rPr>
          <w:b/>
          <w:bCs/>
          <w:sz w:val="24"/>
          <w:szCs w:val="24"/>
        </w:rPr>
        <w:t>Перечень и объем закупаемой продукции</w:t>
      </w:r>
      <w:r>
        <w:rPr>
          <w:b/>
          <w:sz w:val="24"/>
          <w:szCs w:val="24"/>
        </w:rPr>
        <w:t xml:space="preserve"> </w:t>
      </w:r>
      <w:r>
        <w:rPr>
          <w:b/>
          <w:i/>
          <w:color w:val="FF0000"/>
          <w:sz w:val="24"/>
          <w:szCs w:val="24"/>
          <w:u w:val="single"/>
        </w:rPr>
        <w:t>(Наименование и технические характеристики продукции могут быть изменены согласно результатам проведенной закупочной процедуры)</w:t>
      </w:r>
    </w:p>
    <w:tbl>
      <w:tblPr>
        <w:tblW w:w="10815" w:type="dxa"/>
        <w:jc w:val="left"/>
        <w:tblInd w:w="-572" w:type="dxa"/>
        <w:tblLayout w:type="fixed"/>
        <w:tblCellMar>
          <w:top w:w="0" w:type="dxa"/>
          <w:left w:w="108" w:type="dxa"/>
          <w:bottom w:w="0" w:type="dxa"/>
          <w:right w:w="108" w:type="dxa"/>
        </w:tblCellMar>
        <w:tblLook w:val="04a0" w:noVBand="1" w:noHBand="0" w:lastColumn="0" w:firstColumn="1" w:lastRow="0" w:firstRow="1"/>
      </w:tblPr>
      <w:tblGrid>
        <w:gridCol w:w="681"/>
        <w:gridCol w:w="1579"/>
        <w:gridCol w:w="4997"/>
        <w:gridCol w:w="852"/>
        <w:gridCol w:w="562"/>
        <w:gridCol w:w="703"/>
        <w:gridCol w:w="666"/>
        <w:gridCol w:w="773"/>
      </w:tblGrid>
      <w:tr>
        <w:trPr>
          <w:trHeight w:val="3395" w:hRule="atLeast"/>
        </w:trPr>
        <w:tc>
          <w:tcPr>
            <w:tcW w:w="6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4"/>
              </w:rPr>
              <w:t xml:space="preserve">№ </w:t>
            </w:r>
            <w:r>
              <w:rPr>
                <w:sz w:val="24"/>
              </w:rPr>
              <w:t>п/п</w:t>
            </w:r>
          </w:p>
        </w:tc>
        <w:tc>
          <w:tcPr>
            <w:tcW w:w="15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4"/>
              </w:rPr>
              <w:t>Наименование продукции</w:t>
            </w:r>
          </w:p>
        </w:tc>
        <w:tc>
          <w:tcPr>
            <w:tcW w:w="49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rPr>
            </w:pPr>
            <w:r>
              <w:rPr>
                <w:sz w:val="24"/>
              </w:rPr>
              <w:t>Технические характеристики</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rPr>
            </w:pPr>
            <w:r>
              <w:rPr>
                <w:sz w:val="24"/>
              </w:rPr>
              <w:t>Страна происхождения товара</w:t>
            </w:r>
          </w:p>
        </w:tc>
        <w:tc>
          <w:tcPr>
            <w:tcW w:w="5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4"/>
              </w:rPr>
              <w:t>Ед. изм.</w:t>
            </w:r>
          </w:p>
        </w:tc>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4"/>
              </w:rPr>
              <w:t>Кол-во</w:t>
            </w:r>
          </w:p>
        </w:tc>
        <w:tc>
          <w:tcPr>
            <w:tcW w:w="6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rPr>
            </w:pPr>
            <w:r>
              <w:rPr>
                <w:sz w:val="24"/>
              </w:rPr>
              <w:t>НМЦ единицы продукции (руб. без НДС)</w:t>
            </w:r>
          </w:p>
        </w:tc>
        <w:tc>
          <w:tcPr>
            <w:tcW w:w="7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rPr>
            </w:pPr>
            <w:r>
              <w:rPr>
                <w:sz w:val="24"/>
              </w:rPr>
              <w:t>Итоговая стоимость позиции (руб. без НДС)</w:t>
            </w:r>
          </w:p>
        </w:tc>
      </w:tr>
      <w:tr>
        <w:trPr>
          <w:trHeight w:val="3395" w:hRule="atLeast"/>
        </w:trPr>
        <w:tc>
          <w:tcPr>
            <w:tcW w:w="681" w:type="dxa"/>
            <w:tcBorders>
              <w:top w:val="single" w:sz="4" w:space="0" w:color="000000"/>
              <w:left w:val="single" w:sz="4" w:space="0" w:color="000000"/>
              <w:bottom w:val="single" w:sz="4" w:space="0" w:color="000000"/>
              <w:right w:val="single" w:sz="4" w:space="0" w:color="000000"/>
            </w:tcBorders>
            <w:vAlign w:val="center"/>
          </w:tcPr>
          <w:p>
            <w:pPr>
              <w:pStyle w:val="Style30"/>
              <w:widowControl w:val="false"/>
              <w:jc w:val="center"/>
              <w:rPr>
                <w:color w:val="000000"/>
                <w:sz w:val="24"/>
                <w:szCs w:val="24"/>
              </w:rPr>
            </w:pPr>
            <w:r>
              <w:rPr>
                <w:color w:val="000000"/>
                <w:sz w:val="24"/>
                <w:szCs w:val="24"/>
              </w:rPr>
              <w:t>1</w:t>
            </w:r>
          </w:p>
        </w:tc>
        <w:tc>
          <w:tcPr>
            <w:tcW w:w="15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jc w:val="both"/>
              <w:rPr>
                <w:color w:val="000000"/>
                <w:sz w:val="22"/>
                <w:szCs w:val="22"/>
              </w:rPr>
            </w:pPr>
            <w:r>
              <w:rPr>
                <w:color w:val="000000"/>
                <w:sz w:val="22"/>
                <w:szCs w:val="22"/>
              </w:rPr>
              <w:t>Стаканы одноразовые бумажные</w:t>
            </w:r>
          </w:p>
        </w:tc>
        <w:tc>
          <w:tcPr>
            <w:tcW w:w="49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sz w:val="22"/>
                <w:szCs w:val="22"/>
              </w:rPr>
            </w:pPr>
            <w:r>
              <w:rPr>
                <w:color w:val="000000"/>
                <w:sz w:val="22"/>
                <w:szCs w:val="22"/>
              </w:rPr>
              <w:t>Тип: стакан одноразовый;</w:t>
            </w:r>
          </w:p>
          <w:p>
            <w:pPr>
              <w:pStyle w:val="Normal"/>
              <w:widowControl w:val="false"/>
              <w:rPr>
                <w:color w:val="000000"/>
                <w:sz w:val="22"/>
                <w:szCs w:val="22"/>
              </w:rPr>
            </w:pPr>
            <w:r>
              <w:rPr>
                <w:color w:val="000000"/>
                <w:sz w:val="22"/>
                <w:szCs w:val="22"/>
              </w:rPr>
              <w:t>Количество в упаковке, шт: не менее 50;</w:t>
            </w:r>
          </w:p>
          <w:p>
            <w:pPr>
              <w:pStyle w:val="Normal"/>
              <w:widowControl w:val="false"/>
              <w:rPr>
                <w:color w:val="000000"/>
                <w:sz w:val="22"/>
                <w:szCs w:val="22"/>
              </w:rPr>
            </w:pPr>
            <w:r>
              <w:rPr>
                <w:color w:val="000000"/>
                <w:sz w:val="22"/>
                <w:szCs w:val="22"/>
              </w:rPr>
              <w:t>Материал: картон;</w:t>
            </w:r>
          </w:p>
          <w:p>
            <w:pPr>
              <w:pStyle w:val="Normal"/>
              <w:widowControl w:val="false"/>
              <w:rPr>
                <w:color w:val="000000"/>
                <w:sz w:val="22"/>
                <w:szCs w:val="22"/>
              </w:rPr>
            </w:pPr>
            <w:r>
              <w:rPr>
                <w:color w:val="000000"/>
                <w:sz w:val="22"/>
                <w:szCs w:val="22"/>
              </w:rPr>
              <w:t>Ламинация: да</w:t>
            </w:r>
          </w:p>
          <w:p>
            <w:pPr>
              <w:pStyle w:val="Normal"/>
              <w:widowControl w:val="false"/>
              <w:rPr>
                <w:color w:val="000000"/>
                <w:sz w:val="22"/>
                <w:szCs w:val="22"/>
              </w:rPr>
            </w:pPr>
            <w:r>
              <w:rPr>
                <w:color w:val="000000"/>
                <w:sz w:val="22"/>
                <w:szCs w:val="22"/>
              </w:rPr>
              <w:t>Объем, л: не менее 210, но не более 260;</w:t>
            </w:r>
          </w:p>
          <w:p>
            <w:pPr>
              <w:pStyle w:val="Normal"/>
              <w:widowControl w:val="false"/>
              <w:rPr>
                <w:color w:val="000000"/>
                <w:sz w:val="22"/>
                <w:szCs w:val="22"/>
              </w:rPr>
            </w:pPr>
            <w:r>
              <w:rPr>
                <w:color w:val="000000"/>
                <w:sz w:val="22"/>
                <w:szCs w:val="22"/>
              </w:rPr>
              <w:t>Назначение: для горячих и холодных напитков;</w:t>
            </w:r>
          </w:p>
          <w:p>
            <w:pPr>
              <w:pStyle w:val="Normal"/>
              <w:widowControl w:val="false"/>
              <w:rPr>
                <w:color w:val="000000"/>
                <w:sz w:val="22"/>
                <w:szCs w:val="22"/>
              </w:rPr>
            </w:pPr>
            <w:r>
              <w:rPr>
                <w:color w:val="000000"/>
                <w:sz w:val="22"/>
                <w:szCs w:val="22"/>
              </w:rPr>
              <w:t>Цвет: белый;</w:t>
            </w:r>
          </w:p>
          <w:p>
            <w:pPr>
              <w:pStyle w:val="Normal"/>
              <w:widowControl w:val="false"/>
              <w:rPr>
                <w:color w:val="000000"/>
                <w:sz w:val="22"/>
                <w:szCs w:val="22"/>
              </w:rPr>
            </w:pPr>
            <w:r>
              <w:rPr>
                <w:color w:val="000000"/>
                <w:sz w:val="22"/>
                <w:szCs w:val="22"/>
              </w:rPr>
              <w:t>Рисунок: отсутствует;</w:t>
            </w:r>
          </w:p>
          <w:p>
            <w:pPr>
              <w:pStyle w:val="Normal"/>
              <w:widowControl w:val="false"/>
              <w:rPr>
                <w:color w:val="000000"/>
                <w:sz w:val="22"/>
                <w:szCs w:val="22"/>
              </w:rPr>
            </w:pPr>
            <w:r>
              <w:rPr>
                <w:color w:val="000000"/>
                <w:sz w:val="22"/>
                <w:szCs w:val="22"/>
              </w:rPr>
              <w:t>Количество слоев: не менее 1;</w:t>
            </w:r>
          </w:p>
          <w:p>
            <w:pPr>
              <w:pStyle w:val="Normal"/>
              <w:widowControl w:val="false"/>
              <w:rPr>
                <w:color w:val="000000"/>
                <w:sz w:val="22"/>
                <w:szCs w:val="22"/>
              </w:rPr>
            </w:pPr>
            <w:r>
              <w:rPr>
                <w:color w:val="000000"/>
                <w:sz w:val="22"/>
                <w:szCs w:val="22"/>
              </w:rPr>
              <w:t>Рифленый: нет;</w:t>
            </w:r>
          </w:p>
          <w:p>
            <w:pPr>
              <w:pStyle w:val="Normal"/>
              <w:widowControl w:val="false"/>
              <w:rPr>
                <w:color w:val="000000"/>
                <w:sz w:val="22"/>
                <w:szCs w:val="22"/>
              </w:rPr>
            </w:pPr>
            <w:r>
              <w:rPr>
                <w:color w:val="000000"/>
                <w:sz w:val="22"/>
                <w:szCs w:val="22"/>
              </w:rPr>
              <w:t>Сырье: первичное;</w:t>
            </w:r>
          </w:p>
          <w:p>
            <w:pPr>
              <w:pStyle w:val="Normal"/>
              <w:widowControl w:val="false"/>
              <w:rPr>
                <w:color w:val="000000"/>
                <w:sz w:val="22"/>
                <w:szCs w:val="22"/>
              </w:rPr>
            </w:pPr>
            <w:r>
              <w:rPr>
                <w:color w:val="000000"/>
                <w:sz w:val="22"/>
                <w:szCs w:val="22"/>
              </w:rPr>
              <w:t>Максимально допустимая температура жидкости °С: не менее 88.</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5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color w:val="000000"/>
                <w:sz w:val="22"/>
                <w:szCs w:val="22"/>
              </w:rPr>
              <w:t>уп</w:t>
            </w:r>
          </w:p>
        </w:tc>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8000</w:t>
            </w:r>
          </w:p>
        </w:tc>
        <w:tc>
          <w:tcPr>
            <w:tcW w:w="6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773" w:type="dxa"/>
            <w:tcBorders>
              <w:top w:val="single" w:sz="4" w:space="0" w:color="000000"/>
              <w:left w:val="single" w:sz="4" w:space="0" w:color="000000"/>
              <w:bottom w:val="single" w:sz="4" w:space="0" w:color="000000"/>
              <w:right w:val="single" w:sz="4" w:space="0" w:color="000000"/>
            </w:tcBorders>
            <w:vAlign w:val="center"/>
          </w:tcPr>
          <w:p>
            <w:pPr>
              <w:pStyle w:val="Style30"/>
              <w:widowControl w:val="false"/>
              <w:jc w:val="center"/>
              <w:rPr>
                <w:color w:val="000000"/>
                <w:sz w:val="22"/>
                <w:szCs w:val="22"/>
              </w:rPr>
            </w:pPr>
            <w:r>
              <w:rPr>
                <w:color w:val="000000"/>
                <w:sz w:val="22"/>
                <w:szCs w:val="22"/>
              </w:rPr>
            </w:r>
          </w:p>
        </w:tc>
      </w:tr>
    </w:tbl>
    <w:p>
      <w:pPr>
        <w:pStyle w:val="Normal"/>
        <w:ind w:firstLine="709"/>
        <w:jc w:val="both"/>
        <w:rPr>
          <w:b/>
          <w:bCs/>
          <w:i/>
          <w:i/>
          <w:iCs/>
        </w:rPr>
      </w:pPr>
      <w:r>
        <w:rPr>
          <w:b/>
          <w:bCs/>
          <w:i/>
          <w:iCs/>
          <w:sz w:val="22"/>
        </w:rPr>
        <w:t>* Информация о количестве и объеме продукции, который указан в Спецификации, имеет информационно-справочный характер и приведен исходя из планируемого к приобретению Заказчиком объёма товара. Указание количества товара не налагает на Заказчика обязательств по приобретению Товара в полном объеме, указанном в настоящей Спецификации.</w:t>
      </w:r>
      <w:r>
        <w:rPr>
          <w:b/>
          <w:bCs/>
          <w:i/>
          <w:iCs/>
        </w:rPr>
        <w:t xml:space="preserve"> </w:t>
      </w:r>
      <w:r>
        <w:rPr>
          <w:b/>
          <w:bCs/>
          <w:i/>
          <w:iCs/>
          <w:sz w:val="22"/>
        </w:rPr>
        <w:t>Сумма поставленного товара не может превышать предельную стоимость настоящего Договора.</w:t>
      </w:r>
    </w:p>
    <w:p>
      <w:pPr>
        <w:pStyle w:val="Normal"/>
        <w:ind w:firstLine="709"/>
        <w:jc w:val="both"/>
        <w:rPr>
          <w:sz w:val="22"/>
        </w:rPr>
      </w:pPr>
      <w:r>
        <w:rPr>
          <w:sz w:val="22"/>
        </w:rPr>
      </w:r>
    </w:p>
    <w:p>
      <w:pPr>
        <w:pStyle w:val="ListParagraph"/>
        <w:numPr>
          <w:ilvl w:val="0"/>
          <w:numId w:val="16"/>
        </w:numPr>
        <w:rPr>
          <w:b/>
          <w:sz w:val="24"/>
          <w:szCs w:val="24"/>
        </w:rPr>
      </w:pPr>
      <w:r>
        <w:rPr>
          <w:b/>
          <w:sz w:val="24"/>
          <w:szCs w:val="24"/>
        </w:rPr>
        <w:t xml:space="preserve">Место поставки товара: </w:t>
      </w:r>
    </w:p>
    <w:p>
      <w:pPr>
        <w:pStyle w:val="ListParagraph"/>
        <w:ind w:left="0" w:firstLine="425"/>
        <w:jc w:val="both"/>
        <w:rPr>
          <w:rFonts w:eastAsia="Calibri"/>
          <w:sz w:val="24"/>
          <w:szCs w:val="24"/>
          <w:lang w:eastAsia="x-none"/>
        </w:rPr>
      </w:pPr>
      <w:r>
        <w:rPr>
          <w:rFonts w:eastAsia="Calibri"/>
          <w:color w:val="000000"/>
          <w:sz w:val="24"/>
          <w:szCs w:val="24"/>
          <w:lang w:eastAsia="x-none"/>
        </w:rPr>
        <w:t xml:space="preserve">- </w:t>
      </w:r>
      <w:r>
        <w:rPr>
          <w:rFonts w:eastAsia="Calibri"/>
          <w:bCs/>
          <w:color w:val="000000"/>
          <w:sz w:val="24"/>
          <w:szCs w:val="24"/>
          <w:lang w:eastAsia="x-none"/>
        </w:rPr>
        <w:t xml:space="preserve">660049, г. Красноярск, ул. Перенсона, зд. 2а. </w:t>
      </w:r>
    </w:p>
    <w:p>
      <w:pPr>
        <w:pStyle w:val="ListParagraph"/>
        <w:ind w:left="0" w:firstLine="425"/>
        <w:jc w:val="both"/>
        <w:rPr>
          <w:b/>
          <w:bCs/>
        </w:rPr>
      </w:pPr>
      <w:r>
        <w:rPr>
          <w:rFonts w:eastAsia="Calibri"/>
          <w:b/>
          <w:bCs/>
          <w:sz w:val="24"/>
          <w:szCs w:val="24"/>
          <w:lang w:eastAsia="x-none"/>
        </w:rPr>
        <w:t>Условия поставки товара:</w:t>
      </w:r>
    </w:p>
    <w:p>
      <w:pPr>
        <w:pStyle w:val="ListParagraph"/>
        <w:ind w:left="0" w:firstLine="425"/>
        <w:jc w:val="both"/>
        <w:rPr>
          <w:rFonts w:eastAsia="Calibri"/>
          <w:sz w:val="24"/>
          <w:szCs w:val="24"/>
          <w:lang w:eastAsia="x-none"/>
        </w:rPr>
      </w:pPr>
      <w:r>
        <w:rPr>
          <w:rFonts w:eastAsia="Calibri"/>
          <w:sz w:val="24"/>
          <w:szCs w:val="24"/>
          <w:lang w:eastAsia="x-none"/>
        </w:rPr>
        <w:t xml:space="preserve"> </w:t>
      </w:r>
      <w:r>
        <w:rPr>
          <w:rFonts w:eastAsia="Calibri"/>
          <w:sz w:val="24"/>
          <w:szCs w:val="24"/>
          <w:lang w:eastAsia="x-none"/>
        </w:rPr>
        <w:t>Поставка товара осуществляется в рабочие дни с 9:00 до 17:00, перерыв на обед с 12:00 до 13:00, по предварительной согласованности с Заказчиком любым, оговоренным между сторонами способом (телефонная, электронная связь), не менее чем за 1 (один) рабочий день до дня поставки товара. Погрузка, разгрузка, перенос товара, подъем на этаж, осуществляются силами Поставщика.</w:t>
      </w:r>
    </w:p>
    <w:p>
      <w:pPr>
        <w:pStyle w:val="Normal"/>
        <w:widowControl/>
        <w:spacing w:before="0" w:after="0"/>
        <w:ind w:left="360" w:hanging="0"/>
        <w:contextualSpacing/>
        <w:jc w:val="both"/>
        <w:rPr>
          <w:sz w:val="24"/>
          <w:szCs w:val="24"/>
        </w:rPr>
      </w:pPr>
      <w:r>
        <w:rPr>
          <w:sz w:val="24"/>
          <w:szCs w:val="24"/>
        </w:rPr>
      </w:r>
    </w:p>
    <w:p>
      <w:pPr>
        <w:pStyle w:val="ListParagraph"/>
        <w:widowControl/>
        <w:numPr>
          <w:ilvl w:val="0"/>
          <w:numId w:val="16"/>
        </w:numPr>
        <w:jc w:val="both"/>
        <w:rPr>
          <w:rFonts w:eastAsia="Calibri"/>
          <w:b/>
          <w:sz w:val="24"/>
          <w:szCs w:val="24"/>
        </w:rPr>
      </w:pPr>
      <w:r>
        <w:rPr>
          <w:rFonts w:eastAsia="Calibri"/>
          <w:b/>
          <w:sz w:val="24"/>
          <w:szCs w:val="24"/>
        </w:rPr>
        <w:t xml:space="preserve">Иные требования и сведения общего характера: </w:t>
      </w:r>
    </w:p>
    <w:p>
      <w:pPr>
        <w:pStyle w:val="ListParagraph"/>
        <w:widowControl/>
        <w:jc w:val="both"/>
        <w:rPr>
          <w:rFonts w:eastAsia="Calibri"/>
          <w:b/>
          <w:sz w:val="24"/>
          <w:szCs w:val="24"/>
        </w:rPr>
      </w:pPr>
      <w:r>
        <w:rPr>
          <w:rFonts w:eastAsia="Calibri"/>
          <w:b/>
          <w:sz w:val="24"/>
          <w:szCs w:val="24"/>
        </w:rPr>
      </w:r>
    </w:p>
    <w:p>
      <w:pPr>
        <w:pStyle w:val="Normal"/>
        <w:tabs>
          <w:tab w:val="clear" w:pos="708"/>
          <w:tab w:val="left" w:pos="426" w:leader="none"/>
        </w:tabs>
        <w:ind w:firstLine="425"/>
        <w:jc w:val="both"/>
        <w:rPr/>
      </w:pPr>
      <w:r>
        <w:rPr>
          <w:iCs/>
          <w:sz w:val="24"/>
        </w:rPr>
        <w:t>Поставщик обязан поставить товар надлежащего качества.</w:t>
      </w:r>
    </w:p>
    <w:p>
      <w:pPr>
        <w:pStyle w:val="Normal"/>
        <w:tabs>
          <w:tab w:val="clear" w:pos="708"/>
          <w:tab w:val="left" w:pos="426" w:leader="none"/>
        </w:tabs>
        <w:ind w:firstLine="425"/>
        <w:jc w:val="both"/>
        <w:rPr/>
      </w:pPr>
      <w:r>
        <w:rPr>
          <w:rFonts w:eastAsia="Calibri"/>
          <w:sz w:val="24"/>
          <w:szCs w:val="24"/>
          <w:lang w:eastAsia="x-none"/>
        </w:rPr>
        <w:t>Срок поставки товара определяется в Заявках, но не может превышать 30 (тридцать) календарных дней с момента предоставленной письменной заявки Заказчика, которая подается на каждый адрес отдельно. В Заявке указываются данные по наименованию количеству необходимого Товара</w:t>
      </w:r>
      <w:r>
        <w:rPr>
          <w:rFonts w:eastAsia="Calibri"/>
          <w:b/>
          <w:bCs/>
          <w:sz w:val="24"/>
          <w:szCs w:val="24"/>
          <w:lang w:eastAsia="x-none"/>
        </w:rPr>
        <w:t>.</w:t>
      </w:r>
    </w:p>
    <w:p>
      <w:pPr>
        <w:pStyle w:val="ListParagraph"/>
        <w:ind w:left="0" w:firstLine="425"/>
        <w:jc w:val="both"/>
        <w:rPr>
          <w:b/>
          <w:i/>
          <w:i/>
          <w:shd w:fill="FFFF99" w:val="clear"/>
        </w:rPr>
      </w:pPr>
      <w:r>
        <w:rPr>
          <w:rFonts w:eastAsia="Calibri"/>
          <w:color w:val="000000"/>
          <w:sz w:val="24"/>
          <w:szCs w:val="24"/>
          <w:lang w:eastAsia="x-none"/>
        </w:rPr>
        <w:t>На территории объектов Заказчика действует контрольно-пропускной режим, в связи с чем Поставщик не менее чем за 1 (один) рабочий день до предполагаемой даты поставки Товара должен сообщить представителю Заказчика номер автотранспортного средства и Ф.И.О. водителя, грузчиков-экспедиторов и других лиц, задействованных в транспортировке и погрузочно-разгрузочных работах, для оформления пропуска в соответствии с порядком пропускного режима объекта Заказчика</w:t>
      </w:r>
      <w:r>
        <w:rPr>
          <w:rFonts w:eastAsia="Calibri"/>
          <w:b/>
          <w:bCs/>
          <w:color w:val="000000"/>
          <w:sz w:val="24"/>
          <w:szCs w:val="24"/>
          <w:lang w:eastAsia="x-none"/>
        </w:rPr>
        <w:t>.</w:t>
      </w:r>
    </w:p>
    <w:p>
      <w:pPr>
        <w:pStyle w:val="ListParagraph"/>
        <w:ind w:left="0" w:firstLine="425"/>
        <w:jc w:val="both"/>
        <w:rPr>
          <w:b/>
          <w:i/>
          <w:i/>
          <w:shd w:fill="FFFF99" w:val="clear"/>
        </w:rPr>
      </w:pPr>
      <w:r>
        <w:rPr>
          <w:rFonts w:eastAsia="Calibri"/>
          <w:iCs/>
          <w:color w:val="000000"/>
          <w:sz w:val="24"/>
          <w:szCs w:val="24"/>
          <w:lang w:eastAsia="x-none"/>
        </w:rPr>
        <w:t>Вывоз пустых бутылей осуществляется поставщиком независимо от этажа.</w:t>
      </w:r>
    </w:p>
    <w:p>
      <w:pPr>
        <w:pStyle w:val="Normal"/>
        <w:widowControl/>
        <w:rPr>
          <w:b/>
          <w:bCs/>
          <w:sz w:val="28"/>
          <w:szCs w:val="28"/>
        </w:rPr>
      </w:pPr>
      <w:r>
        <w:rPr>
          <w:b/>
          <w:bCs/>
          <w:sz w:val="28"/>
          <w:szCs w:val="28"/>
        </w:rPr>
      </w:r>
    </w:p>
    <w:p>
      <w:pPr>
        <w:pStyle w:val="ListParagraph"/>
        <w:widowControl/>
        <w:numPr>
          <w:ilvl w:val="0"/>
          <w:numId w:val="16"/>
        </w:numPr>
        <w:rPr>
          <w:b/>
          <w:bCs/>
          <w:sz w:val="24"/>
          <w:szCs w:val="24"/>
        </w:rPr>
      </w:pPr>
      <w:r>
        <w:rPr>
          <w:b/>
          <w:bCs/>
          <w:sz w:val="24"/>
          <w:szCs w:val="24"/>
        </w:rPr>
        <w:t>Требования к гарантиям, гарантийному и послегарантийному обслуживанию</w:t>
      </w:r>
    </w:p>
    <w:p>
      <w:pPr>
        <w:pStyle w:val="Normal"/>
        <w:widowControl/>
        <w:ind w:left="360" w:hanging="0"/>
        <w:rPr>
          <w:b/>
          <w:bCs/>
          <w:sz w:val="24"/>
          <w:szCs w:val="24"/>
        </w:rPr>
      </w:pPr>
      <w:r>
        <w:rPr>
          <w:b/>
          <w:bCs/>
          <w:sz w:val="24"/>
          <w:szCs w:val="24"/>
        </w:rPr>
      </w:r>
    </w:p>
    <w:p>
      <w:pPr>
        <w:pStyle w:val="Normal"/>
        <w:ind w:firstLine="709"/>
        <w:jc w:val="both"/>
        <w:rPr>
          <w:sz w:val="24"/>
          <w:szCs w:val="24"/>
        </w:rPr>
      </w:pPr>
      <w:r>
        <w:rPr>
          <w:sz w:val="24"/>
          <w:szCs w:val="24"/>
        </w:rPr>
        <w:t>Гарантийный срок должен соответствовать срокам хранения продукции.</w:t>
      </w:r>
    </w:p>
    <w:p>
      <w:pPr>
        <w:pStyle w:val="Normal"/>
        <w:spacing w:before="0" w:after="0"/>
        <w:contextualSpacing/>
        <w:jc w:val="both"/>
        <w:rPr>
          <w:sz w:val="24"/>
          <w:szCs w:val="24"/>
        </w:rPr>
      </w:pPr>
      <w:r>
        <w:rPr>
          <w:sz w:val="24"/>
          <w:szCs w:val="24"/>
        </w:rPr>
        <w:t xml:space="preserve">Продукция должна быть новой, не находившейся в эксплуатации. </w:t>
      </w:r>
      <w:r>
        <w:rPr>
          <w:sz w:val="24"/>
        </w:rPr>
        <w:t>Под новой следует понимать продукцию, которая не была в употреблении, не проходила ремонт, в том числе восстановление потребительских свойств.</w:t>
      </w:r>
    </w:p>
    <w:p>
      <w:pPr>
        <w:pStyle w:val="Normal"/>
        <w:spacing w:before="0" w:after="0"/>
        <w:contextualSpacing/>
        <w:jc w:val="both"/>
        <w:rPr>
          <w:sz w:val="24"/>
          <w:szCs w:val="24"/>
        </w:rPr>
      </w:pPr>
      <w:r>
        <w:rPr>
          <w:sz w:val="24"/>
          <w:szCs w:val="24"/>
        </w:rPr>
      </w:r>
    </w:p>
    <w:p>
      <w:pPr>
        <w:pStyle w:val="ListParagraph"/>
        <w:widowControl/>
        <w:numPr>
          <w:ilvl w:val="0"/>
          <w:numId w:val="16"/>
        </w:numPr>
        <w:rPr>
          <w:b/>
          <w:bCs/>
          <w:sz w:val="32"/>
          <w:szCs w:val="24"/>
        </w:rPr>
      </w:pPr>
      <w:r>
        <w:rPr>
          <w:b/>
          <w:sz w:val="24"/>
        </w:rPr>
        <w:t>Требования к комплектации и документам, поставляемым вместе с продукцией</w:t>
      </w:r>
    </w:p>
    <w:p>
      <w:pPr>
        <w:pStyle w:val="Normal"/>
        <w:widowControl/>
        <w:ind w:firstLine="709"/>
        <w:jc w:val="both"/>
        <w:rPr>
          <w:sz w:val="24"/>
          <w:szCs w:val="24"/>
        </w:rPr>
      </w:pPr>
      <w:r>
        <w:rPr>
          <w:sz w:val="24"/>
          <w:szCs w:val="24"/>
        </w:rPr>
      </w:r>
    </w:p>
    <w:p>
      <w:pPr>
        <w:pStyle w:val="Normal"/>
        <w:widowControl/>
        <w:ind w:firstLine="709"/>
        <w:jc w:val="both"/>
        <w:rPr/>
      </w:pPr>
      <w:r>
        <w:rPr>
          <w:sz w:val="24"/>
          <w:szCs w:val="24"/>
        </w:rPr>
        <w:t>Одновременно с передачей Товара Поставщик обязан передать Покупателю его принадлежности и относящиеся к нему документы (технические паспорта, инструкции по эксплуатации, сертификаты качества, сертификаты соответствия, санитарно-эпидемиологическое заключение на воду водоисточника и на готовую продукцию, санитарно-эпидемиологическое заключение на бутыли (ёмкости) по их безопасности с учетом максимальных сроков хранения продукции, сертификат соответствия готовой продукции и другие документы, предусмотренные действующим законодательством РФ для данного вида Товара). Передаваемые Поставщиком документы должны быть заверены подлинными оттисками печатей производителя и/или Поставщика.</w:t>
      </w:r>
    </w:p>
    <w:p>
      <w:pPr>
        <w:pStyle w:val="ListParagraph"/>
        <w:widowControl/>
        <w:rPr>
          <w:b/>
          <w:bCs/>
          <w:sz w:val="32"/>
          <w:szCs w:val="24"/>
        </w:rPr>
      </w:pPr>
      <w:r>
        <w:rPr>
          <w:b/>
          <w:bCs/>
          <w:sz w:val="32"/>
          <w:szCs w:val="24"/>
        </w:rPr>
      </w:r>
    </w:p>
    <w:p>
      <w:pPr>
        <w:pStyle w:val="Normal"/>
        <w:numPr>
          <w:ilvl w:val="0"/>
          <w:numId w:val="16"/>
        </w:numPr>
        <w:rPr>
          <w:b/>
          <w:bCs/>
          <w:sz w:val="24"/>
          <w:szCs w:val="24"/>
        </w:rPr>
      </w:pPr>
      <w:r>
        <w:rPr>
          <w:b/>
          <w:bCs/>
          <w:sz w:val="24"/>
          <w:szCs w:val="24"/>
        </w:rPr>
        <w:t>Требования к доставке, маркировке, упаковке, транспортировке, перемещению, условиям хранения, приемке и испытаниям</w:t>
      </w:r>
    </w:p>
    <w:p>
      <w:pPr>
        <w:pStyle w:val="Normal"/>
        <w:widowControl/>
        <w:ind w:left="357" w:firstLine="709"/>
        <w:rPr>
          <w:b/>
          <w:bCs/>
          <w:sz w:val="24"/>
          <w:szCs w:val="24"/>
        </w:rPr>
      </w:pPr>
      <w:r>
        <w:rPr>
          <w:b/>
          <w:bCs/>
          <w:sz w:val="24"/>
          <w:szCs w:val="24"/>
        </w:rPr>
      </w:r>
    </w:p>
    <w:p>
      <w:pPr>
        <w:pStyle w:val="Normal"/>
        <w:widowControl/>
        <w:ind w:firstLine="709"/>
        <w:jc w:val="both"/>
        <w:rPr>
          <w:b/>
          <w:bCs/>
          <w:sz w:val="24"/>
          <w:szCs w:val="24"/>
        </w:rPr>
      </w:pPr>
      <w:r>
        <w:rPr>
          <w:sz w:val="24"/>
          <w:szCs w:val="24"/>
        </w:rPr>
        <w:t>Поставщик несет ответственность, предусмотренную законодательством РФ, за качество поставляемой продукции и предоставление всей необходимой товарно-транспортной документации. Поставщик должен обеспечить упаковку товара, способную предотвратить его повреждение или порчу во время перевозки. Упаковка и маркировка товара должна соответствовать требованиям ГОСТа, импортный товар – международным стандартам упаковки</w:t>
      </w:r>
    </w:p>
    <w:p>
      <w:pPr>
        <w:pStyle w:val="Normal"/>
        <w:widowControl/>
        <w:rPr>
          <w:rFonts w:eastAsia="Calibri"/>
          <w:b/>
          <w:sz w:val="24"/>
          <w:szCs w:val="24"/>
          <w:lang w:eastAsia="en-US"/>
        </w:rPr>
      </w:pPr>
      <w:r>
        <w:rPr>
          <w:rFonts w:eastAsia="Calibri"/>
          <w:b/>
          <w:sz w:val="24"/>
          <w:szCs w:val="24"/>
          <w:lang w:eastAsia="en-US"/>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VBand="1" w:noHBand="0" w:lastColumn="0" w:firstColumn="1" w:lastRow="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t>АО «СК РусГидро»</w:t>
            </w:r>
          </w:p>
          <w:p>
            <w:pPr>
              <w:pStyle w:val="Normal"/>
              <w:widowControl w:val="false"/>
              <w:rPr>
                <w:sz w:val="24"/>
                <w:szCs w:val="24"/>
              </w:rPr>
            </w:pPr>
            <w:r>
              <w:rPr>
                <w:sz w:val="24"/>
                <w:szCs w:val="24"/>
              </w:rPr>
              <w:t>Заместитель генерального директора</w:t>
            </w:r>
          </w:p>
          <w:p>
            <w:pPr>
              <w:pStyle w:val="Normal"/>
              <w:widowControl w:val="false"/>
              <w:rPr>
                <w:sz w:val="24"/>
                <w:szCs w:val="24"/>
              </w:rPr>
            </w:pPr>
            <w:r>
              <w:rPr>
                <w:sz w:val="24"/>
                <w:szCs w:val="24"/>
              </w:rPr>
              <w:t>по управлению ресурсами</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 Н.Н. Клочков</w:t>
            </w:r>
          </w:p>
          <w:p>
            <w:pPr>
              <w:pStyle w:val="Normal"/>
              <w:widowControl w:val="false"/>
              <w:ind w:firstLine="709"/>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b/>
                <w:sz w:val="24"/>
                <w:szCs w:val="24"/>
              </w:rPr>
            </w:pPr>
            <w:r>
              <w:rPr>
                <w:b/>
                <w:sz w:val="24"/>
                <w:szCs w:val="24"/>
              </w:rPr>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widowControl/>
        <w:rPr>
          <w:b/>
          <w:bCs/>
          <w:sz w:val="24"/>
          <w:szCs w:val="24"/>
        </w:rPr>
      </w:pPr>
      <w:r>
        <w:rPr>
          <w:b/>
          <w:bCs/>
          <w:sz w:val="24"/>
          <w:szCs w:val="24"/>
        </w:rPr>
      </w:r>
      <w:r>
        <w:br w:type="page"/>
      </w:r>
    </w:p>
    <w:p>
      <w:pPr>
        <w:pStyle w:val="Normal"/>
        <w:jc w:val="right"/>
        <w:rPr>
          <w:sz w:val="22"/>
          <w:szCs w:val="22"/>
        </w:rPr>
      </w:pPr>
      <w:r>
        <w:drawing>
          <wp:anchor behindDoc="1" distT="0" distB="0" distL="0" distR="0" simplePos="0" locked="0" layoutInCell="0" allowOverlap="1" relativeHeight="2">
            <wp:simplePos x="0" y="0"/>
            <wp:positionH relativeFrom="margin">
              <wp:posOffset>0</wp:posOffset>
            </wp:positionH>
            <wp:positionV relativeFrom="margin">
              <wp:posOffset>-635</wp:posOffset>
            </wp:positionV>
            <wp:extent cx="2131060" cy="45339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11"/>
                    <a:stretch>
                      <a:fillRect/>
                    </a:stretch>
                  </pic:blipFill>
                  <pic:spPr bwMode="auto">
                    <a:xfrm>
                      <a:off x="0" y="0"/>
                      <a:ext cx="2131060" cy="453390"/>
                    </a:xfrm>
                    <a:prstGeom prst="rect">
                      <a:avLst/>
                    </a:prstGeom>
                  </pic:spPr>
                </pic:pic>
              </a:graphicData>
            </a:graphic>
          </wp:anchor>
        </w:drawing>
      </w:r>
      <w:r>
        <w:rPr>
          <w:sz w:val="22"/>
          <w:szCs w:val="22"/>
        </w:rPr>
        <w:t>Приложение № 2</w:t>
      </w:r>
    </w:p>
    <w:p>
      <w:pPr>
        <w:pStyle w:val="Normal"/>
        <w:jc w:val="right"/>
        <w:rPr>
          <w:sz w:val="22"/>
          <w:szCs w:val="22"/>
        </w:rPr>
      </w:pPr>
      <w:r>
        <w:rPr>
          <w:sz w:val="22"/>
          <w:szCs w:val="22"/>
        </w:rPr>
        <w:t>к Договору поставки</w:t>
      </w:r>
    </w:p>
    <w:p>
      <w:pPr>
        <w:pStyle w:val="Normal"/>
        <w:jc w:val="right"/>
        <w:rPr>
          <w:sz w:val="22"/>
          <w:szCs w:val="22"/>
        </w:rPr>
      </w:pPr>
      <w:r>
        <w:rPr>
          <w:sz w:val="22"/>
          <w:szCs w:val="22"/>
        </w:rPr>
        <w:t>от «____» __________ 20 _ г. № ____</w:t>
      </w:r>
    </w:p>
    <w:p>
      <w:pPr>
        <w:pStyle w:val="Normal"/>
        <w:ind w:firstLine="5812"/>
        <w:jc w:val="center"/>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t xml:space="preserve">Заявка </w:t>
      </w:r>
    </w:p>
    <w:p>
      <w:pPr>
        <w:pStyle w:val="Normal"/>
        <w:tabs>
          <w:tab w:val="clear" w:pos="708"/>
          <w:tab w:val="left" w:pos="1843" w:leader="none"/>
        </w:tabs>
        <w:ind w:firstLine="709"/>
        <w:jc w:val="center"/>
        <w:rPr>
          <w:b/>
          <w:sz w:val="24"/>
          <w:szCs w:val="24"/>
        </w:rPr>
      </w:pPr>
      <w:r>
        <w:rPr>
          <w:b/>
          <w:sz w:val="24"/>
          <w:szCs w:val="24"/>
        </w:rPr>
        <w:t>на поставку Товара</w:t>
      </w:r>
    </w:p>
    <w:p>
      <w:pPr>
        <w:pStyle w:val="Normal"/>
        <w:tabs>
          <w:tab w:val="clear" w:pos="708"/>
          <w:tab w:val="left" w:pos="1843" w:leader="none"/>
          <w:tab w:val="left" w:pos="4395" w:leader="none"/>
        </w:tabs>
        <w:ind w:firstLine="709"/>
        <w:jc w:val="center"/>
        <w:rPr>
          <w:i/>
          <w:i/>
          <w:sz w:val="24"/>
          <w:szCs w:val="24"/>
        </w:rPr>
      </w:pPr>
      <w:r>
        <w:rPr>
          <w:i/>
          <w:sz w:val="24"/>
          <w:szCs w:val="24"/>
        </w:rPr>
        <w:t>(форма)</w:t>
      </w:r>
    </w:p>
    <w:p>
      <w:pPr>
        <w:pStyle w:val="Normal"/>
        <w:tabs>
          <w:tab w:val="clear" w:pos="708"/>
          <w:tab w:val="left" w:pos="2700" w:leader="none"/>
        </w:tabs>
        <w:ind w:firstLine="709"/>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t>Заявка №___</w:t>
      </w:r>
    </w:p>
    <w:p>
      <w:pPr>
        <w:pStyle w:val="Normal"/>
        <w:tabs>
          <w:tab w:val="clear" w:pos="708"/>
          <w:tab w:val="left" w:pos="2700" w:leader="none"/>
        </w:tabs>
        <w:jc w:val="center"/>
        <w:rPr>
          <w:b/>
          <w:sz w:val="24"/>
          <w:szCs w:val="24"/>
        </w:rPr>
      </w:pPr>
      <w:r>
        <w:rPr>
          <w:b/>
          <w:sz w:val="24"/>
          <w:szCs w:val="24"/>
        </w:rPr>
        <w:t xml:space="preserve">на поставку Товара </w:t>
      </w:r>
    </w:p>
    <w:p>
      <w:pPr>
        <w:pStyle w:val="Normal"/>
        <w:tabs>
          <w:tab w:val="clear" w:pos="708"/>
          <w:tab w:val="left" w:pos="2700" w:leader="none"/>
        </w:tabs>
        <w:jc w:val="center"/>
        <w:rPr>
          <w:b/>
          <w:sz w:val="24"/>
          <w:szCs w:val="24"/>
        </w:rPr>
      </w:pPr>
      <w:r>
        <w:rPr>
          <w:b/>
          <w:sz w:val="24"/>
          <w:szCs w:val="24"/>
        </w:rPr>
        <w:t xml:space="preserve">по договору поставки №______________ от «____» _____202_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25" w:type="dxa"/>
        <w:tblLayout w:type="fixed"/>
        <w:tblCellMar>
          <w:top w:w="0" w:type="dxa"/>
          <w:left w:w="108" w:type="dxa"/>
          <w:bottom w:w="0" w:type="dxa"/>
          <w:right w:w="108" w:type="dxa"/>
        </w:tblCellMar>
        <w:tblLook w:val="04a0" w:noVBand="1" w:noHBand="0" w:lastColumn="0" w:firstColumn="1" w:lastRow="0" w:firstRow="1"/>
      </w:tblPr>
      <w:tblGrid>
        <w:gridCol w:w="561"/>
        <w:gridCol w:w="1038"/>
        <w:gridCol w:w="1177"/>
        <w:gridCol w:w="750"/>
        <w:gridCol w:w="1131"/>
        <w:gridCol w:w="1243"/>
        <w:gridCol w:w="1040"/>
        <w:gridCol w:w="1491"/>
        <w:gridCol w:w="899"/>
        <w:gridCol w:w="874"/>
      </w:tblGrid>
      <w:tr>
        <w:trPr>
          <w:trHeight w:val="543" w:hRule="atLeast"/>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 </w:t>
            </w:r>
            <w:r>
              <w:rPr>
                <w:bCs/>
                <w:color w:val="000000"/>
                <w:sz w:val="22"/>
                <w:szCs w:val="22"/>
              </w:rPr>
              <w:t xml:space="preserve">п/п </w:t>
            </w:r>
          </w:p>
        </w:tc>
        <w:tc>
          <w:tcPr>
            <w:tcW w:w="10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Наименование Товара</w:t>
            </w:r>
          </w:p>
        </w:tc>
        <w:tc>
          <w:tcPr>
            <w:tcW w:w="117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Артикул, тип, марка</w:t>
            </w:r>
          </w:p>
        </w:tc>
        <w:tc>
          <w:tcPr>
            <w:tcW w:w="7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Количество </w:t>
            </w:r>
          </w:p>
        </w:tc>
        <w:tc>
          <w:tcPr>
            <w:tcW w:w="11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Единица измерения</w:t>
            </w:r>
          </w:p>
        </w:tc>
        <w:tc>
          <w:tcPr>
            <w:tcW w:w="124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Цена за единицу, руб. без НДС</w:t>
            </w:r>
          </w:p>
        </w:tc>
        <w:tc>
          <w:tcPr>
            <w:tcW w:w="104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НДС (___%), руб.</w:t>
            </w:r>
          </w:p>
        </w:tc>
        <w:tc>
          <w:tcPr>
            <w:tcW w:w="14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Стоимость, в том числе НДС, руб.</w:t>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Место поставки</w:t>
            </w:r>
          </w:p>
        </w:tc>
        <w:tc>
          <w:tcPr>
            <w:tcW w:w="8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Дата поставки</w:t>
            </w:r>
          </w:p>
        </w:tc>
      </w:tr>
      <w:tr>
        <w:trPr>
          <w:trHeight w:val="556" w:hRule="atLeast"/>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1.</w:t>
            </w:r>
          </w:p>
        </w:tc>
        <w:tc>
          <w:tcPr>
            <w:tcW w:w="10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7"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1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243"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4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91"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2.</w:t>
            </w:r>
          </w:p>
        </w:tc>
        <w:tc>
          <w:tcPr>
            <w:tcW w:w="10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7"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5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1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243"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4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91"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10204"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rPr>
              <w:t>Итого:</w:t>
            </w:r>
          </w:p>
        </w:tc>
      </w:tr>
    </w:tbl>
    <w:p>
      <w:pPr>
        <w:pStyle w:val="Normal"/>
        <w:numPr>
          <w:ilvl w:val="0"/>
          <w:numId w:val="0"/>
        </w:numPr>
        <w:ind w:left="0" w:firstLine="709"/>
        <w:jc w:val="center"/>
        <w:outlineLvl w:val="0"/>
        <w:rPr>
          <w:b/>
          <w:bCs/>
          <w:sz w:val="24"/>
          <w:szCs w:val="24"/>
        </w:rPr>
      </w:pPr>
      <w:r>
        <w:rPr>
          <w:b/>
          <w:bCs/>
          <w:sz w:val="24"/>
          <w:szCs w:val="24"/>
        </w:rPr>
      </w:r>
    </w:p>
    <w:p>
      <w:pPr>
        <w:pStyle w:val="Normal"/>
        <w:numPr>
          <w:ilvl w:val="0"/>
          <w:numId w:val="0"/>
        </w:numPr>
        <w:ind w:left="0" w:firstLine="709"/>
        <w:jc w:val="center"/>
        <w:outlineLvl w:val="0"/>
        <w:rPr>
          <w:b/>
          <w:bCs/>
          <w:sz w:val="24"/>
          <w:szCs w:val="24"/>
        </w:rPr>
      </w:pPr>
      <w:r>
        <w:rPr>
          <w:b/>
          <w:bCs/>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817"/>
        <w:gridCol w:w="5105"/>
      </w:tblGrid>
      <w:tr>
        <w:trPr/>
        <w:tc>
          <w:tcPr>
            <w:tcW w:w="4817"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ind w:firstLine="709"/>
              <w:rPr>
                <w:sz w:val="24"/>
                <w:szCs w:val="24"/>
              </w:rPr>
            </w:pPr>
            <w:r>
              <w:rPr>
                <w:sz w:val="24"/>
                <w:szCs w:val="24"/>
              </w:rPr>
            </w:r>
          </w:p>
        </w:tc>
        <w:tc>
          <w:tcPr>
            <w:tcW w:w="5105"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817"/>
        <w:gridCol w:w="5105"/>
      </w:tblGrid>
      <w:tr>
        <w:trPr/>
        <w:tc>
          <w:tcPr>
            <w:tcW w:w="4817"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t>АО «СК РусГидро»</w:t>
            </w:r>
          </w:p>
          <w:p>
            <w:pPr>
              <w:pStyle w:val="Normal"/>
              <w:widowControl w:val="false"/>
              <w:rPr>
                <w:sz w:val="24"/>
                <w:szCs w:val="24"/>
              </w:rPr>
            </w:pPr>
            <w:r>
              <w:rPr>
                <w:sz w:val="24"/>
                <w:szCs w:val="24"/>
              </w:rPr>
              <w:t>Заместитель генерального директора</w:t>
            </w:r>
          </w:p>
          <w:p>
            <w:pPr>
              <w:pStyle w:val="Normal"/>
              <w:widowControl w:val="false"/>
              <w:rPr>
                <w:sz w:val="24"/>
                <w:szCs w:val="24"/>
              </w:rPr>
            </w:pPr>
            <w:r>
              <w:rPr>
                <w:sz w:val="24"/>
                <w:szCs w:val="24"/>
              </w:rPr>
              <w:t>по управлению ресурсами</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 Н.Н. Клочков</w:t>
            </w:r>
          </w:p>
          <w:p>
            <w:pPr>
              <w:pStyle w:val="Normal"/>
              <w:widowControl w:val="false"/>
              <w:ind w:firstLine="709"/>
              <w:rPr>
                <w:sz w:val="24"/>
                <w:szCs w:val="24"/>
              </w:rPr>
            </w:pPr>
            <w:r>
              <w:rPr>
                <w:sz w:val="24"/>
                <w:szCs w:val="24"/>
              </w:rPr>
            </w:r>
          </w:p>
        </w:tc>
        <w:tc>
          <w:tcPr>
            <w:tcW w:w="5105"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widowControl/>
        <w:rPr>
          <w:sz w:val="24"/>
          <w:szCs w:val="24"/>
        </w:rPr>
      </w:pPr>
      <w:r>
        <w:rPr>
          <w:sz w:val="24"/>
          <w:szCs w:val="24"/>
        </w:rPr>
      </w:r>
    </w:p>
    <w:p>
      <w:pPr>
        <w:pStyle w:val="Normal"/>
        <w:widowControl/>
        <w:rPr>
          <w:sz w:val="24"/>
          <w:szCs w:val="24"/>
        </w:rPr>
      </w:pPr>
      <w:r>
        <w:rPr>
          <w:sz w:val="24"/>
          <w:szCs w:val="24"/>
        </w:rPr>
      </w:r>
      <w:r>
        <w:br w:type="page"/>
      </w:r>
    </w:p>
    <w:p>
      <w:pPr>
        <w:pStyle w:val="Normal"/>
        <w:jc w:val="right"/>
        <w:rPr>
          <w:sz w:val="22"/>
          <w:szCs w:val="22"/>
        </w:rPr>
      </w:pPr>
      <w:r>
        <w:rPr>
          <w:sz w:val="22"/>
          <w:szCs w:val="22"/>
        </w:rPr>
        <w:t>Приложение № 3</w:t>
      </w:r>
    </w:p>
    <w:p>
      <w:pPr>
        <w:pStyle w:val="Normal"/>
        <w:jc w:val="right"/>
        <w:rPr>
          <w:sz w:val="22"/>
          <w:szCs w:val="22"/>
        </w:rPr>
      </w:pPr>
      <w:r>
        <w:rPr>
          <w:sz w:val="22"/>
          <w:szCs w:val="22"/>
        </w:rPr>
        <w:t>к Договору поставки</w:t>
      </w:r>
    </w:p>
    <w:p>
      <w:pPr>
        <w:pStyle w:val="Normal"/>
        <w:jc w:val="right"/>
        <w:rPr>
          <w:bCs/>
          <w:sz w:val="22"/>
          <w:szCs w:val="22"/>
        </w:rPr>
      </w:pPr>
      <w:r>
        <w:rPr>
          <w:sz w:val="22"/>
          <w:szCs w:val="22"/>
        </w:rPr>
        <w:t>от «____» __________ 20 _ г. № _____</w:t>
      </w:r>
    </w:p>
    <w:p>
      <w:pPr>
        <w:pStyle w:val="Normal"/>
        <w:widowControl/>
        <w:shd w:val="clear" w:color="auto" w:fill="FFFFFF"/>
        <w:tabs>
          <w:tab w:val="clear" w:pos="708"/>
          <w:tab w:val="left" w:pos="1418" w:leader="none"/>
        </w:tabs>
        <w:spacing w:before="0" w:after="0"/>
        <w:ind w:firstLine="709"/>
        <w:contextualSpacing/>
        <w:jc w:val="center"/>
        <w:rPr>
          <w:bCs/>
          <w:sz w:val="24"/>
          <w:szCs w:val="24"/>
        </w:rPr>
      </w:pPr>
      <w:r>
        <w:rPr>
          <w:bCs/>
          <w:sz w:val="24"/>
          <w:szCs w:val="24"/>
        </w:rPr>
      </w:r>
    </w:p>
    <w:p>
      <w:pPr>
        <w:pStyle w:val="Normal"/>
        <w:widowControl/>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VBand="0" w:noHBand="0" w:lastColumn="1" w:firstColumn="1" w:lastRow="1" w:firstRow="1"/>
      </w:tblPr>
      <w:tblGrid>
        <w:gridCol w:w="4055"/>
        <w:gridCol w:w="6149"/>
      </w:tblGrid>
      <w:tr>
        <w:trPr/>
        <w:tc>
          <w:tcPr>
            <w:tcW w:w="405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6149"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405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6149"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405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614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5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614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5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614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405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614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652"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820"/>
        <w:gridCol w:w="4831"/>
      </w:tblGrid>
      <w:tr>
        <w:trPr/>
        <w:tc>
          <w:tcPr>
            <w:tcW w:w="4820"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t>АО «СК РусГидро»</w:t>
            </w:r>
          </w:p>
          <w:p>
            <w:pPr>
              <w:pStyle w:val="Normal"/>
              <w:widowControl w:val="false"/>
              <w:rPr>
                <w:sz w:val="24"/>
                <w:szCs w:val="24"/>
              </w:rPr>
            </w:pPr>
            <w:r>
              <w:rPr>
                <w:sz w:val="24"/>
                <w:szCs w:val="24"/>
              </w:rPr>
              <w:t>Заместитель генерального директора</w:t>
            </w:r>
          </w:p>
          <w:p>
            <w:pPr>
              <w:pStyle w:val="Normal"/>
              <w:widowControl w:val="false"/>
              <w:rPr>
                <w:sz w:val="24"/>
                <w:szCs w:val="24"/>
              </w:rPr>
            </w:pPr>
            <w:r>
              <w:rPr>
                <w:sz w:val="24"/>
                <w:szCs w:val="24"/>
              </w:rPr>
              <w:t>по управлению ресурсами</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 Н.Н. Клочков</w:t>
            </w:r>
          </w:p>
          <w:p>
            <w:pPr>
              <w:pStyle w:val="Normal"/>
              <w:widowControl w:val="false"/>
              <w:ind w:firstLine="709"/>
              <w:rPr>
                <w:sz w:val="24"/>
                <w:szCs w:val="24"/>
              </w:rPr>
            </w:pPr>
            <w:r>
              <w:rPr>
                <w:sz w:val="24"/>
                <w:szCs w:val="24"/>
              </w:rPr>
            </w:r>
          </w:p>
        </w:tc>
        <w:tc>
          <w:tcPr>
            <w:tcW w:w="4831"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w:t>
            </w:r>
          </w:p>
          <w:p>
            <w:pPr>
              <w:pStyle w:val="Normal"/>
              <w:widowControl w:val="false"/>
              <w:ind w:firstLine="709"/>
              <w:rPr>
                <w:b/>
                <w:sz w:val="24"/>
                <w:szCs w:val="24"/>
              </w:rPr>
            </w:pPr>
            <w:r>
              <w:rPr>
                <w:b/>
                <w:sz w:val="24"/>
                <w:szCs w:val="24"/>
              </w:rPr>
            </w:r>
          </w:p>
        </w:tc>
      </w:tr>
    </w:tbl>
    <w:p>
      <w:pPr>
        <w:pStyle w:val="Normal"/>
        <w:widowControl/>
        <w:rPr>
          <w:sz w:val="24"/>
          <w:szCs w:val="24"/>
        </w:rPr>
      </w:pPr>
      <w:r>
        <w:rPr/>
      </w:r>
    </w:p>
    <w:sectPr>
      <w:headerReference w:type="default" r:id="rId12"/>
      <w:footerReference w:type="default" r:id="rId13"/>
      <w:type w:val="nextPage"/>
      <w:pgSz w:w="11906" w:h="16838"/>
      <w:pgMar w:left="1134" w:right="567" w:gutter="0" w:header="567" w:top="1134" w:footer="709" w:bottom="1134"/>
      <w:pgNumType w:fmt="decimal"/>
      <w:formProt w:val="false"/>
      <w:titlePg/>
      <w:textDirection w:val="lrTb"/>
      <w:docGrid w:type="default" w:linePitch="36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126473514"/>
    </w:sdtPr>
    <w:sdtContent>
      <w:p>
        <w:pPr>
          <w:pStyle w:val="Footer"/>
          <w:jc w:val="center"/>
          <w:rPr/>
        </w:pPr>
        <w:r>
          <w:rPr/>
          <w:fldChar w:fldCharType="begin"/>
        </w:r>
        <w:r>
          <w:rPr/>
          <w:instrText xml:space="preserve"> PAGE </w:instrText>
        </w:r>
        <w:r>
          <w:rPr/>
          <w:fldChar w:fldCharType="separate"/>
        </w:r>
        <w:r>
          <w:rPr/>
          <w:t>19</w:t>
        </w:r>
        <w:r>
          <w:rPr/>
          <w:fldChar w:fldCharType="end"/>
        </w:r>
      </w:p>
    </w:sdtContent>
  </w:sdt>
  <w:p>
    <w:pPr>
      <w:pStyle w:val="Footer"/>
      <w:jc w:val="right"/>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A6A6A6" w:themeColor="background1" w:themeShade="a6"/>
      </w:rPr>
    </w:pPr>
    <w:r>
      <w:rPr>
        <w:color w:val="A6A6A6" w:themeColor="background1" w:themeShade="a6"/>
      </w:rPr>
      <w:t>Договор № ___ от __.__.202_</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abstractNum w:abstractNumId="1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16">
    <w:lvl w:ilvl="0">
      <w:start w:val="1"/>
      <w:numFmt w:val="decimal"/>
      <w:lvlText w:val="%1."/>
      <w:lvlJc w:val="left"/>
      <w:pPr>
        <w:tabs>
          <w:tab w:val="num" w:pos="0"/>
        </w:tabs>
        <w:ind w:left="720" w:hanging="360"/>
      </w:pPr>
      <w:rPr>
        <w:sz w:val="24"/>
        <w:i w:val="false"/>
        <w:szCs w:val="24"/>
        <w:color w:val="auto"/>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qFormat/>
    <w:rsid w:val="00f47c6a"/>
    <w:rPr/>
  </w:style>
  <w:style w:type="character" w:styleId="Style14"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1" w:customStyle="1">
    <w:name w:val="Неразрешенное упоминание1"/>
    <w:basedOn w:val="DefaultParagraphFont"/>
    <w:uiPriority w:val="99"/>
    <w:semiHidden/>
    <w:unhideWhenUsed/>
    <w:qFormat/>
    <w:rsid w:val="00231bfe"/>
    <w:rPr>
      <w:color w:val="605E5C"/>
      <w:shd w:fill="E1DFDD" w:val="clear"/>
    </w:rPr>
  </w:style>
  <w:style w:type="character" w:styleId="Style19" w:customStyle="1">
    <w:name w:val="Символ нумерации"/>
    <w:qFormat/>
    <w:rPr/>
  </w:style>
  <w:style w:type="character" w:styleId="FollowedHyperlink">
    <w:name w:val="FollowedHyperlink"/>
    <w:rPr>
      <w:color w:val="800000"/>
      <w:u w:val="single"/>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hanging="0"/>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customStyle="1">
    <w:name w:val="Колонтитул"/>
    <w:basedOn w:val="Normal"/>
    <w:qFormat/>
    <w:pPr/>
    <w:rPr/>
  </w:style>
  <w:style w:type="paragraph" w:styleId="Footer">
    <w:name w:val="Footer"/>
    <w:basedOn w:val="Normal"/>
    <w:link w:val="Style16"/>
    <w:uiPriority w:val="99"/>
    <w:rsid w:val="008b02a1"/>
    <w:pPr>
      <w:tabs>
        <w:tab w:val="clear" w:pos="708"/>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left="720" w:hanging="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8"/>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left="283" w:hanging="0"/>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rsid w:val="00f47c6a"/>
    <w:pPr/>
    <w:rPr/>
  </w:style>
  <w:style w:type="paragraph" w:styleId="ListBullet3">
    <w:name w:val="List Bullet 3"/>
    <w:basedOn w:val="Normal"/>
    <w:uiPriority w:val="99"/>
    <w:unhideWhenUsed/>
    <w:qFormat/>
    <w:rsid w:val="00fa3bf9"/>
    <w:pPr>
      <w:widowControl/>
      <w:tabs>
        <w:tab w:val="clear" w:pos="708"/>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8"/>
        <w:tab w:val="left" w:pos="851" w:leader="none"/>
      </w:tabs>
      <w:spacing w:lineRule="auto" w:line="360"/>
      <w:ind w:left="851" w:hanging="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8"/>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2"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paragraph" w:styleId="Style28" w:customStyle="1">
    <w:name w:val="Раздел положения"/>
    <w:basedOn w:val="Normal"/>
    <w:autoRedefine/>
    <w:qFormat/>
    <w:rsid w:val="00d507c7"/>
    <w:pPr>
      <w:widowControl/>
      <w:numPr>
        <w:ilvl w:val="0"/>
        <w:numId w:val="15"/>
      </w:numPr>
      <w:spacing w:before="80" w:after="80"/>
      <w:jc w:val="center"/>
    </w:pPr>
    <w:rPr>
      <w:b/>
      <w:sz w:val="32"/>
      <w:szCs w:val="32"/>
    </w:rPr>
  </w:style>
  <w:style w:type="paragraph" w:styleId="Style29" w:customStyle="1">
    <w:name w:val="Подраздел раздела положения"/>
    <w:basedOn w:val="Normal"/>
    <w:autoRedefine/>
    <w:qFormat/>
    <w:rsid w:val="00d507c7"/>
    <w:pPr>
      <w:widowControl/>
      <w:numPr>
        <w:ilvl w:val="1"/>
        <w:numId w:val="15"/>
      </w:numPr>
      <w:spacing w:before="80" w:after="80"/>
      <w:jc w:val="both"/>
    </w:pPr>
    <w:rPr>
      <w:sz w:val="28"/>
      <w:szCs w:val="28"/>
    </w:rPr>
  </w:style>
  <w:style w:type="paragraph" w:styleId="Style30" w:customStyle="1">
    <w:name w:val="Содержимое таблицы"/>
    <w:basedOn w:val="Normal"/>
    <w:qFormat/>
    <w:pPr>
      <w:suppressLineNumbers/>
    </w:pPr>
    <w:rPr/>
  </w:style>
  <w:style w:type="paragraph" w:styleId="Style31" w:customStyle="1">
    <w:name w:val="Заголовок таблицы"/>
    <w:basedOn w:val="Style30"/>
    <w:qFormat/>
    <w:pPr>
      <w:jc w:val="center"/>
    </w:pPr>
    <w:rPr>
      <w:b/>
      <w:bCs/>
    </w:rPr>
  </w:style>
  <w:style w:type="numbering" w:styleId="NoList" w:default="1">
    <w:name w:val="No List"/>
    <w:uiPriority w:val="99"/>
    <w:semiHidden/>
    <w:unhideWhenUsed/>
    <w:qFormat/>
  </w:style>
  <w:style w:type="table" w:default="1" w:styleId="a3">
    <w:name w:val="Normal Table"/>
    <w:uiPriority w:val="99"/>
    <w:semiHidden/>
    <w:unhideWhenUsed/>
    <w:tblPr>
      <w:tblCellMar>
        <w:top w:w="0" w:type="dxa"/>
        <w:left w:w="108" w:type="dxa"/>
        <w:bottom w:w="0" w:type="dxa"/>
        <w:right w:w="108" w:type="dxa"/>
      </w:tblCellMar>
    </w:tblPr>
  </w:style>
  <w:style w:type="table" w:styleId="afff">
    <w:name w:val="Table Grid"/>
    <w:basedOn w:val="a3"/>
    <w:uiPriority w:val="39"/>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hubinVYu@rushydro.ru" TargetMode="External"/><Relationship Id="rId3" Type="http://schemas.openxmlformats.org/officeDocument/2006/relationships/hyperlink" Target="mailto:AntonovPE@rushydro.ru" TargetMode="External"/><Relationship Id="rId4" Type="http://schemas.openxmlformats.org/officeDocument/2006/relationships/hyperlink" Target="mailto:BaevaVV@rushydro.ru" TargetMode="External"/><Relationship Id="rId5" Type="http://schemas.openxmlformats.org/officeDocument/2006/relationships/hyperlink" Target="mailto:BagryantsevEE@rushydro.ru" TargetMode="External"/><Relationship Id="rId6" Type="http://schemas.openxmlformats.org/officeDocument/2006/relationships/hyperlink" Target="mailto:ShistopalIV@rushydro.ru" TargetMode="External"/><Relationship Id="rId7" Type="http://schemas.openxmlformats.org/officeDocument/2006/relationships/hyperlink" Target="mailto:ld@rushydro.ru" TargetMode="External"/><Relationship Id="rId8" Type="http://schemas.openxmlformats.org/officeDocument/2006/relationships/hyperlink" Target="consultantplus://offline/ref=94D5CE8889791A29DE57299515463A9D6134D8237B999C803E6F853513x2A2P" TargetMode="External"/><Relationship Id="rId9" Type="http://schemas.openxmlformats.org/officeDocument/2006/relationships/hyperlink" Target="consultantplus://offline/ref=94D5CE8889791A29DE57299515463A9D6135D2287D929C803E6F853513x2A2P" TargetMode="External"/><Relationship Id="rId10" Type="http://schemas.openxmlformats.org/officeDocument/2006/relationships/hyperlink" Target="consultantplus://offline/ref=79440D5123ABA6A25F43346AB59DBAAC7032C8E1556DA64FAED62E167F76889C2B7C475C32EFC59BJ8rDH" TargetMode="External"/><Relationship Id="rId11" Type="http://schemas.openxmlformats.org/officeDocument/2006/relationships/image" Target="media/image1.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Relationship Id="rId19" Type="http://schemas.openxmlformats.org/officeDocument/2006/relationships/customXml" Target="../customXml/item2.xml"/><Relationship Id="rId20" Type="http://schemas.openxmlformats.org/officeDocument/2006/relationships/customXml" Target="../customXml/item3.xml"/><Relationship Id="rId21"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8D8AB74-C949-4159-B82A-FD040E965A34}">
  <ds:schemaRefs>
    <ds:schemaRef ds:uri="http://schemas.openxmlformats.org/officeDocument/2006/bibliography"/>
  </ds:schemaRefs>
</ds:datastoreItem>
</file>

<file path=customXml/itemProps4.xml><?xml version="1.0" encoding="utf-8"?>
<ds:datastoreItem xmlns:ds="http://schemas.openxmlformats.org/officeDocument/2006/customXml" ds:itemID="{7245F010-B91C-4CB9-B37A-3E8BDFBAAF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3142</TotalTime>
  <Application>AlterOffice/3.4.0.9$Linux_X86_64 LibreOffice_project/b8daf9e823b1a5463a2f48435ddc2e8696e7d4fc</Application>
  <AppVersion>15.0000</AppVersion>
  <Pages>19</Pages>
  <Words>7130</Words>
  <Characters>51131</Characters>
  <CharactersWithSpaces>57962</CharactersWithSpaces>
  <Paragraphs>376</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2024-10-31T23:53:00Z</dcterms:created>
  <dc:creator>tsypilev_ag</dc:creator>
  <dc:description/>
  <dc:language>ru-RU</dc:language>
  <cp:lastModifiedBy>shistopaliv@corp.gidroogk.com</cp:lastModifiedBy>
  <cp:lastPrinted>2018-05-22T09:46:00Z</cp:lastPrinted>
  <dcterms:modified xsi:type="dcterms:W3CDTF">2026-09-24T13:29:53Z</dcterms:modified>
  <cp:revision>62</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